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2" w:type="dxa"/>
        <w:tblInd w:w="-72" w:type="dxa"/>
        <w:tblLayout w:type="fixed"/>
        <w:tblLook w:val="0000" w:firstRow="0" w:lastRow="0" w:firstColumn="0" w:lastColumn="0" w:noHBand="0" w:noVBand="0"/>
      </w:tblPr>
      <w:tblGrid>
        <w:gridCol w:w="810"/>
        <w:gridCol w:w="9000"/>
        <w:gridCol w:w="612"/>
      </w:tblGrid>
      <w:tr w:rsidR="005E5399" w:rsidTr="004D7997">
        <w:tc>
          <w:tcPr>
            <w:tcW w:w="810" w:type="dxa"/>
          </w:tcPr>
          <w:p w:rsidR="005E5399" w:rsidRDefault="005E5399">
            <w:pPr>
              <w:jc w:val="center"/>
              <w:rPr>
                <w:sz w:val="16"/>
              </w:rPr>
            </w:pPr>
          </w:p>
        </w:tc>
        <w:tc>
          <w:tcPr>
            <w:tcW w:w="9000" w:type="dxa"/>
          </w:tcPr>
          <w:p w:rsidR="009F147E" w:rsidRPr="00012E33" w:rsidRDefault="009F147E" w:rsidP="009F147E">
            <w:pPr>
              <w:spacing w:before="20" w:after="20"/>
              <w:jc w:val="center"/>
              <w:rPr>
                <w:b/>
                <w:sz w:val="24"/>
                <w:szCs w:val="24"/>
              </w:rPr>
            </w:pPr>
            <w:r w:rsidRPr="00012E33">
              <w:rPr>
                <w:b/>
                <w:sz w:val="24"/>
                <w:szCs w:val="24"/>
              </w:rPr>
              <w:t>MICHIGAN DEPARTMENT OF ENVIRONMENT</w:t>
            </w:r>
            <w:r>
              <w:rPr>
                <w:b/>
                <w:sz w:val="24"/>
                <w:szCs w:val="24"/>
              </w:rPr>
              <w:t>, GREAT LAKES, AND ENERGY</w:t>
            </w:r>
          </w:p>
          <w:p w:rsidR="005E5399" w:rsidRDefault="009F147E" w:rsidP="009F147E">
            <w:pPr>
              <w:spacing w:before="20" w:after="20"/>
              <w:jc w:val="center"/>
              <w:rPr>
                <w:sz w:val="16"/>
              </w:rPr>
            </w:pPr>
            <w:r w:rsidRPr="00012E33">
              <w:rPr>
                <w:b/>
                <w:sz w:val="24"/>
                <w:szCs w:val="24"/>
              </w:rPr>
              <w:t>AIR QUALITY DIVISION</w:t>
            </w:r>
          </w:p>
        </w:tc>
        <w:tc>
          <w:tcPr>
            <w:tcW w:w="612" w:type="dxa"/>
          </w:tcPr>
          <w:p w:rsidR="005E5399" w:rsidRDefault="005E5399">
            <w:pPr>
              <w:jc w:val="center"/>
              <w:rPr>
                <w:b/>
                <w:sz w:val="24"/>
              </w:rPr>
            </w:pPr>
          </w:p>
        </w:tc>
      </w:tr>
      <w:tr w:rsidR="005E5399" w:rsidTr="004D7997">
        <w:trPr>
          <w:cantSplit/>
          <w:trHeight w:val="146"/>
        </w:trPr>
        <w:tc>
          <w:tcPr>
            <w:tcW w:w="10422" w:type="dxa"/>
            <w:gridSpan w:val="3"/>
          </w:tcPr>
          <w:p w:rsidR="00C7692A" w:rsidRPr="006B4E48" w:rsidRDefault="00C7692A" w:rsidP="00C2618F">
            <w:pPr>
              <w:jc w:val="center"/>
              <w:rPr>
                <w:szCs w:val="22"/>
              </w:rPr>
            </w:pPr>
          </w:p>
          <w:p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52808">
              <w:rPr>
                <w:szCs w:val="22"/>
              </w:rPr>
              <w:t xml:space="preserve"> June 18, 2019</w:t>
            </w:r>
          </w:p>
          <w:p w:rsidR="004D7997" w:rsidRPr="00927270" w:rsidRDefault="004D7997"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8950B9" w:rsidP="00B9050D">
            <w:pPr>
              <w:jc w:val="center"/>
              <w:rPr>
                <w:b/>
                <w:szCs w:val="22"/>
              </w:rPr>
            </w:pPr>
            <w:bookmarkStart w:id="0" w:name="bCompanyName"/>
            <w:r>
              <w:rPr>
                <w:b/>
                <w:szCs w:val="22"/>
              </w:rPr>
              <w:t>Vector Pipeline L.P., Highland Compressor Station</w:t>
            </w:r>
          </w:p>
          <w:bookmarkEnd w:id="0"/>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1" w:name="bSRN"/>
            <w:r w:rsidR="000F25BB">
              <w:rPr>
                <w:szCs w:val="22"/>
              </w:rPr>
              <w:t>N6838</w:t>
            </w:r>
            <w:bookmarkEnd w:id="1"/>
          </w:p>
          <w:p w:rsidR="00807634" w:rsidRPr="00927270" w:rsidRDefault="00807634" w:rsidP="00C2618F">
            <w:pPr>
              <w:jc w:val="center"/>
              <w:rPr>
                <w:szCs w:val="22"/>
              </w:rPr>
            </w:pPr>
            <w:bookmarkStart w:id="2" w:name="_GoBack"/>
            <w:bookmarkEnd w:id="2"/>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0F25BB" w:rsidP="002B29E9">
            <w:pPr>
              <w:jc w:val="center"/>
              <w:rPr>
                <w:szCs w:val="22"/>
              </w:rPr>
            </w:pPr>
            <w:bookmarkStart w:id="3" w:name="bStreetAddress"/>
            <w:bookmarkEnd w:id="3"/>
            <w:r>
              <w:rPr>
                <w:szCs w:val="22"/>
              </w:rPr>
              <w:t>2282 South Duck Lake Road</w:t>
            </w:r>
            <w:r w:rsidR="002B29E9">
              <w:rPr>
                <w:szCs w:val="22"/>
              </w:rPr>
              <w:t xml:space="preserve">, </w:t>
            </w:r>
            <w:bookmarkStart w:id="4" w:name="bCity"/>
            <w:bookmarkEnd w:id="4"/>
            <w:r>
              <w:rPr>
                <w:szCs w:val="22"/>
              </w:rPr>
              <w:t>Highland</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48356</w:t>
            </w:r>
          </w:p>
        </w:tc>
      </w:tr>
      <w:tr w:rsidR="00C2618F" w:rsidRPr="00DF47A8" w:rsidTr="004D7997">
        <w:trPr>
          <w:cantSplit/>
          <w:trHeight w:val="145"/>
        </w:trPr>
        <w:tc>
          <w:tcPr>
            <w:tcW w:w="10422" w:type="dxa"/>
            <w:gridSpan w:val="3"/>
          </w:tcPr>
          <w:p w:rsidR="00C2618F" w:rsidRPr="00DF47A8" w:rsidRDefault="00C2618F" w:rsidP="00C2618F">
            <w:pPr>
              <w:pStyle w:val="Header"/>
              <w:spacing w:before="20" w:after="20"/>
              <w:rPr>
                <w:szCs w:val="22"/>
              </w:rPr>
            </w:pPr>
          </w:p>
        </w:tc>
      </w:tr>
      <w:tr w:rsidR="00C2618F" w:rsidRPr="001838ED" w:rsidTr="004D7997">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422"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F25BB">
              <w:rPr>
                <w:sz w:val="24"/>
              </w:rPr>
              <w:t>N6838</w:t>
            </w:r>
            <w:r w:rsidR="004032B7" w:rsidRPr="001838ED">
              <w:rPr>
                <w:sz w:val="24"/>
              </w:rPr>
              <w:t>-</w:t>
            </w:r>
            <w:bookmarkStart w:id="7" w:name="bIssueYear"/>
            <w:bookmarkEnd w:id="7"/>
            <w:r w:rsidR="004D7997">
              <w:rPr>
                <w:sz w:val="24"/>
              </w:rPr>
              <w:t>20</w:t>
            </w:r>
            <w:r w:rsidR="00B52808">
              <w:rPr>
                <w:sz w:val="24"/>
              </w:rPr>
              <w:t>19</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B52808">
              <w:rPr>
                <w:sz w:val="24"/>
              </w:rPr>
              <w:t>June 18, 2024</w:t>
            </w:r>
          </w:p>
          <w:p w:rsidR="0025601A" w:rsidRPr="001838ED" w:rsidRDefault="0025601A" w:rsidP="001838ED">
            <w:pPr>
              <w:ind w:left="2880" w:firstLine="360"/>
              <w:rPr>
                <w:sz w:val="24"/>
              </w:rPr>
            </w:pPr>
          </w:p>
          <w:p w:rsidR="004D7997"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B52808">
              <w:rPr>
                <w:sz w:val="24"/>
                <w:szCs w:val="24"/>
              </w:rPr>
              <w:t>December 18, 2022 and December 18, 2023</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8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04"/>
      </w:tblGrid>
      <w:tr w:rsidR="00C2618F" w:rsidTr="004D7997">
        <w:trPr>
          <w:jc w:val="center"/>
        </w:trPr>
        <w:tc>
          <w:tcPr>
            <w:tcW w:w="10305" w:type="dxa"/>
            <w:shd w:val="clear" w:color="auto" w:fill="auto"/>
          </w:tcPr>
          <w:p w:rsidR="00461E40" w:rsidRPr="006F2C46" w:rsidRDefault="00461E40" w:rsidP="0025601A">
            <w:pPr>
              <w:jc w:val="center"/>
              <w:rPr>
                <w:b/>
                <w:szCs w:val="22"/>
              </w:rPr>
            </w:pPr>
          </w:p>
          <w:p w:rsidR="005D5FBE" w:rsidRDefault="0058429B" w:rsidP="0025601A">
            <w:pPr>
              <w:jc w:val="center"/>
              <w:rPr>
                <w:b/>
                <w:sz w:val="28"/>
                <w:szCs w:val="28"/>
              </w:rPr>
            </w:pPr>
            <w:r>
              <w:rPr>
                <w:b/>
                <w:sz w:val="28"/>
                <w:szCs w:val="28"/>
              </w:rPr>
              <w:t>SOURCE-WIDE PERMIT TO INSTALL</w:t>
            </w:r>
          </w:p>
          <w:p w:rsidR="004D7997" w:rsidRDefault="004D7997" w:rsidP="005A402E">
            <w:pPr>
              <w:ind w:left="2880" w:firstLine="720"/>
              <w:rPr>
                <w:sz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0F25BB">
              <w:rPr>
                <w:sz w:val="24"/>
                <w:szCs w:val="24"/>
              </w:rPr>
              <w:t>N6838</w:t>
            </w:r>
            <w:r w:rsidR="000D5F06">
              <w:rPr>
                <w:sz w:val="24"/>
                <w:szCs w:val="24"/>
              </w:rPr>
              <w:t>-</w:t>
            </w:r>
            <w:bookmarkStart w:id="10" w:name="bIssueYear2"/>
            <w:bookmarkEnd w:id="10"/>
            <w:r w:rsidR="006E7C38">
              <w:rPr>
                <w:sz w:val="24"/>
                <w:szCs w:val="24"/>
              </w:rPr>
              <w:t>20</w:t>
            </w:r>
            <w:r w:rsidR="00B52808">
              <w:rPr>
                <w:sz w:val="24"/>
                <w:szCs w:val="24"/>
              </w:rPr>
              <w:t>19</w:t>
            </w:r>
          </w:p>
          <w:p w:rsidR="00C2618F" w:rsidRPr="006F2C46" w:rsidRDefault="00C2618F" w:rsidP="0025601A">
            <w:pPr>
              <w:jc w:val="center"/>
              <w:rPr>
                <w:sz w:val="24"/>
                <w:szCs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233961" w:rsidRDefault="004D7997" w:rsidP="00F73D71">
      <w:pPr>
        <w:ind w:left="-180"/>
        <w:rPr>
          <w:szCs w:val="22"/>
        </w:rPr>
      </w:pPr>
      <w:r>
        <w:rPr>
          <w:szCs w:val="22"/>
        </w:rPr>
        <w:t xml:space="preserve">  </w:t>
      </w:r>
      <w:r w:rsidR="00BC48DF">
        <w:rPr>
          <w:szCs w:val="22"/>
        </w:rPr>
        <w:t>Michigan Department of Environment</w:t>
      </w:r>
      <w:r w:rsidR="00875BF8">
        <w:rPr>
          <w:szCs w:val="22"/>
        </w:rPr>
        <w:t>, Great Lakes, and Energy</w:t>
      </w:r>
    </w:p>
    <w:p w:rsidR="006F2C46" w:rsidRDefault="006F2C46" w:rsidP="00F73D71">
      <w:pPr>
        <w:ind w:left="-180"/>
        <w:rPr>
          <w:szCs w:val="22"/>
        </w:rPr>
      </w:pPr>
    </w:p>
    <w:p w:rsidR="006F2C46" w:rsidRDefault="006F2C46" w:rsidP="00F73D71">
      <w:pPr>
        <w:ind w:left="-180"/>
        <w:rPr>
          <w:szCs w:val="22"/>
        </w:rPr>
      </w:pPr>
    </w:p>
    <w:p w:rsidR="002F4C64" w:rsidRPr="004D7997" w:rsidRDefault="004D7997" w:rsidP="004D7997">
      <w:pPr>
        <w:ind w:left="-180"/>
        <w:rPr>
          <w:szCs w:val="22"/>
        </w:rPr>
      </w:pPr>
      <w:r>
        <w:rPr>
          <w:szCs w:val="22"/>
        </w:rPr>
        <w:t xml:space="preserve">  </w:t>
      </w:r>
      <w:r w:rsidR="00AB2375" w:rsidRPr="006A1190">
        <w:rPr>
          <w:szCs w:val="22"/>
        </w:rPr>
        <w:t>_______________________________</w:t>
      </w:r>
      <w:bookmarkStart w:id="11" w:name="bDS"/>
      <w:bookmarkEnd w:id="11"/>
      <w:r>
        <w:rPr>
          <w:szCs w:val="22"/>
        </w:rPr>
        <w:br/>
        <w:t xml:space="preserve">  </w:t>
      </w:r>
      <w:r w:rsidR="000F25BB">
        <w:rPr>
          <w:szCs w:val="22"/>
        </w:rPr>
        <w:t xml:space="preserve">Joyce Zhu, </w:t>
      </w:r>
      <w:r w:rsidR="009F147E">
        <w:rPr>
          <w:szCs w:val="22"/>
        </w:rPr>
        <w:t xml:space="preserve">Warren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rsidR="002F4C64" w:rsidRDefault="002F4C64" w:rsidP="002F4C64"/>
    <w:p w:rsidR="009D30E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742125" w:history="1">
        <w:r w:rsidR="009D30E2" w:rsidRPr="0090757D">
          <w:rPr>
            <w:rStyle w:val="Hyperlink"/>
            <w:noProof/>
          </w:rPr>
          <w:t>AUTHORITY AND ENFORCEABILITY</w:t>
        </w:r>
        <w:r w:rsidR="009D30E2">
          <w:rPr>
            <w:noProof/>
            <w:webHidden/>
          </w:rPr>
          <w:tab/>
        </w:r>
        <w:r w:rsidR="009D30E2">
          <w:rPr>
            <w:noProof/>
            <w:webHidden/>
          </w:rPr>
          <w:fldChar w:fldCharType="begin"/>
        </w:r>
        <w:r w:rsidR="009D30E2">
          <w:rPr>
            <w:noProof/>
            <w:webHidden/>
          </w:rPr>
          <w:instrText xml:space="preserve"> PAGEREF _Toc11742125 \h </w:instrText>
        </w:r>
        <w:r w:rsidR="009D30E2">
          <w:rPr>
            <w:noProof/>
            <w:webHidden/>
          </w:rPr>
        </w:r>
        <w:r w:rsidR="009D30E2">
          <w:rPr>
            <w:noProof/>
            <w:webHidden/>
          </w:rPr>
          <w:fldChar w:fldCharType="separate"/>
        </w:r>
        <w:r w:rsidR="009D30E2">
          <w:rPr>
            <w:noProof/>
            <w:webHidden/>
          </w:rPr>
          <w:t>3</w:t>
        </w:r>
        <w:r w:rsidR="009D30E2">
          <w:rPr>
            <w:noProof/>
            <w:webHidden/>
          </w:rPr>
          <w:fldChar w:fldCharType="end"/>
        </w:r>
      </w:hyperlink>
    </w:p>
    <w:p w:rsidR="009D30E2" w:rsidRDefault="00C2460C">
      <w:pPr>
        <w:pStyle w:val="TOC1"/>
        <w:rPr>
          <w:rFonts w:asciiTheme="minorHAnsi" w:eastAsiaTheme="minorEastAsia" w:hAnsiTheme="minorHAnsi" w:cstheme="minorBidi"/>
          <w:b w:val="0"/>
          <w:noProof/>
        </w:rPr>
      </w:pPr>
      <w:hyperlink w:anchor="_Toc11742126" w:history="1">
        <w:r w:rsidR="009D30E2" w:rsidRPr="0090757D">
          <w:rPr>
            <w:rStyle w:val="Hyperlink"/>
            <w:noProof/>
          </w:rPr>
          <w:t>A.  GENERAL CONDITIONS</w:t>
        </w:r>
        <w:r w:rsidR="009D30E2">
          <w:rPr>
            <w:noProof/>
            <w:webHidden/>
          </w:rPr>
          <w:tab/>
        </w:r>
        <w:r w:rsidR="009D30E2">
          <w:rPr>
            <w:noProof/>
            <w:webHidden/>
          </w:rPr>
          <w:fldChar w:fldCharType="begin"/>
        </w:r>
        <w:r w:rsidR="009D30E2">
          <w:rPr>
            <w:noProof/>
            <w:webHidden/>
          </w:rPr>
          <w:instrText xml:space="preserve"> PAGEREF _Toc11742126 \h </w:instrText>
        </w:r>
        <w:r w:rsidR="009D30E2">
          <w:rPr>
            <w:noProof/>
            <w:webHidden/>
          </w:rPr>
        </w:r>
        <w:r w:rsidR="009D30E2">
          <w:rPr>
            <w:noProof/>
            <w:webHidden/>
          </w:rPr>
          <w:fldChar w:fldCharType="separate"/>
        </w:r>
        <w:r w:rsidR="009D30E2">
          <w:rPr>
            <w:noProof/>
            <w:webHidden/>
          </w:rPr>
          <w:t>4</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27" w:history="1">
        <w:r w:rsidR="009D30E2" w:rsidRPr="0090757D">
          <w:rPr>
            <w:rStyle w:val="Hyperlink"/>
            <w:noProof/>
          </w:rPr>
          <w:t>Permit Enforceability</w:t>
        </w:r>
        <w:r w:rsidR="009D30E2">
          <w:rPr>
            <w:noProof/>
            <w:webHidden/>
          </w:rPr>
          <w:tab/>
        </w:r>
        <w:r w:rsidR="009D30E2">
          <w:rPr>
            <w:noProof/>
            <w:webHidden/>
          </w:rPr>
          <w:fldChar w:fldCharType="begin"/>
        </w:r>
        <w:r w:rsidR="009D30E2">
          <w:rPr>
            <w:noProof/>
            <w:webHidden/>
          </w:rPr>
          <w:instrText xml:space="preserve"> PAGEREF _Toc11742127 \h </w:instrText>
        </w:r>
        <w:r w:rsidR="009D30E2">
          <w:rPr>
            <w:noProof/>
            <w:webHidden/>
          </w:rPr>
        </w:r>
        <w:r w:rsidR="009D30E2">
          <w:rPr>
            <w:noProof/>
            <w:webHidden/>
          </w:rPr>
          <w:fldChar w:fldCharType="separate"/>
        </w:r>
        <w:r w:rsidR="009D30E2">
          <w:rPr>
            <w:noProof/>
            <w:webHidden/>
          </w:rPr>
          <w:t>4</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28" w:history="1">
        <w:r w:rsidR="009D30E2" w:rsidRPr="0090757D">
          <w:rPr>
            <w:rStyle w:val="Hyperlink"/>
            <w:noProof/>
          </w:rPr>
          <w:t>General Provisions</w:t>
        </w:r>
        <w:r w:rsidR="009D30E2">
          <w:rPr>
            <w:noProof/>
            <w:webHidden/>
          </w:rPr>
          <w:tab/>
        </w:r>
        <w:r w:rsidR="009D30E2">
          <w:rPr>
            <w:noProof/>
            <w:webHidden/>
          </w:rPr>
          <w:fldChar w:fldCharType="begin"/>
        </w:r>
        <w:r w:rsidR="009D30E2">
          <w:rPr>
            <w:noProof/>
            <w:webHidden/>
          </w:rPr>
          <w:instrText xml:space="preserve"> PAGEREF _Toc11742128 \h </w:instrText>
        </w:r>
        <w:r w:rsidR="009D30E2">
          <w:rPr>
            <w:noProof/>
            <w:webHidden/>
          </w:rPr>
        </w:r>
        <w:r w:rsidR="009D30E2">
          <w:rPr>
            <w:noProof/>
            <w:webHidden/>
          </w:rPr>
          <w:fldChar w:fldCharType="separate"/>
        </w:r>
        <w:r w:rsidR="009D30E2">
          <w:rPr>
            <w:noProof/>
            <w:webHidden/>
          </w:rPr>
          <w:t>4</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29" w:history="1">
        <w:r w:rsidR="009D30E2" w:rsidRPr="0090757D">
          <w:rPr>
            <w:rStyle w:val="Hyperlink"/>
            <w:noProof/>
          </w:rPr>
          <w:t>Equipment &amp; Design</w:t>
        </w:r>
        <w:r w:rsidR="009D30E2">
          <w:rPr>
            <w:noProof/>
            <w:webHidden/>
          </w:rPr>
          <w:tab/>
        </w:r>
        <w:r w:rsidR="009D30E2">
          <w:rPr>
            <w:noProof/>
            <w:webHidden/>
          </w:rPr>
          <w:fldChar w:fldCharType="begin"/>
        </w:r>
        <w:r w:rsidR="009D30E2">
          <w:rPr>
            <w:noProof/>
            <w:webHidden/>
          </w:rPr>
          <w:instrText xml:space="preserve"> PAGEREF _Toc11742129 \h </w:instrText>
        </w:r>
        <w:r w:rsidR="009D30E2">
          <w:rPr>
            <w:noProof/>
            <w:webHidden/>
          </w:rPr>
        </w:r>
        <w:r w:rsidR="009D30E2">
          <w:rPr>
            <w:noProof/>
            <w:webHidden/>
          </w:rPr>
          <w:fldChar w:fldCharType="separate"/>
        </w:r>
        <w:r w:rsidR="009D30E2">
          <w:rPr>
            <w:noProof/>
            <w:webHidden/>
          </w:rPr>
          <w:t>5</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0" w:history="1">
        <w:r w:rsidR="009D30E2" w:rsidRPr="0090757D">
          <w:rPr>
            <w:rStyle w:val="Hyperlink"/>
            <w:noProof/>
          </w:rPr>
          <w:t>Emission Limits</w:t>
        </w:r>
        <w:r w:rsidR="009D30E2">
          <w:rPr>
            <w:noProof/>
            <w:webHidden/>
          </w:rPr>
          <w:tab/>
        </w:r>
        <w:r w:rsidR="009D30E2">
          <w:rPr>
            <w:noProof/>
            <w:webHidden/>
          </w:rPr>
          <w:fldChar w:fldCharType="begin"/>
        </w:r>
        <w:r w:rsidR="009D30E2">
          <w:rPr>
            <w:noProof/>
            <w:webHidden/>
          </w:rPr>
          <w:instrText xml:space="preserve"> PAGEREF _Toc11742130 \h </w:instrText>
        </w:r>
        <w:r w:rsidR="009D30E2">
          <w:rPr>
            <w:noProof/>
            <w:webHidden/>
          </w:rPr>
        </w:r>
        <w:r w:rsidR="009D30E2">
          <w:rPr>
            <w:noProof/>
            <w:webHidden/>
          </w:rPr>
          <w:fldChar w:fldCharType="separate"/>
        </w:r>
        <w:r w:rsidR="009D30E2">
          <w:rPr>
            <w:noProof/>
            <w:webHidden/>
          </w:rPr>
          <w:t>5</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1" w:history="1">
        <w:r w:rsidR="009D30E2" w:rsidRPr="0090757D">
          <w:rPr>
            <w:rStyle w:val="Hyperlink"/>
            <w:noProof/>
          </w:rPr>
          <w:t>Testing/Sampling</w:t>
        </w:r>
        <w:r w:rsidR="009D30E2">
          <w:rPr>
            <w:noProof/>
            <w:webHidden/>
          </w:rPr>
          <w:tab/>
        </w:r>
        <w:r w:rsidR="009D30E2">
          <w:rPr>
            <w:noProof/>
            <w:webHidden/>
          </w:rPr>
          <w:fldChar w:fldCharType="begin"/>
        </w:r>
        <w:r w:rsidR="009D30E2">
          <w:rPr>
            <w:noProof/>
            <w:webHidden/>
          </w:rPr>
          <w:instrText xml:space="preserve"> PAGEREF _Toc11742131 \h </w:instrText>
        </w:r>
        <w:r w:rsidR="009D30E2">
          <w:rPr>
            <w:noProof/>
            <w:webHidden/>
          </w:rPr>
        </w:r>
        <w:r w:rsidR="009D30E2">
          <w:rPr>
            <w:noProof/>
            <w:webHidden/>
          </w:rPr>
          <w:fldChar w:fldCharType="separate"/>
        </w:r>
        <w:r w:rsidR="009D30E2">
          <w:rPr>
            <w:noProof/>
            <w:webHidden/>
          </w:rPr>
          <w:t>5</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2" w:history="1">
        <w:r w:rsidR="009D30E2" w:rsidRPr="0090757D">
          <w:rPr>
            <w:rStyle w:val="Hyperlink"/>
            <w:noProof/>
          </w:rPr>
          <w:t>Monitoring/Recordkeeping</w:t>
        </w:r>
        <w:r w:rsidR="009D30E2">
          <w:rPr>
            <w:noProof/>
            <w:webHidden/>
          </w:rPr>
          <w:tab/>
        </w:r>
        <w:r w:rsidR="009D30E2">
          <w:rPr>
            <w:noProof/>
            <w:webHidden/>
          </w:rPr>
          <w:fldChar w:fldCharType="begin"/>
        </w:r>
        <w:r w:rsidR="009D30E2">
          <w:rPr>
            <w:noProof/>
            <w:webHidden/>
          </w:rPr>
          <w:instrText xml:space="preserve"> PAGEREF _Toc11742132 \h </w:instrText>
        </w:r>
        <w:r w:rsidR="009D30E2">
          <w:rPr>
            <w:noProof/>
            <w:webHidden/>
          </w:rPr>
        </w:r>
        <w:r w:rsidR="009D30E2">
          <w:rPr>
            <w:noProof/>
            <w:webHidden/>
          </w:rPr>
          <w:fldChar w:fldCharType="separate"/>
        </w:r>
        <w:r w:rsidR="009D30E2">
          <w:rPr>
            <w:noProof/>
            <w:webHidden/>
          </w:rPr>
          <w:t>6</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3" w:history="1">
        <w:r w:rsidR="009D30E2" w:rsidRPr="0090757D">
          <w:rPr>
            <w:rStyle w:val="Hyperlink"/>
            <w:noProof/>
          </w:rPr>
          <w:t>Certification &amp; Reporting</w:t>
        </w:r>
        <w:r w:rsidR="009D30E2">
          <w:rPr>
            <w:noProof/>
            <w:webHidden/>
          </w:rPr>
          <w:tab/>
        </w:r>
        <w:r w:rsidR="009D30E2">
          <w:rPr>
            <w:noProof/>
            <w:webHidden/>
          </w:rPr>
          <w:fldChar w:fldCharType="begin"/>
        </w:r>
        <w:r w:rsidR="009D30E2">
          <w:rPr>
            <w:noProof/>
            <w:webHidden/>
          </w:rPr>
          <w:instrText xml:space="preserve"> PAGEREF _Toc11742133 \h </w:instrText>
        </w:r>
        <w:r w:rsidR="009D30E2">
          <w:rPr>
            <w:noProof/>
            <w:webHidden/>
          </w:rPr>
        </w:r>
        <w:r w:rsidR="009D30E2">
          <w:rPr>
            <w:noProof/>
            <w:webHidden/>
          </w:rPr>
          <w:fldChar w:fldCharType="separate"/>
        </w:r>
        <w:r w:rsidR="009D30E2">
          <w:rPr>
            <w:noProof/>
            <w:webHidden/>
          </w:rPr>
          <w:t>6</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4" w:history="1">
        <w:r w:rsidR="009D30E2" w:rsidRPr="0090757D">
          <w:rPr>
            <w:rStyle w:val="Hyperlink"/>
            <w:noProof/>
          </w:rPr>
          <w:t>Permit Shield</w:t>
        </w:r>
        <w:r w:rsidR="009D30E2">
          <w:rPr>
            <w:noProof/>
            <w:webHidden/>
          </w:rPr>
          <w:tab/>
        </w:r>
        <w:r w:rsidR="009D30E2">
          <w:rPr>
            <w:noProof/>
            <w:webHidden/>
          </w:rPr>
          <w:fldChar w:fldCharType="begin"/>
        </w:r>
        <w:r w:rsidR="009D30E2">
          <w:rPr>
            <w:noProof/>
            <w:webHidden/>
          </w:rPr>
          <w:instrText xml:space="preserve"> PAGEREF _Toc11742134 \h </w:instrText>
        </w:r>
        <w:r w:rsidR="009D30E2">
          <w:rPr>
            <w:noProof/>
            <w:webHidden/>
          </w:rPr>
        </w:r>
        <w:r w:rsidR="009D30E2">
          <w:rPr>
            <w:noProof/>
            <w:webHidden/>
          </w:rPr>
          <w:fldChar w:fldCharType="separate"/>
        </w:r>
        <w:r w:rsidR="009D30E2">
          <w:rPr>
            <w:noProof/>
            <w:webHidden/>
          </w:rPr>
          <w:t>7</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5" w:history="1">
        <w:r w:rsidR="009D30E2" w:rsidRPr="0090757D">
          <w:rPr>
            <w:rStyle w:val="Hyperlink"/>
            <w:noProof/>
          </w:rPr>
          <w:t>Revisions</w:t>
        </w:r>
        <w:r w:rsidR="009D30E2">
          <w:rPr>
            <w:noProof/>
            <w:webHidden/>
          </w:rPr>
          <w:tab/>
        </w:r>
        <w:r w:rsidR="009D30E2">
          <w:rPr>
            <w:noProof/>
            <w:webHidden/>
          </w:rPr>
          <w:fldChar w:fldCharType="begin"/>
        </w:r>
        <w:r w:rsidR="009D30E2">
          <w:rPr>
            <w:noProof/>
            <w:webHidden/>
          </w:rPr>
          <w:instrText xml:space="preserve"> PAGEREF _Toc11742135 \h </w:instrText>
        </w:r>
        <w:r w:rsidR="009D30E2">
          <w:rPr>
            <w:noProof/>
            <w:webHidden/>
          </w:rPr>
        </w:r>
        <w:r w:rsidR="009D30E2">
          <w:rPr>
            <w:noProof/>
            <w:webHidden/>
          </w:rPr>
          <w:fldChar w:fldCharType="separate"/>
        </w:r>
        <w:r w:rsidR="009D30E2">
          <w:rPr>
            <w:noProof/>
            <w:webHidden/>
          </w:rPr>
          <w:t>8</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6" w:history="1">
        <w:r w:rsidR="009D30E2" w:rsidRPr="0090757D">
          <w:rPr>
            <w:rStyle w:val="Hyperlink"/>
            <w:noProof/>
          </w:rPr>
          <w:t>Reopenings</w:t>
        </w:r>
        <w:r w:rsidR="009D30E2">
          <w:rPr>
            <w:noProof/>
            <w:webHidden/>
          </w:rPr>
          <w:tab/>
        </w:r>
        <w:r w:rsidR="009D30E2">
          <w:rPr>
            <w:noProof/>
            <w:webHidden/>
          </w:rPr>
          <w:fldChar w:fldCharType="begin"/>
        </w:r>
        <w:r w:rsidR="009D30E2">
          <w:rPr>
            <w:noProof/>
            <w:webHidden/>
          </w:rPr>
          <w:instrText xml:space="preserve"> PAGEREF _Toc11742136 \h </w:instrText>
        </w:r>
        <w:r w:rsidR="009D30E2">
          <w:rPr>
            <w:noProof/>
            <w:webHidden/>
          </w:rPr>
        </w:r>
        <w:r w:rsidR="009D30E2">
          <w:rPr>
            <w:noProof/>
            <w:webHidden/>
          </w:rPr>
          <w:fldChar w:fldCharType="separate"/>
        </w:r>
        <w:r w:rsidR="009D30E2">
          <w:rPr>
            <w:noProof/>
            <w:webHidden/>
          </w:rPr>
          <w:t>8</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7" w:history="1">
        <w:r w:rsidR="009D30E2" w:rsidRPr="0090757D">
          <w:rPr>
            <w:rStyle w:val="Hyperlink"/>
            <w:noProof/>
          </w:rPr>
          <w:t>Renewals</w:t>
        </w:r>
        <w:r w:rsidR="009D30E2">
          <w:rPr>
            <w:noProof/>
            <w:webHidden/>
          </w:rPr>
          <w:tab/>
        </w:r>
        <w:r w:rsidR="009D30E2">
          <w:rPr>
            <w:noProof/>
            <w:webHidden/>
          </w:rPr>
          <w:fldChar w:fldCharType="begin"/>
        </w:r>
        <w:r w:rsidR="009D30E2">
          <w:rPr>
            <w:noProof/>
            <w:webHidden/>
          </w:rPr>
          <w:instrText xml:space="preserve"> PAGEREF _Toc11742137 \h </w:instrText>
        </w:r>
        <w:r w:rsidR="009D30E2">
          <w:rPr>
            <w:noProof/>
            <w:webHidden/>
          </w:rPr>
        </w:r>
        <w:r w:rsidR="009D30E2">
          <w:rPr>
            <w:noProof/>
            <w:webHidden/>
          </w:rPr>
          <w:fldChar w:fldCharType="separate"/>
        </w:r>
        <w:r w:rsidR="009D30E2">
          <w:rPr>
            <w:noProof/>
            <w:webHidden/>
          </w:rPr>
          <w:t>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8" w:history="1">
        <w:r w:rsidR="009D30E2" w:rsidRPr="0090757D">
          <w:rPr>
            <w:rStyle w:val="Hyperlink"/>
            <w:bCs/>
            <w:noProof/>
          </w:rPr>
          <w:t>Stratospheric Ozone Protection</w:t>
        </w:r>
        <w:r w:rsidR="009D30E2">
          <w:rPr>
            <w:noProof/>
            <w:webHidden/>
          </w:rPr>
          <w:tab/>
        </w:r>
        <w:r w:rsidR="009D30E2">
          <w:rPr>
            <w:noProof/>
            <w:webHidden/>
          </w:rPr>
          <w:fldChar w:fldCharType="begin"/>
        </w:r>
        <w:r w:rsidR="009D30E2">
          <w:rPr>
            <w:noProof/>
            <w:webHidden/>
          </w:rPr>
          <w:instrText xml:space="preserve"> PAGEREF _Toc11742138 \h </w:instrText>
        </w:r>
        <w:r w:rsidR="009D30E2">
          <w:rPr>
            <w:noProof/>
            <w:webHidden/>
          </w:rPr>
        </w:r>
        <w:r w:rsidR="009D30E2">
          <w:rPr>
            <w:noProof/>
            <w:webHidden/>
          </w:rPr>
          <w:fldChar w:fldCharType="separate"/>
        </w:r>
        <w:r w:rsidR="009D30E2">
          <w:rPr>
            <w:noProof/>
            <w:webHidden/>
          </w:rPr>
          <w:t>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39" w:history="1">
        <w:r w:rsidR="009D30E2" w:rsidRPr="0090757D">
          <w:rPr>
            <w:rStyle w:val="Hyperlink"/>
            <w:bCs/>
            <w:noProof/>
          </w:rPr>
          <w:t>Risk Management Plan</w:t>
        </w:r>
        <w:r w:rsidR="009D30E2">
          <w:rPr>
            <w:noProof/>
            <w:webHidden/>
          </w:rPr>
          <w:tab/>
        </w:r>
        <w:r w:rsidR="009D30E2">
          <w:rPr>
            <w:noProof/>
            <w:webHidden/>
          </w:rPr>
          <w:fldChar w:fldCharType="begin"/>
        </w:r>
        <w:r w:rsidR="009D30E2">
          <w:rPr>
            <w:noProof/>
            <w:webHidden/>
          </w:rPr>
          <w:instrText xml:space="preserve"> PAGEREF _Toc11742139 \h </w:instrText>
        </w:r>
        <w:r w:rsidR="009D30E2">
          <w:rPr>
            <w:noProof/>
            <w:webHidden/>
          </w:rPr>
        </w:r>
        <w:r w:rsidR="009D30E2">
          <w:rPr>
            <w:noProof/>
            <w:webHidden/>
          </w:rPr>
          <w:fldChar w:fldCharType="separate"/>
        </w:r>
        <w:r w:rsidR="009D30E2">
          <w:rPr>
            <w:noProof/>
            <w:webHidden/>
          </w:rPr>
          <w:t>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40" w:history="1">
        <w:r w:rsidR="009D30E2" w:rsidRPr="0090757D">
          <w:rPr>
            <w:rStyle w:val="Hyperlink"/>
            <w:bCs/>
            <w:noProof/>
          </w:rPr>
          <w:t>Emission Trading</w:t>
        </w:r>
        <w:r w:rsidR="009D30E2">
          <w:rPr>
            <w:noProof/>
            <w:webHidden/>
          </w:rPr>
          <w:tab/>
        </w:r>
        <w:r w:rsidR="009D30E2">
          <w:rPr>
            <w:noProof/>
            <w:webHidden/>
          </w:rPr>
          <w:fldChar w:fldCharType="begin"/>
        </w:r>
        <w:r w:rsidR="009D30E2">
          <w:rPr>
            <w:noProof/>
            <w:webHidden/>
          </w:rPr>
          <w:instrText xml:space="preserve"> PAGEREF _Toc11742140 \h </w:instrText>
        </w:r>
        <w:r w:rsidR="009D30E2">
          <w:rPr>
            <w:noProof/>
            <w:webHidden/>
          </w:rPr>
        </w:r>
        <w:r w:rsidR="009D30E2">
          <w:rPr>
            <w:noProof/>
            <w:webHidden/>
          </w:rPr>
          <w:fldChar w:fldCharType="separate"/>
        </w:r>
        <w:r w:rsidR="009D30E2">
          <w:rPr>
            <w:noProof/>
            <w:webHidden/>
          </w:rPr>
          <w:t>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41" w:history="1">
        <w:r w:rsidR="009D30E2" w:rsidRPr="0090757D">
          <w:rPr>
            <w:rStyle w:val="Hyperlink"/>
            <w:bCs/>
            <w:noProof/>
          </w:rPr>
          <w:t>Permit to Install (PTI)</w:t>
        </w:r>
        <w:r w:rsidR="009D30E2">
          <w:rPr>
            <w:noProof/>
            <w:webHidden/>
          </w:rPr>
          <w:tab/>
        </w:r>
        <w:r w:rsidR="009D30E2">
          <w:rPr>
            <w:noProof/>
            <w:webHidden/>
          </w:rPr>
          <w:fldChar w:fldCharType="begin"/>
        </w:r>
        <w:r w:rsidR="009D30E2">
          <w:rPr>
            <w:noProof/>
            <w:webHidden/>
          </w:rPr>
          <w:instrText xml:space="preserve"> PAGEREF _Toc11742141 \h </w:instrText>
        </w:r>
        <w:r w:rsidR="009D30E2">
          <w:rPr>
            <w:noProof/>
            <w:webHidden/>
          </w:rPr>
        </w:r>
        <w:r w:rsidR="009D30E2">
          <w:rPr>
            <w:noProof/>
            <w:webHidden/>
          </w:rPr>
          <w:fldChar w:fldCharType="separate"/>
        </w:r>
        <w:r w:rsidR="009D30E2">
          <w:rPr>
            <w:noProof/>
            <w:webHidden/>
          </w:rPr>
          <w:t>10</w:t>
        </w:r>
        <w:r w:rsidR="009D30E2">
          <w:rPr>
            <w:noProof/>
            <w:webHidden/>
          </w:rPr>
          <w:fldChar w:fldCharType="end"/>
        </w:r>
      </w:hyperlink>
    </w:p>
    <w:p w:rsidR="009D30E2" w:rsidRDefault="00C2460C">
      <w:pPr>
        <w:pStyle w:val="TOC1"/>
        <w:rPr>
          <w:rFonts w:asciiTheme="minorHAnsi" w:eastAsiaTheme="minorEastAsia" w:hAnsiTheme="minorHAnsi" w:cstheme="minorBidi"/>
          <w:b w:val="0"/>
          <w:noProof/>
        </w:rPr>
      </w:pPr>
      <w:hyperlink w:anchor="_Toc11742142" w:history="1">
        <w:r w:rsidR="009D30E2" w:rsidRPr="0090757D">
          <w:rPr>
            <w:rStyle w:val="Hyperlink"/>
            <w:noProof/>
          </w:rPr>
          <w:t>B.  SOURCE-WIDE CONDITIONS</w:t>
        </w:r>
        <w:r w:rsidR="009D30E2">
          <w:rPr>
            <w:noProof/>
            <w:webHidden/>
          </w:rPr>
          <w:tab/>
        </w:r>
        <w:r w:rsidR="009D30E2">
          <w:rPr>
            <w:noProof/>
            <w:webHidden/>
          </w:rPr>
          <w:fldChar w:fldCharType="begin"/>
        </w:r>
        <w:r w:rsidR="009D30E2">
          <w:rPr>
            <w:noProof/>
            <w:webHidden/>
          </w:rPr>
          <w:instrText xml:space="preserve"> PAGEREF _Toc11742142 \h </w:instrText>
        </w:r>
        <w:r w:rsidR="009D30E2">
          <w:rPr>
            <w:noProof/>
            <w:webHidden/>
          </w:rPr>
        </w:r>
        <w:r w:rsidR="009D30E2">
          <w:rPr>
            <w:noProof/>
            <w:webHidden/>
          </w:rPr>
          <w:fldChar w:fldCharType="separate"/>
        </w:r>
        <w:r w:rsidR="009D30E2">
          <w:rPr>
            <w:noProof/>
            <w:webHidden/>
          </w:rPr>
          <w:t>11</w:t>
        </w:r>
        <w:r w:rsidR="009D30E2">
          <w:rPr>
            <w:noProof/>
            <w:webHidden/>
          </w:rPr>
          <w:fldChar w:fldCharType="end"/>
        </w:r>
      </w:hyperlink>
    </w:p>
    <w:p w:rsidR="009D30E2" w:rsidRDefault="00C2460C">
      <w:pPr>
        <w:pStyle w:val="TOC1"/>
        <w:rPr>
          <w:rFonts w:asciiTheme="minorHAnsi" w:eastAsiaTheme="minorEastAsia" w:hAnsiTheme="minorHAnsi" w:cstheme="minorBidi"/>
          <w:b w:val="0"/>
          <w:noProof/>
        </w:rPr>
      </w:pPr>
      <w:hyperlink w:anchor="_Toc11742143" w:history="1">
        <w:r w:rsidR="009D30E2" w:rsidRPr="0090757D">
          <w:rPr>
            <w:rStyle w:val="Hyperlink"/>
            <w:noProof/>
          </w:rPr>
          <w:t>C.  EMISSION UNIT SPECIAL CONDITIONS</w:t>
        </w:r>
        <w:r w:rsidR="009D30E2">
          <w:rPr>
            <w:noProof/>
            <w:webHidden/>
          </w:rPr>
          <w:tab/>
        </w:r>
        <w:r w:rsidR="009D30E2">
          <w:rPr>
            <w:noProof/>
            <w:webHidden/>
          </w:rPr>
          <w:fldChar w:fldCharType="begin"/>
        </w:r>
        <w:r w:rsidR="009D30E2">
          <w:rPr>
            <w:noProof/>
            <w:webHidden/>
          </w:rPr>
          <w:instrText xml:space="preserve"> PAGEREF _Toc11742143 \h </w:instrText>
        </w:r>
        <w:r w:rsidR="009D30E2">
          <w:rPr>
            <w:noProof/>
            <w:webHidden/>
          </w:rPr>
        </w:r>
        <w:r w:rsidR="009D30E2">
          <w:rPr>
            <w:noProof/>
            <w:webHidden/>
          </w:rPr>
          <w:fldChar w:fldCharType="separate"/>
        </w:r>
        <w:r w:rsidR="009D30E2">
          <w:rPr>
            <w:noProof/>
            <w:webHidden/>
          </w:rPr>
          <w:t>14</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44" w:history="1">
        <w:r w:rsidR="009D30E2" w:rsidRPr="0090757D">
          <w:rPr>
            <w:rStyle w:val="Hyperlink"/>
            <w:noProof/>
          </w:rPr>
          <w:t>EMISSION UNIT SUMMARY TABLE</w:t>
        </w:r>
        <w:r w:rsidR="009D30E2">
          <w:rPr>
            <w:noProof/>
            <w:webHidden/>
          </w:rPr>
          <w:tab/>
        </w:r>
        <w:r w:rsidR="009D30E2">
          <w:rPr>
            <w:noProof/>
            <w:webHidden/>
          </w:rPr>
          <w:fldChar w:fldCharType="begin"/>
        </w:r>
        <w:r w:rsidR="009D30E2">
          <w:rPr>
            <w:noProof/>
            <w:webHidden/>
          </w:rPr>
          <w:instrText xml:space="preserve"> PAGEREF _Toc11742144 \h </w:instrText>
        </w:r>
        <w:r w:rsidR="009D30E2">
          <w:rPr>
            <w:noProof/>
            <w:webHidden/>
          </w:rPr>
        </w:r>
        <w:r w:rsidR="009D30E2">
          <w:rPr>
            <w:noProof/>
            <w:webHidden/>
          </w:rPr>
          <w:fldChar w:fldCharType="separate"/>
        </w:r>
        <w:r w:rsidR="009D30E2">
          <w:rPr>
            <w:noProof/>
            <w:webHidden/>
          </w:rPr>
          <w:t>14</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45" w:history="1">
        <w:r w:rsidR="009D30E2" w:rsidRPr="0090757D">
          <w:rPr>
            <w:rStyle w:val="Hyperlink"/>
            <w:noProof/>
          </w:rPr>
          <w:t>EUSPU3</w:t>
        </w:r>
        <w:r w:rsidR="009D30E2">
          <w:rPr>
            <w:noProof/>
            <w:webHidden/>
          </w:rPr>
          <w:tab/>
        </w:r>
        <w:r w:rsidR="009D30E2">
          <w:rPr>
            <w:noProof/>
            <w:webHidden/>
          </w:rPr>
          <w:fldChar w:fldCharType="begin"/>
        </w:r>
        <w:r w:rsidR="009D30E2">
          <w:rPr>
            <w:noProof/>
            <w:webHidden/>
          </w:rPr>
          <w:instrText xml:space="preserve"> PAGEREF _Toc11742145 \h </w:instrText>
        </w:r>
        <w:r w:rsidR="009D30E2">
          <w:rPr>
            <w:noProof/>
            <w:webHidden/>
          </w:rPr>
        </w:r>
        <w:r w:rsidR="009D30E2">
          <w:rPr>
            <w:noProof/>
            <w:webHidden/>
          </w:rPr>
          <w:fldChar w:fldCharType="separate"/>
        </w:r>
        <w:r w:rsidR="009D30E2">
          <w:rPr>
            <w:noProof/>
            <w:webHidden/>
          </w:rPr>
          <w:t>15</w:t>
        </w:r>
        <w:r w:rsidR="009D30E2">
          <w:rPr>
            <w:noProof/>
            <w:webHidden/>
          </w:rPr>
          <w:fldChar w:fldCharType="end"/>
        </w:r>
      </w:hyperlink>
    </w:p>
    <w:p w:rsidR="009D30E2" w:rsidRDefault="00C2460C">
      <w:pPr>
        <w:pStyle w:val="TOC1"/>
        <w:rPr>
          <w:rFonts w:asciiTheme="minorHAnsi" w:eastAsiaTheme="minorEastAsia" w:hAnsiTheme="minorHAnsi" w:cstheme="minorBidi"/>
          <w:b w:val="0"/>
          <w:noProof/>
        </w:rPr>
      </w:pPr>
      <w:hyperlink w:anchor="_Toc11742146" w:history="1">
        <w:r w:rsidR="009D30E2" w:rsidRPr="0090757D">
          <w:rPr>
            <w:rStyle w:val="Hyperlink"/>
            <w:noProof/>
          </w:rPr>
          <w:t>D.  FLEXIBLE GROUP SPECIAL CONDITIONS</w:t>
        </w:r>
        <w:r w:rsidR="009D30E2">
          <w:rPr>
            <w:noProof/>
            <w:webHidden/>
          </w:rPr>
          <w:tab/>
        </w:r>
        <w:r w:rsidR="009D30E2">
          <w:rPr>
            <w:noProof/>
            <w:webHidden/>
          </w:rPr>
          <w:fldChar w:fldCharType="begin"/>
        </w:r>
        <w:r w:rsidR="009D30E2">
          <w:rPr>
            <w:noProof/>
            <w:webHidden/>
          </w:rPr>
          <w:instrText xml:space="preserve"> PAGEREF _Toc11742146 \h </w:instrText>
        </w:r>
        <w:r w:rsidR="009D30E2">
          <w:rPr>
            <w:noProof/>
            <w:webHidden/>
          </w:rPr>
        </w:r>
        <w:r w:rsidR="009D30E2">
          <w:rPr>
            <w:noProof/>
            <w:webHidden/>
          </w:rPr>
          <w:fldChar w:fldCharType="separate"/>
        </w:r>
        <w:r w:rsidR="009D30E2">
          <w:rPr>
            <w:noProof/>
            <w:webHidden/>
          </w:rPr>
          <w:t>19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47" w:history="1">
        <w:r w:rsidR="009D30E2" w:rsidRPr="0090757D">
          <w:rPr>
            <w:rStyle w:val="Hyperlink"/>
            <w:bCs/>
            <w:noProof/>
          </w:rPr>
          <w:t>FLEXIBLE GROUP SUMMARY TABLE</w:t>
        </w:r>
        <w:r w:rsidR="009D30E2">
          <w:rPr>
            <w:noProof/>
            <w:webHidden/>
          </w:rPr>
          <w:tab/>
        </w:r>
        <w:r w:rsidR="009D30E2">
          <w:rPr>
            <w:noProof/>
            <w:webHidden/>
          </w:rPr>
          <w:fldChar w:fldCharType="begin"/>
        </w:r>
        <w:r w:rsidR="009D30E2">
          <w:rPr>
            <w:noProof/>
            <w:webHidden/>
          </w:rPr>
          <w:instrText xml:space="preserve"> PAGEREF _Toc11742147 \h </w:instrText>
        </w:r>
        <w:r w:rsidR="009D30E2">
          <w:rPr>
            <w:noProof/>
            <w:webHidden/>
          </w:rPr>
        </w:r>
        <w:r w:rsidR="009D30E2">
          <w:rPr>
            <w:noProof/>
            <w:webHidden/>
          </w:rPr>
          <w:fldChar w:fldCharType="separate"/>
        </w:r>
        <w:r w:rsidR="009D30E2">
          <w:rPr>
            <w:noProof/>
            <w:webHidden/>
          </w:rPr>
          <w:t>19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48" w:history="1">
        <w:r w:rsidR="009D30E2" w:rsidRPr="0090757D">
          <w:rPr>
            <w:rStyle w:val="Hyperlink"/>
            <w:bCs/>
            <w:iCs/>
            <w:noProof/>
          </w:rPr>
          <w:t>FGTURBINES</w:t>
        </w:r>
        <w:r w:rsidR="009D30E2">
          <w:rPr>
            <w:noProof/>
            <w:webHidden/>
          </w:rPr>
          <w:tab/>
        </w:r>
        <w:r w:rsidR="009D30E2">
          <w:rPr>
            <w:noProof/>
            <w:webHidden/>
          </w:rPr>
          <w:fldChar w:fldCharType="begin"/>
        </w:r>
        <w:r w:rsidR="009D30E2">
          <w:rPr>
            <w:noProof/>
            <w:webHidden/>
          </w:rPr>
          <w:instrText xml:space="preserve"> PAGEREF _Toc11742148 \h </w:instrText>
        </w:r>
        <w:r w:rsidR="009D30E2">
          <w:rPr>
            <w:noProof/>
            <w:webHidden/>
          </w:rPr>
        </w:r>
        <w:r w:rsidR="009D30E2">
          <w:rPr>
            <w:noProof/>
            <w:webHidden/>
          </w:rPr>
          <w:fldChar w:fldCharType="separate"/>
        </w:r>
        <w:r w:rsidR="009D30E2">
          <w:rPr>
            <w:noProof/>
            <w:webHidden/>
          </w:rPr>
          <w:t>20</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49" w:history="1">
        <w:r w:rsidR="009D30E2" w:rsidRPr="0090757D">
          <w:rPr>
            <w:rStyle w:val="Hyperlink"/>
            <w:noProof/>
          </w:rPr>
          <w:t>FGRULE 285(2)(mm)</w:t>
        </w:r>
        <w:r w:rsidR="009D30E2">
          <w:rPr>
            <w:noProof/>
            <w:webHidden/>
          </w:rPr>
          <w:tab/>
        </w:r>
        <w:r w:rsidR="009D30E2">
          <w:rPr>
            <w:noProof/>
            <w:webHidden/>
          </w:rPr>
          <w:fldChar w:fldCharType="begin"/>
        </w:r>
        <w:r w:rsidR="009D30E2">
          <w:rPr>
            <w:noProof/>
            <w:webHidden/>
          </w:rPr>
          <w:instrText xml:space="preserve"> PAGEREF _Toc11742149 \h </w:instrText>
        </w:r>
        <w:r w:rsidR="009D30E2">
          <w:rPr>
            <w:noProof/>
            <w:webHidden/>
          </w:rPr>
        </w:r>
        <w:r w:rsidR="009D30E2">
          <w:rPr>
            <w:noProof/>
            <w:webHidden/>
          </w:rPr>
          <w:fldChar w:fldCharType="separate"/>
        </w:r>
        <w:r w:rsidR="009D30E2">
          <w:rPr>
            <w:noProof/>
            <w:webHidden/>
          </w:rPr>
          <w:t>24</w:t>
        </w:r>
        <w:r w:rsidR="009D30E2">
          <w:rPr>
            <w:noProof/>
            <w:webHidden/>
          </w:rPr>
          <w:fldChar w:fldCharType="end"/>
        </w:r>
      </w:hyperlink>
    </w:p>
    <w:p w:rsidR="009D30E2" w:rsidRDefault="00C2460C">
      <w:pPr>
        <w:pStyle w:val="TOC1"/>
        <w:rPr>
          <w:rFonts w:asciiTheme="minorHAnsi" w:eastAsiaTheme="minorEastAsia" w:hAnsiTheme="minorHAnsi" w:cstheme="minorBidi"/>
          <w:b w:val="0"/>
          <w:noProof/>
        </w:rPr>
      </w:pPr>
      <w:hyperlink w:anchor="_Toc11742150" w:history="1">
        <w:r w:rsidR="009D30E2" w:rsidRPr="0090757D">
          <w:rPr>
            <w:rStyle w:val="Hyperlink"/>
            <w:noProof/>
          </w:rPr>
          <w:t>E.  NON-APPLICABLE REQUIREMENTS</w:t>
        </w:r>
        <w:r w:rsidR="009D30E2">
          <w:rPr>
            <w:noProof/>
            <w:webHidden/>
          </w:rPr>
          <w:tab/>
        </w:r>
        <w:r w:rsidR="009D30E2">
          <w:rPr>
            <w:noProof/>
            <w:webHidden/>
          </w:rPr>
          <w:fldChar w:fldCharType="begin"/>
        </w:r>
        <w:r w:rsidR="009D30E2">
          <w:rPr>
            <w:noProof/>
            <w:webHidden/>
          </w:rPr>
          <w:instrText xml:space="preserve"> PAGEREF _Toc11742150 \h </w:instrText>
        </w:r>
        <w:r w:rsidR="009D30E2">
          <w:rPr>
            <w:noProof/>
            <w:webHidden/>
          </w:rPr>
        </w:r>
        <w:r w:rsidR="009D30E2">
          <w:rPr>
            <w:noProof/>
            <w:webHidden/>
          </w:rPr>
          <w:fldChar w:fldCharType="separate"/>
        </w:r>
        <w:r w:rsidR="009D30E2">
          <w:rPr>
            <w:noProof/>
            <w:webHidden/>
          </w:rPr>
          <w:t>26</w:t>
        </w:r>
        <w:r w:rsidR="009D30E2">
          <w:rPr>
            <w:noProof/>
            <w:webHidden/>
          </w:rPr>
          <w:fldChar w:fldCharType="end"/>
        </w:r>
      </w:hyperlink>
    </w:p>
    <w:p w:rsidR="009D30E2" w:rsidRDefault="00C2460C">
      <w:pPr>
        <w:pStyle w:val="TOC1"/>
        <w:rPr>
          <w:rFonts w:asciiTheme="minorHAnsi" w:eastAsiaTheme="minorEastAsia" w:hAnsiTheme="minorHAnsi" w:cstheme="minorBidi"/>
          <w:b w:val="0"/>
          <w:noProof/>
        </w:rPr>
      </w:pPr>
      <w:hyperlink w:anchor="_Toc11742151" w:history="1">
        <w:r w:rsidR="009D30E2" w:rsidRPr="0090757D">
          <w:rPr>
            <w:rStyle w:val="Hyperlink"/>
            <w:noProof/>
            <w:kern w:val="28"/>
          </w:rPr>
          <w:t>APPENDICES</w:t>
        </w:r>
        <w:r w:rsidR="009D30E2">
          <w:rPr>
            <w:noProof/>
            <w:webHidden/>
          </w:rPr>
          <w:tab/>
        </w:r>
        <w:r w:rsidR="009D30E2">
          <w:rPr>
            <w:noProof/>
            <w:webHidden/>
          </w:rPr>
          <w:fldChar w:fldCharType="begin"/>
        </w:r>
        <w:r w:rsidR="009D30E2">
          <w:rPr>
            <w:noProof/>
            <w:webHidden/>
          </w:rPr>
          <w:instrText xml:space="preserve"> PAGEREF _Toc11742151 \h </w:instrText>
        </w:r>
        <w:r w:rsidR="009D30E2">
          <w:rPr>
            <w:noProof/>
            <w:webHidden/>
          </w:rPr>
        </w:r>
        <w:r w:rsidR="009D30E2">
          <w:rPr>
            <w:noProof/>
            <w:webHidden/>
          </w:rPr>
          <w:fldChar w:fldCharType="separate"/>
        </w:r>
        <w:r w:rsidR="009D30E2">
          <w:rPr>
            <w:noProof/>
            <w:webHidden/>
          </w:rPr>
          <w:t>27</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2" w:history="1">
        <w:r w:rsidR="009D30E2" w:rsidRPr="0090757D">
          <w:rPr>
            <w:rStyle w:val="Hyperlink"/>
            <w:noProof/>
          </w:rPr>
          <w:t>Appendix 1.  Acronyms and Abbreviations</w:t>
        </w:r>
        <w:r w:rsidR="009D30E2">
          <w:rPr>
            <w:noProof/>
            <w:webHidden/>
          </w:rPr>
          <w:tab/>
        </w:r>
        <w:r w:rsidR="009D30E2">
          <w:rPr>
            <w:noProof/>
            <w:webHidden/>
          </w:rPr>
          <w:fldChar w:fldCharType="begin"/>
        </w:r>
        <w:r w:rsidR="009D30E2">
          <w:rPr>
            <w:noProof/>
            <w:webHidden/>
          </w:rPr>
          <w:instrText xml:space="preserve"> PAGEREF _Toc11742152 \h </w:instrText>
        </w:r>
        <w:r w:rsidR="009D30E2">
          <w:rPr>
            <w:noProof/>
            <w:webHidden/>
          </w:rPr>
        </w:r>
        <w:r w:rsidR="009D30E2">
          <w:rPr>
            <w:noProof/>
            <w:webHidden/>
          </w:rPr>
          <w:fldChar w:fldCharType="separate"/>
        </w:r>
        <w:r w:rsidR="009D30E2">
          <w:rPr>
            <w:noProof/>
            <w:webHidden/>
          </w:rPr>
          <w:t>27</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3" w:history="1">
        <w:r w:rsidR="009D30E2" w:rsidRPr="0090757D">
          <w:rPr>
            <w:rStyle w:val="Hyperlink"/>
            <w:bCs/>
            <w:noProof/>
          </w:rPr>
          <w:t>Appendix 2.  Schedule of Compliance</w:t>
        </w:r>
        <w:r w:rsidR="009D30E2">
          <w:rPr>
            <w:noProof/>
            <w:webHidden/>
          </w:rPr>
          <w:tab/>
        </w:r>
        <w:r w:rsidR="009D30E2">
          <w:rPr>
            <w:noProof/>
            <w:webHidden/>
          </w:rPr>
          <w:fldChar w:fldCharType="begin"/>
        </w:r>
        <w:r w:rsidR="009D30E2">
          <w:rPr>
            <w:noProof/>
            <w:webHidden/>
          </w:rPr>
          <w:instrText xml:space="preserve"> PAGEREF _Toc11742153 \h </w:instrText>
        </w:r>
        <w:r w:rsidR="009D30E2">
          <w:rPr>
            <w:noProof/>
            <w:webHidden/>
          </w:rPr>
        </w:r>
        <w:r w:rsidR="009D30E2">
          <w:rPr>
            <w:noProof/>
            <w:webHidden/>
          </w:rPr>
          <w:fldChar w:fldCharType="separate"/>
        </w:r>
        <w:r w:rsidR="009D30E2">
          <w:rPr>
            <w:noProof/>
            <w:webHidden/>
          </w:rPr>
          <w:t>28</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4" w:history="1">
        <w:r w:rsidR="009D30E2" w:rsidRPr="0090757D">
          <w:rPr>
            <w:rStyle w:val="Hyperlink"/>
            <w:noProof/>
          </w:rPr>
          <w:t>Appendix 3.  Monitoring Requirements</w:t>
        </w:r>
        <w:r w:rsidR="009D30E2">
          <w:rPr>
            <w:noProof/>
            <w:webHidden/>
          </w:rPr>
          <w:tab/>
        </w:r>
        <w:r w:rsidR="009D30E2">
          <w:rPr>
            <w:noProof/>
            <w:webHidden/>
          </w:rPr>
          <w:fldChar w:fldCharType="begin"/>
        </w:r>
        <w:r w:rsidR="009D30E2">
          <w:rPr>
            <w:noProof/>
            <w:webHidden/>
          </w:rPr>
          <w:instrText xml:space="preserve"> PAGEREF _Toc11742154 \h </w:instrText>
        </w:r>
        <w:r w:rsidR="009D30E2">
          <w:rPr>
            <w:noProof/>
            <w:webHidden/>
          </w:rPr>
        </w:r>
        <w:r w:rsidR="009D30E2">
          <w:rPr>
            <w:noProof/>
            <w:webHidden/>
          </w:rPr>
          <w:fldChar w:fldCharType="separate"/>
        </w:r>
        <w:r w:rsidR="009D30E2">
          <w:rPr>
            <w:noProof/>
            <w:webHidden/>
          </w:rPr>
          <w:t>28</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5" w:history="1">
        <w:r w:rsidR="009D30E2" w:rsidRPr="0090757D">
          <w:rPr>
            <w:rStyle w:val="Hyperlink"/>
            <w:noProof/>
          </w:rPr>
          <w:t>Appendix 4.  Recordkeeping</w:t>
        </w:r>
        <w:r w:rsidR="009D30E2">
          <w:rPr>
            <w:noProof/>
            <w:webHidden/>
          </w:rPr>
          <w:tab/>
        </w:r>
        <w:r w:rsidR="009D30E2">
          <w:rPr>
            <w:noProof/>
            <w:webHidden/>
          </w:rPr>
          <w:fldChar w:fldCharType="begin"/>
        </w:r>
        <w:r w:rsidR="009D30E2">
          <w:rPr>
            <w:noProof/>
            <w:webHidden/>
          </w:rPr>
          <w:instrText xml:space="preserve"> PAGEREF _Toc11742155 \h </w:instrText>
        </w:r>
        <w:r w:rsidR="009D30E2">
          <w:rPr>
            <w:noProof/>
            <w:webHidden/>
          </w:rPr>
        </w:r>
        <w:r w:rsidR="009D30E2">
          <w:rPr>
            <w:noProof/>
            <w:webHidden/>
          </w:rPr>
          <w:fldChar w:fldCharType="separate"/>
        </w:r>
        <w:r w:rsidR="009D30E2">
          <w:rPr>
            <w:noProof/>
            <w:webHidden/>
          </w:rPr>
          <w:t>28</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6" w:history="1">
        <w:r w:rsidR="009D30E2" w:rsidRPr="0090757D">
          <w:rPr>
            <w:rStyle w:val="Hyperlink"/>
            <w:noProof/>
          </w:rPr>
          <w:t>Appendix 5.  Testing Procedures</w:t>
        </w:r>
        <w:r w:rsidR="009D30E2">
          <w:rPr>
            <w:noProof/>
            <w:webHidden/>
          </w:rPr>
          <w:tab/>
        </w:r>
        <w:r w:rsidR="009D30E2">
          <w:rPr>
            <w:noProof/>
            <w:webHidden/>
          </w:rPr>
          <w:fldChar w:fldCharType="begin"/>
        </w:r>
        <w:r w:rsidR="009D30E2">
          <w:rPr>
            <w:noProof/>
            <w:webHidden/>
          </w:rPr>
          <w:instrText xml:space="preserve"> PAGEREF _Toc11742156 \h </w:instrText>
        </w:r>
        <w:r w:rsidR="009D30E2">
          <w:rPr>
            <w:noProof/>
            <w:webHidden/>
          </w:rPr>
        </w:r>
        <w:r w:rsidR="009D30E2">
          <w:rPr>
            <w:noProof/>
            <w:webHidden/>
          </w:rPr>
          <w:fldChar w:fldCharType="separate"/>
        </w:r>
        <w:r w:rsidR="009D30E2">
          <w:rPr>
            <w:noProof/>
            <w:webHidden/>
          </w:rPr>
          <w:t>28</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7" w:history="1">
        <w:r w:rsidR="009D30E2" w:rsidRPr="0090757D">
          <w:rPr>
            <w:rStyle w:val="Hyperlink"/>
            <w:noProof/>
          </w:rPr>
          <w:t>Appendix 6.  Permits to Install</w:t>
        </w:r>
        <w:r w:rsidR="009D30E2">
          <w:rPr>
            <w:noProof/>
            <w:webHidden/>
          </w:rPr>
          <w:tab/>
        </w:r>
        <w:r w:rsidR="009D30E2">
          <w:rPr>
            <w:noProof/>
            <w:webHidden/>
          </w:rPr>
          <w:fldChar w:fldCharType="begin"/>
        </w:r>
        <w:r w:rsidR="009D30E2">
          <w:rPr>
            <w:noProof/>
            <w:webHidden/>
          </w:rPr>
          <w:instrText xml:space="preserve"> PAGEREF _Toc11742157 \h </w:instrText>
        </w:r>
        <w:r w:rsidR="009D30E2">
          <w:rPr>
            <w:noProof/>
            <w:webHidden/>
          </w:rPr>
        </w:r>
        <w:r w:rsidR="009D30E2">
          <w:rPr>
            <w:noProof/>
            <w:webHidden/>
          </w:rPr>
          <w:fldChar w:fldCharType="separate"/>
        </w:r>
        <w:r w:rsidR="009D30E2">
          <w:rPr>
            <w:noProof/>
            <w:webHidden/>
          </w:rPr>
          <w:t>29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8" w:history="1">
        <w:r w:rsidR="009D30E2" w:rsidRPr="0090757D">
          <w:rPr>
            <w:rStyle w:val="Hyperlink"/>
            <w:noProof/>
          </w:rPr>
          <w:t>Appendix 7.  Emission Calculations</w:t>
        </w:r>
        <w:r w:rsidR="009D30E2">
          <w:rPr>
            <w:noProof/>
            <w:webHidden/>
          </w:rPr>
          <w:tab/>
        </w:r>
        <w:r w:rsidR="009D30E2">
          <w:rPr>
            <w:noProof/>
            <w:webHidden/>
          </w:rPr>
          <w:fldChar w:fldCharType="begin"/>
        </w:r>
        <w:r w:rsidR="009D30E2">
          <w:rPr>
            <w:noProof/>
            <w:webHidden/>
          </w:rPr>
          <w:instrText xml:space="preserve"> PAGEREF _Toc11742158 \h </w:instrText>
        </w:r>
        <w:r w:rsidR="009D30E2">
          <w:rPr>
            <w:noProof/>
            <w:webHidden/>
          </w:rPr>
        </w:r>
        <w:r w:rsidR="009D30E2">
          <w:rPr>
            <w:noProof/>
            <w:webHidden/>
          </w:rPr>
          <w:fldChar w:fldCharType="separate"/>
        </w:r>
        <w:r w:rsidR="009D30E2">
          <w:rPr>
            <w:noProof/>
            <w:webHidden/>
          </w:rPr>
          <w:t>29</w:t>
        </w:r>
        <w:r w:rsidR="009D30E2">
          <w:rPr>
            <w:noProof/>
            <w:webHidden/>
          </w:rPr>
          <w:fldChar w:fldCharType="end"/>
        </w:r>
      </w:hyperlink>
    </w:p>
    <w:p w:rsidR="009D30E2" w:rsidRDefault="00C2460C">
      <w:pPr>
        <w:pStyle w:val="TOC2"/>
        <w:rPr>
          <w:rFonts w:asciiTheme="minorHAnsi" w:eastAsiaTheme="minorEastAsia" w:hAnsiTheme="minorHAnsi" w:cstheme="minorBidi"/>
          <w:noProof/>
        </w:rPr>
      </w:pPr>
      <w:hyperlink w:anchor="_Toc11742159" w:history="1">
        <w:r w:rsidR="009D30E2" w:rsidRPr="0090757D">
          <w:rPr>
            <w:rStyle w:val="Hyperlink"/>
            <w:noProof/>
          </w:rPr>
          <w:t>Appendix 8.  Reporting</w:t>
        </w:r>
        <w:r w:rsidR="009D30E2">
          <w:rPr>
            <w:noProof/>
            <w:webHidden/>
          </w:rPr>
          <w:tab/>
        </w:r>
        <w:r w:rsidR="009D30E2">
          <w:rPr>
            <w:noProof/>
            <w:webHidden/>
          </w:rPr>
          <w:fldChar w:fldCharType="begin"/>
        </w:r>
        <w:r w:rsidR="009D30E2">
          <w:rPr>
            <w:noProof/>
            <w:webHidden/>
          </w:rPr>
          <w:instrText xml:space="preserve"> PAGEREF _Toc11742159 \h </w:instrText>
        </w:r>
        <w:r w:rsidR="009D30E2">
          <w:rPr>
            <w:noProof/>
            <w:webHidden/>
          </w:rPr>
        </w:r>
        <w:r w:rsidR="009D30E2">
          <w:rPr>
            <w:noProof/>
            <w:webHidden/>
          </w:rPr>
          <w:fldChar w:fldCharType="separate"/>
        </w:r>
        <w:r w:rsidR="009D30E2">
          <w:rPr>
            <w:noProof/>
            <w:webHidden/>
          </w:rPr>
          <w:t>30</w:t>
        </w:r>
        <w:r w:rsidR="009D30E2">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3" w:name="_Toc1453501"/>
    </w:p>
    <w:p w:rsidR="00C2618F" w:rsidRPr="00961169" w:rsidRDefault="00C2618F" w:rsidP="00CE44D8">
      <w:pPr>
        <w:pStyle w:val="Heading1"/>
      </w:pPr>
      <w:bookmarkStart w:id="14" w:name="_Toc11742125"/>
      <w:r w:rsidRPr="00961169">
        <w:lastRenderedPageBreak/>
        <w:t>A</w:t>
      </w:r>
      <w:r>
        <w:t>UTHORITY AND ENFORCEABILITY</w:t>
      </w:r>
      <w:bookmarkEnd w:id="13"/>
      <w:bookmarkEnd w:id="14"/>
    </w:p>
    <w:p w:rsidR="00FA25C4" w:rsidRDefault="00FA25C4" w:rsidP="00C2618F">
      <w:pPr>
        <w:jc w:val="both"/>
        <w:rPr>
          <w:szCs w:val="22"/>
        </w:rPr>
      </w:pPr>
    </w:p>
    <w:p w:rsidR="007718C6" w:rsidRDefault="007718C6" w:rsidP="00C2618F">
      <w:pPr>
        <w:jc w:val="both"/>
        <w:rPr>
          <w:szCs w:val="22"/>
        </w:rPr>
      </w:pPr>
    </w:p>
    <w:p w:rsidR="009F147E" w:rsidRPr="006A1190" w:rsidRDefault="009F147E" w:rsidP="009F147E">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rsidR="009F147E" w:rsidRPr="006A1190" w:rsidRDefault="009F147E" w:rsidP="009F147E">
      <w:pPr>
        <w:jc w:val="both"/>
        <w:rPr>
          <w:szCs w:val="22"/>
        </w:rPr>
      </w:pPr>
    </w:p>
    <w:p w:rsidR="009F147E" w:rsidRPr="006A1190" w:rsidRDefault="009F147E" w:rsidP="009F147E">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rsidR="009F147E" w:rsidRDefault="009F147E" w:rsidP="009F147E">
      <w:pPr>
        <w:jc w:val="both"/>
        <w:rPr>
          <w:szCs w:val="22"/>
        </w:rPr>
      </w:pPr>
    </w:p>
    <w:p w:rsidR="009F147E" w:rsidRPr="006A1190" w:rsidRDefault="009F147E" w:rsidP="009F147E">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rsidR="009F147E" w:rsidRDefault="009F147E" w:rsidP="009F147E">
      <w:pPr>
        <w:jc w:val="both"/>
        <w:rPr>
          <w:szCs w:val="22"/>
        </w:rPr>
      </w:pPr>
    </w:p>
    <w:p w:rsidR="009F147E" w:rsidRDefault="009F147E" w:rsidP="009F147E">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9F147E" w:rsidRDefault="009F147E" w:rsidP="009F147E">
      <w:pPr>
        <w:jc w:val="both"/>
        <w:rPr>
          <w:rFonts w:cs="Arial"/>
          <w:szCs w:val="22"/>
        </w:rPr>
      </w:pPr>
    </w:p>
    <w:p w:rsidR="009F147E" w:rsidRPr="006A1190" w:rsidRDefault="009F147E" w:rsidP="009F147E">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5" w:name="_Toc1453503"/>
      <w:r>
        <w:br w:type="page"/>
      </w:r>
    </w:p>
    <w:p w:rsidR="005420E5" w:rsidRDefault="005E5399" w:rsidP="00CE44D8">
      <w:pPr>
        <w:pStyle w:val="Heading1"/>
      </w:pPr>
      <w:bookmarkStart w:id="16" w:name="_Toc11742126"/>
      <w:r>
        <w:lastRenderedPageBreak/>
        <w:t xml:space="preserve">A.  GENERAL </w:t>
      </w:r>
      <w:bookmarkEnd w:id="15"/>
      <w:r w:rsidR="00E9713D">
        <w:t>CONDITIONS</w:t>
      </w:r>
      <w:bookmarkEnd w:id="16"/>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74212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Default="00F6033B" w:rsidP="0012743F">
      <w:pPr>
        <w:pStyle w:val="ListParagraph"/>
        <w:ind w:left="0"/>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11742128"/>
      <w:r w:rsidRPr="0075518C">
        <w:rPr>
          <w:sz w:val="22"/>
          <w:szCs w:val="22"/>
        </w:rPr>
        <w:t xml:space="preserve">General </w:t>
      </w:r>
      <w:bookmarkEnd w:id="37"/>
      <w:bookmarkEnd w:id="38"/>
      <w:r w:rsidR="00E9713D" w:rsidRPr="0075518C">
        <w:rPr>
          <w:sz w:val="22"/>
          <w:szCs w:val="22"/>
        </w:rPr>
        <w:t>Provisions</w:t>
      </w:r>
      <w:bookmarkEnd w:id="39"/>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0" w:name="_Toc11742129"/>
      <w:r w:rsidRPr="0075518C">
        <w:rPr>
          <w:sz w:val="22"/>
          <w:szCs w:val="22"/>
        </w:rPr>
        <w:t>Equipment &amp; Design</w:t>
      </w:r>
      <w:bookmarkEnd w:id="40"/>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1" w:name="_Toc11742130"/>
      <w:r w:rsidRPr="0075518C">
        <w:rPr>
          <w:sz w:val="22"/>
          <w:szCs w:val="22"/>
        </w:rPr>
        <w:t>Emission Limits</w:t>
      </w:r>
      <w:bookmarkEnd w:id="41"/>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12743F">
      <w:pPr>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2743F">
      <w:pPr>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2" w:name="_Toc11742131"/>
      <w:r w:rsidRPr="0075518C">
        <w:rPr>
          <w:sz w:val="22"/>
          <w:szCs w:val="22"/>
        </w:rPr>
        <w:t>Testing/Sampling</w:t>
      </w:r>
      <w:bookmarkEnd w:id="42"/>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3" w:name="_Toc11742132"/>
      <w:r w:rsidRPr="0075518C">
        <w:rPr>
          <w:sz w:val="22"/>
          <w:szCs w:val="22"/>
        </w:rPr>
        <w:lastRenderedPageBreak/>
        <w:t>Monitoring/Recordkeeping</w:t>
      </w:r>
      <w:bookmarkEnd w:id="43"/>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4" w:name="_Toc11742133"/>
      <w:r w:rsidRPr="0075518C">
        <w:rPr>
          <w:sz w:val="22"/>
          <w:szCs w:val="22"/>
        </w:rPr>
        <w:t>Certification</w:t>
      </w:r>
      <w:r w:rsidR="00A92A65" w:rsidRPr="0075518C">
        <w:rPr>
          <w:sz w:val="22"/>
          <w:szCs w:val="22"/>
        </w:rPr>
        <w:t xml:space="preserve"> &amp; Reporting</w:t>
      </w:r>
      <w:bookmarkEnd w:id="44"/>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5" w:name="_Toc11742134"/>
      <w:r w:rsidRPr="0075518C">
        <w:rPr>
          <w:sz w:val="22"/>
          <w:szCs w:val="22"/>
        </w:rPr>
        <w:t>Permit Shield</w:t>
      </w:r>
      <w:bookmarkEnd w:id="45"/>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12743F">
      <w:pPr>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6" w:name="_Toc11742135"/>
      <w:r w:rsidRPr="0075518C">
        <w:rPr>
          <w:sz w:val="22"/>
          <w:szCs w:val="22"/>
        </w:rPr>
        <w:t>Revisions</w:t>
      </w:r>
      <w:bookmarkEnd w:id="46"/>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7" w:name="_Toc11742136"/>
      <w:r w:rsidRPr="0075518C">
        <w:rPr>
          <w:sz w:val="22"/>
          <w:szCs w:val="22"/>
        </w:rPr>
        <w:t>Reopenings</w:t>
      </w:r>
      <w:bookmarkEnd w:id="47"/>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48" w:name="_Toc11742137"/>
      <w:r w:rsidRPr="0075518C">
        <w:rPr>
          <w:sz w:val="22"/>
          <w:szCs w:val="22"/>
        </w:rPr>
        <w:lastRenderedPageBreak/>
        <w:t>Renewals</w:t>
      </w:r>
      <w:bookmarkEnd w:id="48"/>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11742138"/>
      <w:r w:rsidRPr="0075518C">
        <w:rPr>
          <w:bCs/>
          <w:sz w:val="22"/>
        </w:rPr>
        <w:t>Stratospheric Ozone Protection</w:t>
      </w:r>
      <w:bookmarkEnd w:id="49"/>
      <w:bookmarkEnd w:id="50"/>
      <w:bookmarkEnd w:id="51"/>
    </w:p>
    <w:p w:rsidR="00CE1923" w:rsidRPr="00F21983" w:rsidRDefault="00CE1923" w:rsidP="004F09CF">
      <w:pPr>
        <w:jc w:val="both"/>
        <w:rPr>
          <w:sz w:val="20"/>
        </w:rPr>
      </w:pPr>
    </w:p>
    <w:p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2" w:name="_Toc457189947"/>
      <w:bookmarkStart w:id="53" w:name="_Toc1453510"/>
      <w:bookmarkStart w:id="54" w:name="_Toc11742139"/>
      <w:r w:rsidRPr="0075518C">
        <w:rPr>
          <w:bCs/>
          <w:sz w:val="22"/>
        </w:rPr>
        <w:t>Risk Management Plan</w:t>
      </w:r>
      <w:bookmarkEnd w:id="52"/>
      <w:bookmarkEnd w:id="53"/>
      <w:bookmarkEnd w:id="54"/>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7713F1" w:rsidRDefault="00D41714" w:rsidP="004F09CF">
      <w:pPr>
        <w:numPr>
          <w:ilvl w:val="12"/>
          <w:numId w:val="0"/>
        </w:numPr>
        <w:ind w:left="432" w:hanging="432"/>
        <w:jc w:val="both"/>
        <w:rPr>
          <w:rFonts w:cs="Arial"/>
          <w:sz w:val="20"/>
        </w:rPr>
      </w:pPr>
    </w:p>
    <w:p w:rsidR="00F557DA" w:rsidRPr="0075518C" w:rsidRDefault="00F557DA" w:rsidP="0075518C">
      <w:pPr>
        <w:pStyle w:val="Heading2"/>
        <w:numPr>
          <w:ilvl w:val="0"/>
          <w:numId w:val="0"/>
        </w:numPr>
        <w:jc w:val="left"/>
        <w:rPr>
          <w:bCs/>
          <w:sz w:val="22"/>
        </w:rPr>
      </w:pPr>
      <w:bookmarkStart w:id="55" w:name="_Toc11742140"/>
      <w:r w:rsidRPr="0075518C">
        <w:rPr>
          <w:bCs/>
          <w:sz w:val="22"/>
        </w:rPr>
        <w:t>Emission Trading</w:t>
      </w:r>
      <w:bookmarkEnd w:id="55"/>
    </w:p>
    <w:p w:rsidR="00F557DA" w:rsidRPr="007713F1" w:rsidRDefault="00F557DA" w:rsidP="00D41714">
      <w:pPr>
        <w:numPr>
          <w:ilvl w:val="12"/>
          <w:numId w:val="0"/>
        </w:numPr>
        <w:ind w:left="432" w:hanging="432"/>
        <w:rPr>
          <w:rFonts w:cs="Arial"/>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C17B92" w:rsidP="00393A6F">
      <w:pPr>
        <w:rPr>
          <w:sz w:val="20"/>
        </w:rPr>
      </w:pPr>
      <w:bookmarkStart w:id="56" w:name="_Toc1453511"/>
      <w:r>
        <w:rPr>
          <w:sz w:val="20"/>
        </w:rPr>
        <w:br w:type="page"/>
      </w:r>
    </w:p>
    <w:p w:rsidR="00A775C6" w:rsidRPr="0075518C" w:rsidRDefault="00A775C6" w:rsidP="0075518C">
      <w:pPr>
        <w:pStyle w:val="Heading2"/>
        <w:numPr>
          <w:ilvl w:val="0"/>
          <w:numId w:val="0"/>
        </w:numPr>
        <w:jc w:val="left"/>
        <w:rPr>
          <w:bCs/>
          <w:sz w:val="22"/>
        </w:rPr>
      </w:pPr>
      <w:bookmarkStart w:id="57" w:name="_Toc1174214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rsidR="006F555B" w:rsidRPr="00DF6609" w:rsidRDefault="006F555B" w:rsidP="00D41714">
      <w:pPr>
        <w:rPr>
          <w:rFonts w:cs="Arial"/>
          <w:sz w:val="20"/>
        </w:rPr>
      </w:pPr>
    </w:p>
    <w:p w:rsidR="009F147E" w:rsidRPr="00105176" w:rsidRDefault="009F147E" w:rsidP="009F147E">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9F147E" w:rsidRPr="00F21983" w:rsidRDefault="009F147E" w:rsidP="009F147E">
      <w:pPr>
        <w:jc w:val="both"/>
        <w:rPr>
          <w:rFonts w:cs="Arial"/>
          <w:sz w:val="20"/>
        </w:rPr>
      </w:pPr>
    </w:p>
    <w:p w:rsidR="009F147E" w:rsidRPr="00105176" w:rsidRDefault="009F147E" w:rsidP="009F147E">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9F147E" w:rsidRDefault="009F147E" w:rsidP="009F147E">
      <w:pPr>
        <w:jc w:val="both"/>
        <w:rPr>
          <w:rFonts w:cs="Arial"/>
          <w:sz w:val="20"/>
        </w:rPr>
      </w:pPr>
    </w:p>
    <w:p w:rsidR="009F147E" w:rsidRPr="00F21983" w:rsidRDefault="009F147E" w:rsidP="009F147E">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9F147E" w:rsidRPr="00DF6609" w:rsidRDefault="009F147E" w:rsidP="009F147E">
      <w:pPr>
        <w:rPr>
          <w:rFonts w:cs="Arial"/>
          <w:sz w:val="20"/>
        </w:rPr>
      </w:pPr>
    </w:p>
    <w:p w:rsidR="009F147E" w:rsidRPr="00F21983" w:rsidRDefault="009F147E" w:rsidP="009F147E">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1F649E" w:rsidRDefault="001F649E" w:rsidP="00D41714">
      <w:pPr>
        <w:rPr>
          <w:rFonts w:cs="Arial"/>
          <w:sz w:val="20"/>
        </w:rPr>
      </w:pPr>
    </w:p>
    <w:p w:rsidR="009F147E" w:rsidRPr="007713F1" w:rsidRDefault="009F147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512CC7" w:rsidRDefault="00512CC7" w:rsidP="00512CC7">
      <w:pPr>
        <w:jc w:val="both"/>
        <w:rPr>
          <w:rFonts w:ascii="Arial Black" w:hAnsi="Arial Black"/>
          <w:b/>
          <w:szCs w:val="22"/>
        </w:rPr>
      </w:pPr>
      <w:bookmarkStart w:id="58" w:name="_Toc852394"/>
      <w:bookmarkStart w:id="59" w:name="_Toc852725"/>
      <w:bookmarkStart w:id="60" w:name="_Toc1453512"/>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512CC7" w:rsidRDefault="00512CC7" w:rsidP="00512CC7">
      <w:pPr>
        <w:jc w:val="both"/>
        <w:rPr>
          <w:sz w:val="20"/>
        </w:rPr>
      </w:pPr>
    </w:p>
    <w:p w:rsidR="006460B9" w:rsidRDefault="006460B9">
      <w:pPr>
        <w:rPr>
          <w:sz w:val="20"/>
        </w:rPr>
      </w:pPr>
      <w:r>
        <w:rPr>
          <w:sz w:val="20"/>
        </w:rPr>
        <w:br w:type="page"/>
      </w:r>
    </w:p>
    <w:p w:rsidR="0098346A" w:rsidRPr="00752D7A" w:rsidRDefault="0098346A" w:rsidP="00AA3FFA">
      <w:pPr>
        <w:pStyle w:val="Heading1"/>
      </w:pPr>
      <w:bookmarkStart w:id="61" w:name="_Toc11742142"/>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98346A" w:rsidRPr="00F21983" w:rsidRDefault="0098346A" w:rsidP="00E908E1">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rsidR="00E91170" w:rsidRDefault="00E91170" w:rsidP="00D72D77">
      <w:pPr>
        <w:jc w:val="both"/>
        <w:rPr>
          <w:b/>
          <w:u w:val="single"/>
        </w:rPr>
      </w:pPr>
    </w:p>
    <w:p w:rsidR="00E91170" w:rsidRDefault="00E91170" w:rsidP="00D72D77">
      <w:pPr>
        <w:jc w:val="both"/>
        <w:rPr>
          <w:b/>
          <w:u w:val="single"/>
        </w:rPr>
      </w:pPr>
      <w:r>
        <w:rPr>
          <w:b/>
          <w:u w:val="single"/>
        </w:rPr>
        <w:t>DESCRIPTION</w:t>
      </w:r>
    </w:p>
    <w:p w:rsidR="00041785" w:rsidRDefault="00041785" w:rsidP="00D72D77">
      <w:pPr>
        <w:jc w:val="both"/>
      </w:pPr>
    </w:p>
    <w:p w:rsidR="00041785" w:rsidRPr="003B6B36" w:rsidRDefault="00041785" w:rsidP="006460B9">
      <w:pPr>
        <w:autoSpaceDE w:val="0"/>
        <w:autoSpaceDN w:val="0"/>
        <w:adjustRightInd w:val="0"/>
        <w:jc w:val="both"/>
      </w:pPr>
      <w:r w:rsidRPr="003B6B36">
        <w:rPr>
          <w:rFonts w:cs="Arial"/>
          <w:sz w:val="20"/>
          <w:lang w:bidi="gu-IN"/>
        </w:rPr>
        <w:t>All process equipment source-wide including equipment covered by other permits, grand-fathered equipment and exempt equipment.</w:t>
      </w:r>
    </w:p>
    <w:p w:rsidR="0038429B" w:rsidRDefault="0038429B" w:rsidP="00D72D77">
      <w:pPr>
        <w:jc w:val="both"/>
        <w:rPr>
          <w:b/>
          <w:u w:val="single"/>
        </w:rPr>
      </w:pPr>
    </w:p>
    <w:p w:rsidR="00D72D77" w:rsidRDefault="00D72D77" w:rsidP="00D72D77">
      <w:pPr>
        <w:jc w:val="both"/>
        <w:rPr>
          <w:b/>
          <w:u w:val="single"/>
        </w:rPr>
      </w:pPr>
      <w:r>
        <w:rPr>
          <w:b/>
          <w:u w:val="single"/>
        </w:rPr>
        <w:t>POLLUTION CONTROL EQUIPMENT</w:t>
      </w:r>
    </w:p>
    <w:p w:rsidR="00517D38" w:rsidRPr="00825172" w:rsidRDefault="00517D38" w:rsidP="00D72D77">
      <w:pPr>
        <w:jc w:val="both"/>
        <w:rPr>
          <w:sz w:val="20"/>
        </w:rPr>
      </w:pPr>
    </w:p>
    <w:p w:rsidR="00D72D77" w:rsidRDefault="00F36D68" w:rsidP="00D72D77">
      <w:pPr>
        <w:jc w:val="both"/>
        <w:rPr>
          <w:sz w:val="20"/>
        </w:rPr>
      </w:pPr>
      <w:r w:rsidRPr="00F36D68">
        <w:rPr>
          <w:sz w:val="20"/>
        </w:rPr>
        <w:t>NA</w:t>
      </w:r>
    </w:p>
    <w:p w:rsidR="00F36D68" w:rsidRPr="00F36D68" w:rsidRDefault="00F36D68" w:rsidP="00D72D77">
      <w:pPr>
        <w:jc w:val="both"/>
        <w:rPr>
          <w:sz w:val="20"/>
        </w:rPr>
      </w:pPr>
    </w:p>
    <w:p w:rsidR="00D72D77" w:rsidRPr="00CC02A3" w:rsidRDefault="000862E3" w:rsidP="00D72D77">
      <w:pPr>
        <w:jc w:val="both"/>
        <w:rPr>
          <w:b/>
          <w:sz w:val="20"/>
          <w:u w:val="single"/>
        </w:rPr>
      </w:pPr>
      <w:r>
        <w:rPr>
          <w:b/>
        </w:rPr>
        <w:t xml:space="preserve">I.  </w:t>
      </w:r>
      <w:r w:rsidR="00D72D77">
        <w:rPr>
          <w:b/>
          <w:u w:val="single"/>
        </w:rPr>
        <w:t>EMISSION LIMIT(S)</w:t>
      </w:r>
    </w:p>
    <w:p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245"/>
        <w:gridCol w:w="1889"/>
        <w:gridCol w:w="1530"/>
        <w:gridCol w:w="1530"/>
      </w:tblGrid>
      <w:tr w:rsidR="00D72D77" w:rsidTr="00C826FE">
        <w:trPr>
          <w:cantSplit/>
          <w:tblHeader/>
        </w:trPr>
        <w:tc>
          <w:tcPr>
            <w:tcW w:w="170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Monitoring/</w:t>
            </w:r>
          </w:p>
          <w:p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F36D68" w:rsidTr="00C826FE">
        <w:trPr>
          <w:cantSplit/>
        </w:trPr>
        <w:tc>
          <w:tcPr>
            <w:tcW w:w="1700" w:type="dxa"/>
            <w:tcBorders>
              <w:top w:val="single" w:sz="4" w:space="0" w:color="auto"/>
              <w:left w:val="single" w:sz="4" w:space="0" w:color="auto"/>
              <w:bottom w:val="single" w:sz="4" w:space="0" w:color="auto"/>
              <w:right w:val="single" w:sz="4" w:space="0" w:color="auto"/>
            </w:tcBorders>
          </w:tcPr>
          <w:p w:rsidR="00F36D68" w:rsidRDefault="00F36D68" w:rsidP="00F36D68">
            <w:pPr>
              <w:rPr>
                <w:sz w:val="20"/>
              </w:rPr>
            </w:pPr>
            <w:r w:rsidRPr="00095B77">
              <w:rPr>
                <w:sz w:val="20"/>
              </w:rPr>
              <w:t>1.</w:t>
            </w:r>
            <w:r w:rsidR="006460B9">
              <w:rPr>
                <w:sz w:val="20"/>
              </w:rPr>
              <w:t xml:space="preserve"> </w:t>
            </w:r>
            <w:r w:rsidR="00C826FE">
              <w:rPr>
                <w:sz w:val="20"/>
              </w:rPr>
              <w:t xml:space="preserve"> </w:t>
            </w:r>
            <w:r>
              <w:rPr>
                <w:sz w:val="20"/>
              </w:rPr>
              <w:t xml:space="preserve">Carbon  </w:t>
            </w:r>
          </w:p>
          <w:p w:rsidR="00F36D68" w:rsidRPr="00095B77" w:rsidRDefault="00F36D68" w:rsidP="00F36D68">
            <w:pPr>
              <w:rPr>
                <w:sz w:val="20"/>
              </w:rPr>
            </w:pPr>
            <w:r>
              <w:rPr>
                <w:sz w:val="20"/>
              </w:rPr>
              <w:t xml:space="preserve">  </w:t>
            </w:r>
            <w:r w:rsidR="00C826FE">
              <w:rPr>
                <w:sz w:val="20"/>
              </w:rPr>
              <w:t xml:space="preserve"> </w:t>
            </w:r>
            <w:r>
              <w:rPr>
                <w:sz w:val="20"/>
              </w:rPr>
              <w:t xml:space="preserve"> </w:t>
            </w:r>
            <w:r w:rsidR="006460B9">
              <w:rPr>
                <w:sz w:val="20"/>
              </w:rPr>
              <w:t xml:space="preserve"> </w:t>
            </w:r>
            <w:r>
              <w:rPr>
                <w:sz w:val="20"/>
              </w:rPr>
              <w:t>Monoxide (CO)</w:t>
            </w:r>
          </w:p>
        </w:tc>
        <w:tc>
          <w:tcPr>
            <w:tcW w:w="1366" w:type="dxa"/>
            <w:tcBorders>
              <w:top w:val="single" w:sz="4" w:space="0" w:color="auto"/>
              <w:left w:val="single" w:sz="4" w:space="0" w:color="auto"/>
              <w:bottom w:val="single" w:sz="4" w:space="0" w:color="auto"/>
              <w:right w:val="single" w:sz="4" w:space="0" w:color="auto"/>
            </w:tcBorders>
          </w:tcPr>
          <w:p w:rsidR="00F36D68" w:rsidRPr="00D57DA4" w:rsidRDefault="00F36D68" w:rsidP="00F36D68">
            <w:pPr>
              <w:jc w:val="center"/>
              <w:rPr>
                <w:rFonts w:cs="Arial"/>
                <w:sz w:val="20"/>
              </w:rPr>
            </w:pPr>
            <w:r>
              <w:rPr>
                <w:sz w:val="20"/>
              </w:rPr>
              <w:t>224 Tons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F36D68" w:rsidRPr="00BD3DE3" w:rsidRDefault="00F36D68" w:rsidP="00F36D68">
            <w:pPr>
              <w:jc w:val="center"/>
              <w:rPr>
                <w:sz w:val="20"/>
              </w:rPr>
            </w:pPr>
            <w:r>
              <w:rPr>
                <w:sz w:val="20"/>
              </w:rPr>
              <w:t>Rolling 12-month time period</w:t>
            </w:r>
          </w:p>
        </w:tc>
        <w:tc>
          <w:tcPr>
            <w:tcW w:w="1889" w:type="dxa"/>
            <w:tcBorders>
              <w:top w:val="single" w:sz="4" w:space="0" w:color="auto"/>
              <w:left w:val="single" w:sz="4" w:space="0" w:color="auto"/>
              <w:bottom w:val="single" w:sz="4" w:space="0" w:color="auto"/>
              <w:right w:val="single" w:sz="4" w:space="0" w:color="auto"/>
            </w:tcBorders>
          </w:tcPr>
          <w:p w:rsidR="00F36D68" w:rsidRPr="00BD3DE3" w:rsidRDefault="00F36D68" w:rsidP="00F36D68">
            <w:pPr>
              <w:jc w:val="center"/>
              <w:rPr>
                <w:sz w:val="20"/>
              </w:rPr>
            </w:pPr>
            <w:r>
              <w:rPr>
                <w:sz w:val="20"/>
              </w:rPr>
              <w:t>EUTURBINE1 EUTURBINE2 EUSPU3</w:t>
            </w:r>
          </w:p>
        </w:tc>
        <w:tc>
          <w:tcPr>
            <w:tcW w:w="1530" w:type="dxa"/>
            <w:tcBorders>
              <w:top w:val="single" w:sz="4" w:space="0" w:color="auto"/>
              <w:left w:val="single" w:sz="4" w:space="0" w:color="auto"/>
              <w:bottom w:val="single" w:sz="4" w:space="0" w:color="auto"/>
              <w:right w:val="single" w:sz="4" w:space="0" w:color="auto"/>
            </w:tcBorders>
          </w:tcPr>
          <w:p w:rsidR="00F36D68" w:rsidRPr="00BD3DE3" w:rsidRDefault="00F36D68" w:rsidP="00F36D68">
            <w:pPr>
              <w:jc w:val="center"/>
              <w:rPr>
                <w:sz w:val="20"/>
              </w:rPr>
            </w:pPr>
            <w:r>
              <w:rPr>
                <w:sz w:val="20"/>
              </w:rPr>
              <w:t>Appendix 7</w:t>
            </w:r>
          </w:p>
        </w:tc>
        <w:tc>
          <w:tcPr>
            <w:tcW w:w="1530" w:type="dxa"/>
            <w:tcBorders>
              <w:top w:val="single" w:sz="4" w:space="0" w:color="auto"/>
              <w:left w:val="single" w:sz="4" w:space="0" w:color="auto"/>
              <w:bottom w:val="single" w:sz="4" w:space="0" w:color="auto"/>
              <w:right w:val="single" w:sz="4" w:space="0" w:color="auto"/>
            </w:tcBorders>
          </w:tcPr>
          <w:p w:rsidR="006460B9" w:rsidRDefault="00F36D68" w:rsidP="00F36D68">
            <w:pPr>
              <w:jc w:val="center"/>
              <w:rPr>
                <w:b/>
                <w:sz w:val="20"/>
              </w:rPr>
            </w:pPr>
            <w:r w:rsidRPr="00BB7FA1">
              <w:rPr>
                <w:b/>
                <w:sz w:val="20"/>
              </w:rPr>
              <w:t>40 CFR 52.21</w:t>
            </w:r>
          </w:p>
          <w:p w:rsidR="00F36D68" w:rsidRPr="00BB7FA1" w:rsidRDefault="00F36D68" w:rsidP="00F36D68">
            <w:pPr>
              <w:jc w:val="center"/>
              <w:rPr>
                <w:b/>
                <w:sz w:val="20"/>
              </w:rPr>
            </w:pPr>
            <w:r w:rsidRPr="00BB7FA1">
              <w:rPr>
                <w:b/>
                <w:sz w:val="20"/>
              </w:rPr>
              <w:t>R</w:t>
            </w:r>
            <w:r>
              <w:rPr>
                <w:b/>
                <w:sz w:val="20"/>
              </w:rPr>
              <w:t> </w:t>
            </w:r>
            <w:r w:rsidRPr="00BB7FA1">
              <w:rPr>
                <w:b/>
                <w:sz w:val="20"/>
              </w:rPr>
              <w:t>336.1205(3)</w:t>
            </w:r>
          </w:p>
        </w:tc>
      </w:tr>
    </w:tbl>
    <w:p w:rsidR="00095B77" w:rsidRDefault="00095B77" w:rsidP="00D72D77">
      <w:pPr>
        <w:jc w:val="both"/>
        <w:rPr>
          <w:sz w:val="20"/>
        </w:rPr>
      </w:pPr>
    </w:p>
    <w:p w:rsidR="00D72D77" w:rsidRDefault="000862E3" w:rsidP="00D72D77">
      <w:pPr>
        <w:jc w:val="both"/>
        <w:rPr>
          <w:b/>
          <w:u w:val="single"/>
        </w:rPr>
      </w:pPr>
      <w:r>
        <w:rPr>
          <w:b/>
        </w:rPr>
        <w:t xml:space="preserve">II.  </w:t>
      </w:r>
      <w:r w:rsidR="00D72D77">
        <w:rPr>
          <w:b/>
          <w:u w:val="single"/>
        </w:rPr>
        <w:t>MATERIAL LIMIT(S)</w:t>
      </w:r>
    </w:p>
    <w:p w:rsidR="00D72D77" w:rsidRDefault="00D72D77" w:rsidP="00D72D77">
      <w:pPr>
        <w:jc w:val="both"/>
        <w:rPr>
          <w:sz w:val="20"/>
        </w:rPr>
      </w:pPr>
    </w:p>
    <w:p w:rsidR="00494D15" w:rsidRDefault="00F36D68" w:rsidP="00D72D77">
      <w:pPr>
        <w:jc w:val="both"/>
        <w:rPr>
          <w:sz w:val="20"/>
        </w:rPr>
      </w:pPr>
      <w:r>
        <w:rPr>
          <w:sz w:val="20"/>
        </w:rPr>
        <w:t>NA</w:t>
      </w:r>
    </w:p>
    <w:p w:rsidR="00F36D68" w:rsidRPr="00F36D68" w:rsidRDefault="00F36D68"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D72D77" w:rsidRDefault="006C7253" w:rsidP="00D72D77">
      <w:pPr>
        <w:jc w:val="both"/>
        <w:rPr>
          <w:sz w:val="20"/>
        </w:rPr>
      </w:pPr>
      <w:r>
        <w:rPr>
          <w:sz w:val="20"/>
        </w:rPr>
        <w:t>NA</w:t>
      </w:r>
    </w:p>
    <w:p w:rsidR="006C7253" w:rsidRDefault="006C7253" w:rsidP="00D72D77">
      <w:pPr>
        <w:jc w:val="both"/>
        <w:rPr>
          <w:sz w:val="20"/>
        </w:rPr>
      </w:pPr>
    </w:p>
    <w:p w:rsidR="00D72D77" w:rsidRPr="00CC02A3" w:rsidRDefault="00A13378" w:rsidP="00D72D77">
      <w:pPr>
        <w:jc w:val="both"/>
        <w:rPr>
          <w:b/>
          <w:sz w:val="20"/>
          <w:u w:val="single"/>
        </w:rPr>
      </w:pPr>
      <w:r>
        <w:rPr>
          <w:b/>
        </w:rPr>
        <w:t xml:space="preserve">IV.  </w:t>
      </w:r>
      <w:r w:rsidR="00D72D77">
        <w:rPr>
          <w:b/>
          <w:u w:val="single"/>
        </w:rPr>
        <w:t>DESIGN/EQUIPMENT PARAMETER(S)</w:t>
      </w:r>
    </w:p>
    <w:p w:rsidR="00D72D77" w:rsidRPr="00FE0AD0" w:rsidRDefault="00D72D77" w:rsidP="00D72D77">
      <w:pPr>
        <w:jc w:val="both"/>
        <w:rPr>
          <w:b/>
          <w:sz w:val="20"/>
          <w:u w:val="single"/>
        </w:rPr>
      </w:pPr>
    </w:p>
    <w:p w:rsidR="00D72D77" w:rsidRPr="00095B77" w:rsidRDefault="006C7253" w:rsidP="006C7253">
      <w:pPr>
        <w:jc w:val="both"/>
        <w:rPr>
          <w:sz w:val="20"/>
        </w:rPr>
      </w:pPr>
      <w:r>
        <w:rPr>
          <w:sz w:val="20"/>
        </w:rPr>
        <w:t>NA</w:t>
      </w:r>
    </w:p>
    <w:p w:rsidR="00D72D77" w:rsidRDefault="00D72D77" w:rsidP="00D72D77">
      <w:pPr>
        <w:jc w:val="both"/>
        <w:rPr>
          <w:sz w:val="20"/>
        </w:rPr>
      </w:pPr>
    </w:p>
    <w:p w:rsidR="00CC02A3" w:rsidRPr="00CC02A3" w:rsidRDefault="00A13378" w:rsidP="00D72D77">
      <w:pPr>
        <w:jc w:val="both"/>
        <w:rPr>
          <w:b/>
          <w:sz w:val="20"/>
          <w:u w:val="single"/>
        </w:rPr>
      </w:pPr>
      <w:r>
        <w:rPr>
          <w:b/>
        </w:rPr>
        <w:t xml:space="preserve">V.  </w:t>
      </w:r>
      <w:r w:rsidR="00D72D77">
        <w:rPr>
          <w:b/>
          <w:u w:val="single"/>
        </w:rPr>
        <w:t>TESTING/SAMPLING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72D77" w:rsidRPr="00095B77" w:rsidRDefault="0019184D" w:rsidP="00F36D68">
      <w:pPr>
        <w:jc w:val="both"/>
        <w:rPr>
          <w:sz w:val="20"/>
        </w:rPr>
      </w:pPr>
      <w:r>
        <w:rPr>
          <w:sz w:val="20"/>
        </w:rPr>
        <w:t>NA</w:t>
      </w:r>
    </w:p>
    <w:p w:rsidR="00D72D77" w:rsidRDefault="00D72D77" w:rsidP="00D72D77">
      <w:pPr>
        <w:jc w:val="both"/>
        <w:rPr>
          <w:sz w:val="20"/>
        </w:rPr>
      </w:pPr>
    </w:p>
    <w:p w:rsidR="00D72D77" w:rsidRPr="00CC02A3" w:rsidRDefault="00A13378" w:rsidP="00D72D77">
      <w:pPr>
        <w:jc w:val="both"/>
        <w:rPr>
          <w:sz w:val="20"/>
        </w:rPr>
      </w:pPr>
      <w:r>
        <w:rPr>
          <w:b/>
        </w:rPr>
        <w:t xml:space="preserve">VI.  </w:t>
      </w:r>
      <w:r w:rsidR="00D72D77">
        <w:rPr>
          <w:b/>
          <w:u w:val="single"/>
        </w:rPr>
        <w:t>MONITORING/RECORDKEEPING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19184D" w:rsidRPr="00F36D68" w:rsidRDefault="0019184D" w:rsidP="006460B9">
      <w:pPr>
        <w:numPr>
          <w:ilvl w:val="0"/>
          <w:numId w:val="26"/>
        </w:numPr>
        <w:jc w:val="both"/>
        <w:rPr>
          <w:sz w:val="20"/>
        </w:rPr>
      </w:pPr>
      <w:r w:rsidRPr="00F36D68">
        <w:rPr>
          <w:sz w:val="20"/>
        </w:rPr>
        <w:t>The permittee shall monitor and record the usage of natural gas fired in FGTURBINES and EUSPU3 during each day.  These records shall be maintained for a period of at least five years.</w:t>
      </w:r>
      <w:r w:rsidRPr="0087025C">
        <w:rPr>
          <w:sz w:val="20"/>
          <w:vertAlign w:val="superscript"/>
        </w:rPr>
        <w:t>2</w:t>
      </w:r>
      <w:r w:rsidRPr="00F36D68">
        <w:rPr>
          <w:sz w:val="20"/>
        </w:rPr>
        <w:t xml:space="preserve"> </w:t>
      </w:r>
      <w:r w:rsidR="006460B9">
        <w:rPr>
          <w:sz w:val="20"/>
        </w:rPr>
        <w:t xml:space="preserve"> </w:t>
      </w:r>
      <w:r w:rsidRPr="0087025C">
        <w:rPr>
          <w:b/>
          <w:sz w:val="20"/>
        </w:rPr>
        <w:t>(R 336.1201(3))</w:t>
      </w:r>
    </w:p>
    <w:p w:rsidR="00D72D77" w:rsidRPr="00095B77" w:rsidRDefault="00D72D77" w:rsidP="0019184D">
      <w:pPr>
        <w:jc w:val="both"/>
        <w:rPr>
          <w:sz w:val="20"/>
        </w:rPr>
      </w:pPr>
    </w:p>
    <w:p w:rsidR="00D72D77" w:rsidRPr="00FE0AD0" w:rsidRDefault="00D72D77" w:rsidP="00D72D77">
      <w:pPr>
        <w:jc w:val="both"/>
        <w:rPr>
          <w:b/>
          <w:sz w:val="20"/>
        </w:rPr>
      </w:pPr>
      <w:r w:rsidRPr="00FE0AD0">
        <w:rPr>
          <w:b/>
          <w:sz w:val="20"/>
        </w:rPr>
        <w:t>See Appendi</w:t>
      </w:r>
      <w:r w:rsidR="00A1123E">
        <w:rPr>
          <w:b/>
          <w:sz w:val="20"/>
        </w:rPr>
        <w:t>ces</w:t>
      </w:r>
      <w:r w:rsidRPr="00FE0AD0">
        <w:rPr>
          <w:b/>
          <w:sz w:val="20"/>
        </w:rPr>
        <w:t xml:space="preserve"> </w:t>
      </w:r>
      <w:r w:rsidR="00B02228">
        <w:rPr>
          <w:b/>
          <w:sz w:val="20"/>
        </w:rPr>
        <w:t>3 and 7</w:t>
      </w:r>
    </w:p>
    <w:p w:rsidR="00461E40" w:rsidRPr="007713F1" w:rsidRDefault="00461E40" w:rsidP="0098346A">
      <w:pPr>
        <w:jc w:val="both"/>
        <w:rPr>
          <w:sz w:val="20"/>
        </w:rPr>
      </w:pPr>
    </w:p>
    <w:p w:rsidR="0098346A" w:rsidRPr="00CC02A3" w:rsidRDefault="00A13378" w:rsidP="0098346A">
      <w:pPr>
        <w:jc w:val="both"/>
        <w:rPr>
          <w:b/>
          <w:sz w:val="20"/>
          <w:u w:val="single"/>
        </w:rPr>
      </w:pPr>
      <w:r>
        <w:rPr>
          <w:b/>
        </w:rPr>
        <w:t xml:space="preserve">VII.  </w:t>
      </w:r>
      <w:r w:rsidR="0098346A">
        <w:rPr>
          <w:b/>
          <w:u w:val="single"/>
        </w:rPr>
        <w:t>REPORTING</w:t>
      </w:r>
    </w:p>
    <w:p w:rsidR="00F35BF3" w:rsidRPr="00CC02A3" w:rsidRDefault="00F35BF3" w:rsidP="0098346A">
      <w:pPr>
        <w:jc w:val="both"/>
        <w:rPr>
          <w:sz w:val="20"/>
        </w:rPr>
      </w:pPr>
    </w:p>
    <w:p w:rsidR="00977FBE" w:rsidRPr="00117BC6" w:rsidRDefault="00095B77" w:rsidP="006460B9">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rsidR="00117BC6" w:rsidRPr="00117BC6" w:rsidRDefault="00117BC6" w:rsidP="006460B9">
      <w:pPr>
        <w:ind w:left="360" w:hanging="360"/>
        <w:jc w:val="both"/>
        <w:rPr>
          <w:sz w:val="20"/>
        </w:rPr>
      </w:pPr>
    </w:p>
    <w:p w:rsidR="00736BDB" w:rsidRPr="00117BC6" w:rsidRDefault="00117BC6" w:rsidP="006460B9">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rsidR="00117BC6" w:rsidRPr="00117BC6" w:rsidRDefault="00117BC6" w:rsidP="004F09CF">
      <w:pPr>
        <w:ind w:left="360" w:hanging="360"/>
        <w:jc w:val="both"/>
        <w:rPr>
          <w:sz w:val="20"/>
        </w:rPr>
      </w:pPr>
    </w:p>
    <w:p w:rsidR="00977FBE" w:rsidRPr="00117BC6" w:rsidRDefault="00117BC6" w:rsidP="004F09CF">
      <w:pPr>
        <w:ind w:left="360" w:hanging="360"/>
        <w:jc w:val="both"/>
        <w:rPr>
          <w:sz w:val="20"/>
        </w:rPr>
      </w:pPr>
      <w:r w:rsidRPr="00117BC6">
        <w:rPr>
          <w:sz w:val="20"/>
        </w:rPr>
        <w:lastRenderedPageBreak/>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rsidR="00736BDB" w:rsidRPr="000944A9" w:rsidRDefault="00736BDB" w:rsidP="004F09CF">
      <w:pPr>
        <w:ind w:right="72"/>
        <w:jc w:val="both"/>
        <w:rPr>
          <w:rFonts w:cs="Arial"/>
          <w:sz w:val="20"/>
        </w:rPr>
      </w:pPr>
    </w:p>
    <w:p w:rsidR="0007030E" w:rsidRPr="00FE0AD0" w:rsidRDefault="0007030E" w:rsidP="004F09CF">
      <w:pPr>
        <w:jc w:val="both"/>
        <w:rPr>
          <w:rFonts w:cs="Arial"/>
          <w:b/>
          <w:sz w:val="20"/>
        </w:rPr>
      </w:pPr>
      <w:r w:rsidRPr="00FE0AD0">
        <w:rPr>
          <w:rFonts w:cs="Arial"/>
          <w:b/>
          <w:sz w:val="20"/>
        </w:rPr>
        <w:t>See Appendix 8</w:t>
      </w:r>
    </w:p>
    <w:p w:rsidR="008D1C1B" w:rsidRPr="007713F1" w:rsidRDefault="008D1C1B" w:rsidP="004F09CF">
      <w:pPr>
        <w:jc w:val="both"/>
        <w:rPr>
          <w:rFonts w:cs="Arial"/>
          <w:sz w:val="20"/>
        </w:rPr>
      </w:pPr>
    </w:p>
    <w:p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rsidR="00415A04" w:rsidRPr="00CC02A3" w:rsidRDefault="00415A04" w:rsidP="004F09CF">
      <w:pPr>
        <w:rPr>
          <w:sz w:val="20"/>
        </w:rPr>
      </w:pPr>
    </w:p>
    <w:p w:rsidR="004F5DF2" w:rsidRPr="00B02228" w:rsidRDefault="00CB34AD" w:rsidP="00415A04">
      <w:pPr>
        <w:jc w:val="both"/>
        <w:rPr>
          <w:sz w:val="20"/>
        </w:rPr>
      </w:pPr>
      <w:r w:rsidRPr="00B02228">
        <w:rPr>
          <w:sz w:val="20"/>
        </w:rPr>
        <w:t>NA</w:t>
      </w:r>
    </w:p>
    <w:p w:rsidR="00CB34AD" w:rsidRPr="00E91170" w:rsidRDefault="00CB34AD" w:rsidP="00415A04">
      <w:pPr>
        <w:jc w:val="both"/>
        <w:rPr>
          <w:color w:val="FF0000"/>
          <w:sz w:val="20"/>
        </w:rPr>
      </w:pPr>
    </w:p>
    <w:p w:rsidR="0098346A" w:rsidRPr="00CC02A3" w:rsidRDefault="00A13378" w:rsidP="0098346A">
      <w:pPr>
        <w:jc w:val="both"/>
        <w:rPr>
          <w:sz w:val="20"/>
        </w:rPr>
      </w:pPr>
      <w:r>
        <w:rPr>
          <w:b/>
        </w:rPr>
        <w:t xml:space="preserve">IX.  </w:t>
      </w:r>
      <w:r w:rsidR="0098346A">
        <w:rPr>
          <w:b/>
          <w:u w:val="single"/>
        </w:rPr>
        <w:t>OTHER REQUIREMENT(S)</w:t>
      </w:r>
    </w:p>
    <w:p w:rsidR="0098346A" w:rsidRPr="00FE0AD0" w:rsidRDefault="0098346A" w:rsidP="004F09CF">
      <w:pPr>
        <w:jc w:val="both"/>
        <w:rPr>
          <w:sz w:val="20"/>
        </w:rPr>
      </w:pPr>
    </w:p>
    <w:p w:rsidR="00CB34AD" w:rsidRPr="00CB34AD" w:rsidRDefault="00CB34AD" w:rsidP="00665255">
      <w:pPr>
        <w:numPr>
          <w:ilvl w:val="0"/>
          <w:numId w:val="27"/>
        </w:numPr>
        <w:jc w:val="both"/>
        <w:rPr>
          <w:sz w:val="20"/>
        </w:rPr>
      </w:pPr>
      <w:r w:rsidRPr="00CB34AD">
        <w:rPr>
          <w:sz w:val="20"/>
        </w:rPr>
        <w:t>The permittee shall comply with all applicable requirements of Consent Agreement and Final Order (CAFO), CAA Docket No. CAA-05-2005 0014, filed on February 11, 2005. The conditions contained in this ROP for which a Consent Agreement and Final Order is the only identified underlying applicable requirement shall be considered null and void upon the effective date of termination of the Consent Judgment.</w:t>
      </w:r>
      <w:r w:rsidRPr="00296C57">
        <w:rPr>
          <w:sz w:val="20"/>
          <w:vertAlign w:val="superscript"/>
        </w:rPr>
        <w:t>3</w:t>
      </w:r>
      <w:r w:rsidRPr="00CB34AD">
        <w:rPr>
          <w:sz w:val="20"/>
        </w:rPr>
        <w:t xml:space="preserve"> </w:t>
      </w:r>
      <w:r w:rsidR="00665255">
        <w:rPr>
          <w:sz w:val="20"/>
        </w:rPr>
        <w:t xml:space="preserve"> </w:t>
      </w:r>
      <w:r w:rsidRPr="00296C57">
        <w:rPr>
          <w:b/>
          <w:sz w:val="20"/>
        </w:rPr>
        <w:t>(CAFO, CAA Docket No. CAA-05-2005-0014 )</w:t>
      </w:r>
    </w:p>
    <w:p w:rsidR="0098346A" w:rsidRDefault="0098346A" w:rsidP="00CB34AD">
      <w:pPr>
        <w:ind w:left="360"/>
        <w:jc w:val="both"/>
        <w:rPr>
          <w:sz w:val="20"/>
        </w:rPr>
      </w:pPr>
    </w:p>
    <w:p w:rsidR="00665255" w:rsidRPr="00794966" w:rsidRDefault="00665255" w:rsidP="00CB34AD">
      <w:pPr>
        <w:ind w:left="360"/>
        <w:jc w:val="both"/>
        <w:rPr>
          <w:sz w:val="20"/>
        </w:rPr>
      </w:pPr>
    </w:p>
    <w:p w:rsidR="0098346A" w:rsidRDefault="0098346A" w:rsidP="004F09CF">
      <w:pPr>
        <w:jc w:val="both"/>
        <w:rPr>
          <w:sz w:val="20"/>
        </w:rPr>
      </w:pPr>
    </w:p>
    <w:p w:rsidR="0098346A" w:rsidRPr="00B90185" w:rsidRDefault="0098346A" w:rsidP="004F09CF">
      <w:pPr>
        <w:jc w:val="both"/>
        <w:rPr>
          <w:b/>
          <w:sz w:val="20"/>
        </w:rPr>
      </w:pPr>
      <w:r w:rsidRPr="00B90185">
        <w:rPr>
          <w:b/>
          <w:sz w:val="20"/>
          <w:u w:val="single"/>
        </w:rPr>
        <w:t>Footnotes</w:t>
      </w:r>
      <w:r w:rsidRPr="00B90185">
        <w:rPr>
          <w:b/>
          <w:sz w:val="20"/>
        </w:rPr>
        <w:t>:</w:t>
      </w:r>
    </w:p>
    <w:p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rsidR="00CB34AD" w:rsidRDefault="00CB34AD" w:rsidP="00CB34AD">
      <w:pPr>
        <w:jc w:val="both"/>
        <w:rPr>
          <w:sz w:val="20"/>
        </w:rPr>
      </w:pPr>
      <w:r w:rsidRPr="003F1689">
        <w:rPr>
          <w:sz w:val="20"/>
          <w:vertAlign w:val="superscript"/>
        </w:rPr>
        <w:t>3</w:t>
      </w:r>
      <w:r>
        <w:rPr>
          <w:sz w:val="20"/>
          <w:vertAlign w:val="superscript"/>
        </w:rPr>
        <w:t xml:space="preserve"> </w:t>
      </w:r>
      <w:r>
        <w:rPr>
          <w:sz w:val="20"/>
        </w:rPr>
        <w:t xml:space="preserve">The CAFO, CAA Docket No. CAA -05-2005-0014 imposed no on-going operational requirements and/or  </w:t>
      </w:r>
    </w:p>
    <w:p w:rsidR="00CB34AD" w:rsidRPr="001E3851" w:rsidRDefault="00CB34AD" w:rsidP="00CB34AD">
      <w:pPr>
        <w:jc w:val="both"/>
        <w:rPr>
          <w:sz w:val="20"/>
        </w:rPr>
      </w:pPr>
      <w:r>
        <w:rPr>
          <w:sz w:val="20"/>
        </w:rPr>
        <w:t xml:space="preserve">  conditions.</w:t>
      </w:r>
    </w:p>
    <w:p w:rsidR="0098346A" w:rsidRPr="0007030E" w:rsidRDefault="0098346A" w:rsidP="0098346A"/>
    <w:p w:rsidR="0098346A" w:rsidRPr="007713F1" w:rsidRDefault="001C614B" w:rsidP="0007030E">
      <w:r>
        <w:br w:type="page"/>
      </w:r>
    </w:p>
    <w:p w:rsidR="00E14632" w:rsidRDefault="00ED0AFD" w:rsidP="00CE44D8">
      <w:pPr>
        <w:pStyle w:val="Heading1"/>
      </w:pPr>
      <w:bookmarkStart w:id="62" w:name="_Toc11742143"/>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Pr="002B5ED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11742144"/>
      <w:r w:rsidRPr="002B5ED5">
        <w:rPr>
          <w:sz w:val="22"/>
          <w:szCs w:val="22"/>
        </w:rPr>
        <w:t>EMISSION UNIT SUMMARY TABLE</w:t>
      </w:r>
      <w:bookmarkEnd w:id="67"/>
      <w:bookmarkEnd w:id="68"/>
      <w:bookmarkEnd w:id="69"/>
      <w:bookmarkEnd w:id="70"/>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00"/>
        <w:gridCol w:w="2160"/>
      </w:tblGrid>
      <w:tr w:rsidR="000F25BB" w:rsidTr="00296C57">
        <w:trPr>
          <w:cantSplit/>
          <w:tblHeader/>
        </w:trPr>
        <w:tc>
          <w:tcPr>
            <w:tcW w:w="2160" w:type="dxa"/>
            <w:tcBorders>
              <w:top w:val="double" w:sz="6" w:space="0" w:color="auto"/>
              <w:bottom w:val="double" w:sz="4" w:space="0" w:color="auto"/>
            </w:tcBorders>
            <w:shd w:val="pct10" w:color="auto" w:fill="auto"/>
          </w:tcPr>
          <w:p w:rsidR="000F25BB" w:rsidRPr="00BB5D62" w:rsidRDefault="000F25BB" w:rsidP="00CA2D3E">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0F25BB" w:rsidRDefault="000F25BB" w:rsidP="00CA2D3E">
            <w:pPr>
              <w:jc w:val="center"/>
              <w:rPr>
                <w:rFonts w:cs="Arial"/>
                <w:b/>
                <w:sz w:val="20"/>
              </w:rPr>
            </w:pPr>
            <w:r w:rsidRPr="00BB5D62">
              <w:rPr>
                <w:rFonts w:cs="Arial"/>
                <w:b/>
                <w:sz w:val="20"/>
              </w:rPr>
              <w:t>Emission Unit Descriptio</w:t>
            </w:r>
            <w:r>
              <w:rPr>
                <w:rFonts w:cs="Arial"/>
                <w:b/>
                <w:sz w:val="20"/>
              </w:rPr>
              <w:t>n</w:t>
            </w:r>
          </w:p>
          <w:p w:rsidR="000F25BB" w:rsidRPr="00875F04" w:rsidRDefault="000F25BB" w:rsidP="00CA2D3E">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rsidR="000F25BB" w:rsidRPr="00BB5D62" w:rsidRDefault="000F25BB" w:rsidP="00CA2D3E">
            <w:pPr>
              <w:jc w:val="center"/>
              <w:rPr>
                <w:rFonts w:cs="Arial"/>
                <w:b/>
                <w:sz w:val="20"/>
              </w:rPr>
            </w:pPr>
            <w:r w:rsidRPr="00BB5D62">
              <w:rPr>
                <w:rFonts w:cs="Arial"/>
                <w:b/>
                <w:sz w:val="20"/>
              </w:rPr>
              <w:t>Installation</w:t>
            </w:r>
          </w:p>
          <w:p w:rsidR="000F25BB" w:rsidRDefault="000F25BB" w:rsidP="00CA2D3E">
            <w:pPr>
              <w:jc w:val="center"/>
              <w:rPr>
                <w:rFonts w:cs="Arial"/>
                <w:b/>
                <w:sz w:val="20"/>
              </w:rPr>
            </w:pPr>
            <w:r w:rsidRPr="00BB5D62">
              <w:rPr>
                <w:rFonts w:cs="Arial"/>
                <w:b/>
                <w:sz w:val="20"/>
              </w:rPr>
              <w:t>Date</w:t>
            </w:r>
            <w:r>
              <w:rPr>
                <w:rFonts w:cs="Arial"/>
                <w:b/>
                <w:sz w:val="20"/>
              </w:rPr>
              <w:t>/</w:t>
            </w:r>
          </w:p>
          <w:p w:rsidR="000F25BB" w:rsidRPr="00BB5D62" w:rsidRDefault="000F25BB" w:rsidP="00CA2D3E">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rsidR="000F25BB" w:rsidRPr="00BB5D62" w:rsidRDefault="000F25BB" w:rsidP="00CA2D3E">
            <w:pPr>
              <w:jc w:val="center"/>
              <w:rPr>
                <w:rFonts w:cs="Arial"/>
                <w:b/>
                <w:sz w:val="20"/>
              </w:rPr>
            </w:pPr>
            <w:r>
              <w:rPr>
                <w:rFonts w:cs="Arial"/>
                <w:b/>
                <w:sz w:val="20"/>
              </w:rPr>
              <w:t>Flexible Group ID</w:t>
            </w:r>
          </w:p>
        </w:tc>
      </w:tr>
      <w:tr w:rsidR="000F25BB" w:rsidTr="00296C57">
        <w:trPr>
          <w:cantSplit/>
        </w:trPr>
        <w:tc>
          <w:tcPr>
            <w:tcW w:w="2160" w:type="dxa"/>
            <w:tcBorders>
              <w:top w:val="nil"/>
            </w:tcBorders>
          </w:tcPr>
          <w:p w:rsidR="000F25BB" w:rsidRPr="00BB5D62" w:rsidRDefault="000F25BB" w:rsidP="00CA2D3E">
            <w:pPr>
              <w:rPr>
                <w:rFonts w:cs="Arial"/>
                <w:sz w:val="20"/>
              </w:rPr>
            </w:pPr>
            <w:r>
              <w:rPr>
                <w:rFonts w:cs="Arial"/>
                <w:sz w:val="20"/>
              </w:rPr>
              <w:t>EUTURBINE1</w:t>
            </w:r>
          </w:p>
        </w:tc>
        <w:tc>
          <w:tcPr>
            <w:tcW w:w="4320" w:type="dxa"/>
            <w:tcBorders>
              <w:top w:val="nil"/>
            </w:tcBorders>
          </w:tcPr>
          <w:p w:rsidR="000F25BB" w:rsidRPr="00BB5D62" w:rsidRDefault="000F25BB" w:rsidP="0074069A">
            <w:pPr>
              <w:jc w:val="both"/>
              <w:rPr>
                <w:rFonts w:cs="Arial"/>
                <w:sz w:val="20"/>
              </w:rPr>
            </w:pPr>
            <w:r>
              <w:rPr>
                <w:sz w:val="20"/>
              </w:rPr>
              <w:t>Solar MARS 100 natural gas fired turbine driven Solar C65 compressor, rated at 15,000 horsepower and equipped with dry low NOx emission controls.</w:t>
            </w:r>
            <w:r w:rsidR="0074069A">
              <w:rPr>
                <w:sz w:val="20"/>
              </w:rPr>
              <w:t xml:space="preserve"> </w:t>
            </w:r>
            <w:r>
              <w:rPr>
                <w:sz w:val="20"/>
              </w:rPr>
              <w:t xml:space="preserve"> (PTI No. 221-04)</w:t>
            </w:r>
          </w:p>
        </w:tc>
        <w:tc>
          <w:tcPr>
            <w:tcW w:w="1800" w:type="dxa"/>
            <w:tcBorders>
              <w:top w:val="nil"/>
            </w:tcBorders>
          </w:tcPr>
          <w:p w:rsidR="000F25BB" w:rsidRPr="00DD4F04" w:rsidRDefault="0081172F" w:rsidP="00CA2D3E">
            <w:pPr>
              <w:jc w:val="center"/>
              <w:rPr>
                <w:rFonts w:cs="Arial"/>
                <w:sz w:val="20"/>
              </w:rPr>
            </w:pPr>
            <w:r>
              <w:rPr>
                <w:rFonts w:cs="Arial"/>
                <w:sz w:val="20"/>
              </w:rPr>
              <w:t>01/10/</w:t>
            </w:r>
            <w:r w:rsidR="0074069A">
              <w:rPr>
                <w:rFonts w:cs="Arial"/>
                <w:sz w:val="20"/>
              </w:rPr>
              <w:t>02</w:t>
            </w:r>
          </w:p>
        </w:tc>
        <w:tc>
          <w:tcPr>
            <w:tcW w:w="2160" w:type="dxa"/>
            <w:tcBorders>
              <w:top w:val="nil"/>
            </w:tcBorders>
          </w:tcPr>
          <w:p w:rsidR="000F25BB" w:rsidRPr="00BB5D62" w:rsidRDefault="000F25BB" w:rsidP="00CA2D3E">
            <w:pPr>
              <w:jc w:val="center"/>
              <w:rPr>
                <w:rFonts w:cs="Arial"/>
                <w:sz w:val="20"/>
              </w:rPr>
            </w:pPr>
            <w:r>
              <w:rPr>
                <w:rFonts w:cs="Arial"/>
                <w:sz w:val="20"/>
              </w:rPr>
              <w:t>FGTURBINES</w:t>
            </w:r>
          </w:p>
        </w:tc>
      </w:tr>
      <w:tr w:rsidR="0074069A" w:rsidTr="00296C57">
        <w:trPr>
          <w:cantSplit/>
        </w:trPr>
        <w:tc>
          <w:tcPr>
            <w:tcW w:w="2160" w:type="dxa"/>
          </w:tcPr>
          <w:p w:rsidR="0074069A" w:rsidRDefault="0074069A" w:rsidP="0074069A">
            <w:pPr>
              <w:rPr>
                <w:rFonts w:cs="Arial"/>
                <w:sz w:val="20"/>
              </w:rPr>
            </w:pPr>
            <w:r>
              <w:rPr>
                <w:rFonts w:cs="Arial"/>
                <w:sz w:val="20"/>
              </w:rPr>
              <w:t>EUTURBINE2</w:t>
            </w:r>
          </w:p>
          <w:p w:rsidR="0074069A" w:rsidRPr="00BB5D62" w:rsidRDefault="0074069A" w:rsidP="0074069A">
            <w:pPr>
              <w:rPr>
                <w:rFonts w:cs="Arial"/>
                <w:sz w:val="20"/>
              </w:rPr>
            </w:pPr>
          </w:p>
        </w:tc>
        <w:tc>
          <w:tcPr>
            <w:tcW w:w="4320" w:type="dxa"/>
          </w:tcPr>
          <w:p w:rsidR="0074069A" w:rsidRPr="00BB5D62" w:rsidRDefault="0074069A" w:rsidP="0074069A">
            <w:pPr>
              <w:jc w:val="both"/>
              <w:rPr>
                <w:rFonts w:cs="Arial"/>
                <w:sz w:val="20"/>
              </w:rPr>
            </w:pPr>
            <w:r>
              <w:rPr>
                <w:sz w:val="20"/>
              </w:rPr>
              <w:t>Solar MARS 100 natural gas fired turbine driven Solar C65 compressor, rated at 15,000 horsepower and equipped with dry low NOx emission controls.  (PTI No. 221-04)</w:t>
            </w:r>
          </w:p>
        </w:tc>
        <w:tc>
          <w:tcPr>
            <w:tcW w:w="1800" w:type="dxa"/>
          </w:tcPr>
          <w:p w:rsidR="0074069A" w:rsidRDefault="0074069A" w:rsidP="0074069A">
            <w:pPr>
              <w:jc w:val="center"/>
            </w:pPr>
            <w:r w:rsidRPr="00D949AC">
              <w:rPr>
                <w:rFonts w:cs="Arial"/>
                <w:sz w:val="20"/>
              </w:rPr>
              <w:t>01/10/02</w:t>
            </w:r>
          </w:p>
        </w:tc>
        <w:tc>
          <w:tcPr>
            <w:tcW w:w="2160" w:type="dxa"/>
          </w:tcPr>
          <w:p w:rsidR="0074069A" w:rsidRPr="00F062B4" w:rsidRDefault="0074069A" w:rsidP="0074069A">
            <w:pPr>
              <w:jc w:val="center"/>
              <w:rPr>
                <w:rFonts w:cs="Arial"/>
                <w:sz w:val="20"/>
              </w:rPr>
            </w:pPr>
            <w:r w:rsidRPr="00F062B4">
              <w:rPr>
                <w:rFonts w:cs="Arial"/>
                <w:sz w:val="20"/>
              </w:rPr>
              <w:t>FGTURBINES</w:t>
            </w:r>
          </w:p>
        </w:tc>
      </w:tr>
      <w:tr w:rsidR="0074069A" w:rsidTr="00296C57">
        <w:trPr>
          <w:cantSplit/>
        </w:trPr>
        <w:tc>
          <w:tcPr>
            <w:tcW w:w="2160" w:type="dxa"/>
          </w:tcPr>
          <w:p w:rsidR="0074069A" w:rsidRDefault="0074069A" w:rsidP="0074069A">
            <w:pPr>
              <w:rPr>
                <w:rFonts w:cs="Arial"/>
                <w:sz w:val="20"/>
              </w:rPr>
            </w:pPr>
            <w:r>
              <w:rPr>
                <w:rFonts w:cs="Arial"/>
                <w:sz w:val="20"/>
              </w:rPr>
              <w:t>EUSPU3</w:t>
            </w:r>
          </w:p>
          <w:p w:rsidR="0074069A" w:rsidRPr="00BB5D62" w:rsidRDefault="0074069A" w:rsidP="0074069A">
            <w:pPr>
              <w:rPr>
                <w:rFonts w:cs="Arial"/>
                <w:sz w:val="20"/>
              </w:rPr>
            </w:pPr>
          </w:p>
        </w:tc>
        <w:tc>
          <w:tcPr>
            <w:tcW w:w="4320" w:type="dxa"/>
          </w:tcPr>
          <w:p w:rsidR="0074069A" w:rsidRPr="00BB5D62" w:rsidRDefault="0074069A" w:rsidP="0074069A">
            <w:pPr>
              <w:jc w:val="both"/>
              <w:rPr>
                <w:rFonts w:cs="Arial"/>
                <w:sz w:val="20"/>
              </w:rPr>
            </w:pPr>
            <w:r>
              <w:rPr>
                <w:sz w:val="20"/>
              </w:rPr>
              <w:t>Natural gas fired Cummins GTA50G2 internal combustion engine standby power unit, rated at 9.654 MMBTU/hr maximum heat release. (PTI No. 221-04)</w:t>
            </w:r>
          </w:p>
        </w:tc>
        <w:tc>
          <w:tcPr>
            <w:tcW w:w="1800" w:type="dxa"/>
          </w:tcPr>
          <w:p w:rsidR="0074069A" w:rsidRDefault="0074069A" w:rsidP="0074069A">
            <w:pPr>
              <w:jc w:val="center"/>
            </w:pPr>
            <w:r w:rsidRPr="00D949AC">
              <w:rPr>
                <w:rFonts w:cs="Arial"/>
                <w:sz w:val="20"/>
              </w:rPr>
              <w:t>01/10/02</w:t>
            </w:r>
          </w:p>
        </w:tc>
        <w:tc>
          <w:tcPr>
            <w:tcW w:w="2160" w:type="dxa"/>
          </w:tcPr>
          <w:p w:rsidR="0074069A" w:rsidRPr="00BB5D62" w:rsidRDefault="0074069A" w:rsidP="0074069A">
            <w:pPr>
              <w:jc w:val="center"/>
              <w:rPr>
                <w:rFonts w:cs="Arial"/>
                <w:sz w:val="20"/>
              </w:rPr>
            </w:pPr>
            <w:r>
              <w:rPr>
                <w:rFonts w:cs="Arial"/>
                <w:sz w:val="20"/>
              </w:rPr>
              <w:t>NA</w:t>
            </w:r>
          </w:p>
        </w:tc>
      </w:tr>
      <w:tr w:rsidR="000F25BB" w:rsidTr="00296C57">
        <w:trPr>
          <w:cantSplit/>
        </w:trPr>
        <w:tc>
          <w:tcPr>
            <w:tcW w:w="2160" w:type="dxa"/>
          </w:tcPr>
          <w:p w:rsidR="000F25BB" w:rsidRPr="00BB5D62" w:rsidRDefault="000F25BB" w:rsidP="00CA2D3E">
            <w:pPr>
              <w:rPr>
                <w:rFonts w:cs="Arial"/>
                <w:sz w:val="20"/>
              </w:rPr>
            </w:pPr>
            <w:r>
              <w:rPr>
                <w:rFonts w:cs="Arial"/>
                <w:sz w:val="20"/>
              </w:rPr>
              <w:t>EURULE285</w:t>
            </w:r>
            <w:r w:rsidR="00296C57">
              <w:rPr>
                <w:rFonts w:cs="Arial"/>
                <w:sz w:val="20"/>
              </w:rPr>
              <w:t>(2)</w:t>
            </w:r>
            <w:r>
              <w:rPr>
                <w:rFonts w:cs="Arial"/>
                <w:sz w:val="20"/>
              </w:rPr>
              <w:t>(mm)</w:t>
            </w:r>
          </w:p>
        </w:tc>
        <w:tc>
          <w:tcPr>
            <w:tcW w:w="4320" w:type="dxa"/>
          </w:tcPr>
          <w:p w:rsidR="000F25BB" w:rsidRPr="00BB5D62" w:rsidRDefault="000F25BB" w:rsidP="0074069A">
            <w:pPr>
              <w:tabs>
                <w:tab w:val="left" w:pos="839"/>
              </w:tabs>
              <w:jc w:val="both"/>
              <w:rPr>
                <w:rFonts w:cs="Arial"/>
                <w:sz w:val="20"/>
              </w:rPr>
            </w:pPr>
            <w:r>
              <w:rPr>
                <w:rFonts w:cs="Arial"/>
                <w:sz w:val="20"/>
              </w:rPr>
              <w:t>Any emission unit that emits air contaminants and is exempt from the requirements of Rule 201 pursuant to Rules 278 and 285</w:t>
            </w:r>
            <w:r w:rsidR="00296C57">
              <w:rPr>
                <w:rFonts w:cs="Arial"/>
                <w:sz w:val="20"/>
              </w:rPr>
              <w:t>(2)</w:t>
            </w:r>
            <w:r>
              <w:rPr>
                <w:rFonts w:cs="Arial"/>
                <w:sz w:val="20"/>
              </w:rPr>
              <w:t>(mm)</w:t>
            </w:r>
          </w:p>
        </w:tc>
        <w:tc>
          <w:tcPr>
            <w:tcW w:w="1800" w:type="dxa"/>
          </w:tcPr>
          <w:p w:rsidR="000F25BB" w:rsidRPr="00BB5D62" w:rsidRDefault="000F25BB" w:rsidP="00CA2D3E">
            <w:pPr>
              <w:jc w:val="center"/>
              <w:rPr>
                <w:rFonts w:cs="Arial"/>
                <w:sz w:val="20"/>
              </w:rPr>
            </w:pPr>
            <w:r>
              <w:rPr>
                <w:rFonts w:cs="Arial"/>
                <w:sz w:val="20"/>
              </w:rPr>
              <w:t>NA</w:t>
            </w:r>
          </w:p>
        </w:tc>
        <w:tc>
          <w:tcPr>
            <w:tcW w:w="2160" w:type="dxa"/>
          </w:tcPr>
          <w:p w:rsidR="000F25BB" w:rsidRPr="00BB5D62" w:rsidRDefault="000F25BB" w:rsidP="00CA2D3E">
            <w:pPr>
              <w:jc w:val="center"/>
              <w:rPr>
                <w:rFonts w:cs="Arial"/>
                <w:sz w:val="20"/>
              </w:rPr>
            </w:pPr>
            <w:r>
              <w:rPr>
                <w:rFonts w:cs="Arial"/>
                <w:sz w:val="20"/>
              </w:rPr>
              <w:t>FGRULE285</w:t>
            </w:r>
            <w:r w:rsidR="00296C57">
              <w:rPr>
                <w:rFonts w:cs="Arial"/>
                <w:sz w:val="20"/>
              </w:rPr>
              <w:t>(2)</w:t>
            </w:r>
            <w:r>
              <w:rPr>
                <w:rFonts w:cs="Arial"/>
                <w:sz w:val="20"/>
              </w:rPr>
              <w:t>(mm)</w:t>
            </w:r>
          </w:p>
        </w:tc>
      </w:tr>
    </w:tbl>
    <w:p w:rsidR="00B639B1" w:rsidRPr="004B4509" w:rsidRDefault="00B639B1" w:rsidP="002916F7">
      <w:pPr>
        <w:rPr>
          <w:sz w:val="20"/>
        </w:rPr>
      </w:pPr>
    </w:p>
    <w:p w:rsidR="00D72D77" w:rsidRDefault="00D72D77" w:rsidP="004B4509">
      <w:pPr>
        <w:rPr>
          <w:sz w:val="20"/>
        </w:rPr>
      </w:pPr>
    </w:p>
    <w:p w:rsidR="004C69F6" w:rsidRDefault="004C69F6" w:rsidP="004B4509">
      <w:pPr>
        <w:rPr>
          <w:sz w:val="20"/>
        </w:rPr>
      </w:pPr>
    </w:p>
    <w:p w:rsidR="0074069A" w:rsidRDefault="0074069A">
      <w:pPr>
        <w:rPr>
          <w:sz w:val="20"/>
        </w:rPr>
      </w:pPr>
      <w:r>
        <w:rPr>
          <w:sz w:val="20"/>
        </w:rPr>
        <w:br w:type="page"/>
      </w:r>
    </w:p>
    <w:p w:rsidR="000F25BB" w:rsidRPr="0075518C" w:rsidRDefault="000F25BB" w:rsidP="000F25BB">
      <w:pPr>
        <w:pStyle w:val="Heading2"/>
        <w:numPr>
          <w:ilvl w:val="0"/>
          <w:numId w:val="0"/>
        </w:numPr>
        <w:pBdr>
          <w:top w:val="single" w:sz="4" w:space="1" w:color="auto"/>
          <w:left w:val="single" w:sz="4" w:space="0" w:color="auto"/>
          <w:bottom w:val="single" w:sz="4" w:space="1" w:color="auto"/>
          <w:right w:val="single" w:sz="4" w:space="4" w:color="auto"/>
        </w:pBdr>
      </w:pPr>
      <w:bookmarkStart w:id="71" w:name="_Toc852396"/>
      <w:bookmarkStart w:id="72" w:name="_Toc852727"/>
      <w:bookmarkStart w:id="73" w:name="_Toc2571644"/>
      <w:bookmarkStart w:id="74" w:name="_Toc405988777"/>
      <w:bookmarkStart w:id="75" w:name="_Toc11742145"/>
      <w:r w:rsidRPr="0075518C">
        <w:lastRenderedPageBreak/>
        <w:t>EU</w:t>
      </w:r>
      <w:r>
        <w:t>SPU3</w:t>
      </w:r>
      <w:bookmarkEnd w:id="71"/>
      <w:bookmarkEnd w:id="72"/>
      <w:bookmarkEnd w:id="73"/>
      <w:bookmarkEnd w:id="74"/>
      <w:bookmarkEnd w:id="75"/>
    </w:p>
    <w:p w:rsidR="000F25BB" w:rsidRPr="00EE02F9" w:rsidRDefault="000F25BB" w:rsidP="000F25BB">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0F25BB" w:rsidRPr="00CC02A3" w:rsidRDefault="000F25BB" w:rsidP="000F25BB">
      <w:pPr>
        <w:rPr>
          <w:sz w:val="20"/>
        </w:rPr>
      </w:pPr>
    </w:p>
    <w:p w:rsidR="000F25BB" w:rsidRPr="00CC02A3" w:rsidRDefault="000F25BB" w:rsidP="000F25BB">
      <w:pPr>
        <w:jc w:val="both"/>
        <w:rPr>
          <w:b/>
          <w:sz w:val="20"/>
          <w:u w:val="single"/>
        </w:rPr>
      </w:pPr>
      <w:r>
        <w:rPr>
          <w:b/>
          <w:u w:val="single"/>
        </w:rPr>
        <w:t>DESCRIPTION</w:t>
      </w:r>
    </w:p>
    <w:p w:rsidR="000F25BB" w:rsidRPr="00FE0AD0" w:rsidRDefault="000F25BB" w:rsidP="000F25BB">
      <w:pPr>
        <w:jc w:val="both"/>
        <w:rPr>
          <w:b/>
          <w:sz w:val="20"/>
          <w:u w:val="single"/>
        </w:rPr>
      </w:pPr>
    </w:p>
    <w:p w:rsidR="000F25BB" w:rsidRPr="00236177" w:rsidRDefault="000F25BB" w:rsidP="000F25BB">
      <w:pPr>
        <w:jc w:val="both"/>
        <w:rPr>
          <w:rFonts w:cs="Arial"/>
          <w:b/>
          <w:bCs/>
          <w:sz w:val="20"/>
          <w:u w:val="single"/>
        </w:rPr>
      </w:pPr>
      <w:r w:rsidRPr="00236177">
        <w:rPr>
          <w:rFonts w:cs="Arial"/>
          <w:sz w:val="20"/>
        </w:rPr>
        <w:t>Natural gas fired Cummins GTA50G2 internal combustion engine standby power unit, rated at 9.654 million British Thermal Units per hour maximum heat release.</w:t>
      </w:r>
    </w:p>
    <w:p w:rsidR="000F25BB" w:rsidRDefault="000F25BB" w:rsidP="000F25BB">
      <w:pPr>
        <w:jc w:val="both"/>
        <w:rPr>
          <w:b/>
          <w:sz w:val="20"/>
        </w:rPr>
      </w:pPr>
    </w:p>
    <w:p w:rsidR="000F25BB" w:rsidRPr="00A86D8D" w:rsidRDefault="000F25BB" w:rsidP="000F25BB">
      <w:pPr>
        <w:jc w:val="both"/>
        <w:rPr>
          <w:sz w:val="20"/>
        </w:rPr>
      </w:pPr>
      <w:r w:rsidRPr="00FE0AD0">
        <w:rPr>
          <w:b/>
          <w:sz w:val="20"/>
        </w:rPr>
        <w:t>Flexible Group ID</w:t>
      </w:r>
      <w:r>
        <w:rPr>
          <w:b/>
          <w:sz w:val="20"/>
        </w:rPr>
        <w:t>:</w:t>
      </w:r>
      <w:r>
        <w:rPr>
          <w:sz w:val="20"/>
        </w:rPr>
        <w:t xml:space="preserve">  NA</w:t>
      </w:r>
    </w:p>
    <w:p w:rsidR="000F25BB" w:rsidRDefault="000F25BB" w:rsidP="000F25BB">
      <w:pPr>
        <w:jc w:val="both"/>
      </w:pPr>
    </w:p>
    <w:p w:rsidR="000F25BB" w:rsidRDefault="000F25BB" w:rsidP="000F25BB">
      <w:pPr>
        <w:jc w:val="both"/>
      </w:pPr>
      <w:r>
        <w:rPr>
          <w:b/>
          <w:u w:val="single"/>
        </w:rPr>
        <w:t>POLLUTION CONTROL EQUIPMENT</w:t>
      </w:r>
      <w:r w:rsidRPr="00A0079E">
        <w:t xml:space="preserve">  </w:t>
      </w:r>
    </w:p>
    <w:p w:rsidR="000F25BB" w:rsidRPr="004C2E8D" w:rsidRDefault="000F25BB" w:rsidP="000F25BB">
      <w:pPr>
        <w:jc w:val="both"/>
        <w:rPr>
          <w:sz w:val="20"/>
        </w:rPr>
      </w:pPr>
    </w:p>
    <w:p w:rsidR="000F25BB" w:rsidRPr="004C2E8D" w:rsidRDefault="000F25BB" w:rsidP="000F25BB">
      <w:pPr>
        <w:jc w:val="both"/>
        <w:rPr>
          <w:sz w:val="20"/>
        </w:rPr>
      </w:pPr>
      <w:r w:rsidRPr="004C2E8D">
        <w:rPr>
          <w:sz w:val="20"/>
        </w:rPr>
        <w:t>NA</w:t>
      </w:r>
    </w:p>
    <w:p w:rsidR="000F25BB" w:rsidRPr="004C2E8D" w:rsidRDefault="000F25BB" w:rsidP="000F25BB">
      <w:pPr>
        <w:jc w:val="both"/>
        <w:rPr>
          <w:b/>
          <w:sz w:val="20"/>
        </w:rPr>
      </w:pPr>
    </w:p>
    <w:p w:rsidR="000F25BB" w:rsidRPr="00CC02A3" w:rsidRDefault="000F25BB" w:rsidP="000F25BB">
      <w:pPr>
        <w:jc w:val="both"/>
        <w:rPr>
          <w:b/>
          <w:sz w:val="20"/>
          <w:u w:val="single"/>
        </w:rPr>
      </w:pPr>
      <w:r>
        <w:rPr>
          <w:b/>
        </w:rPr>
        <w:t xml:space="preserve">I.  </w:t>
      </w:r>
      <w:r>
        <w:rPr>
          <w:b/>
          <w:u w:val="single"/>
        </w:rPr>
        <w:t>EMISSION LIMITS</w:t>
      </w:r>
    </w:p>
    <w:p w:rsidR="000F25BB" w:rsidRDefault="000F25BB" w:rsidP="000F25BB">
      <w:pPr>
        <w:jc w:val="both"/>
        <w:rPr>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1440"/>
        <w:gridCol w:w="2245"/>
        <w:gridCol w:w="1889"/>
        <w:gridCol w:w="1530"/>
        <w:gridCol w:w="1530"/>
      </w:tblGrid>
      <w:tr w:rsidR="000F25BB" w:rsidTr="00CA2D3E">
        <w:trPr>
          <w:cantSplit/>
          <w:tblHeader/>
        </w:trPr>
        <w:tc>
          <w:tcPr>
            <w:tcW w:w="1646" w:type="dxa"/>
            <w:tcBorders>
              <w:top w:val="single" w:sz="4" w:space="0" w:color="auto"/>
              <w:left w:val="single" w:sz="4" w:space="0" w:color="auto"/>
              <w:bottom w:val="single" w:sz="4" w:space="0" w:color="auto"/>
              <w:right w:val="single" w:sz="4" w:space="0" w:color="auto"/>
            </w:tcBorders>
          </w:tcPr>
          <w:p w:rsidR="000F25BB" w:rsidRPr="00BD3DE3" w:rsidRDefault="000F25BB" w:rsidP="00CA2D3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F25BB" w:rsidRPr="00BD3DE3" w:rsidRDefault="000F25BB" w:rsidP="00CA2D3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F25BB" w:rsidRDefault="000F25BB" w:rsidP="00CA2D3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F25BB" w:rsidRPr="00BD3DE3" w:rsidRDefault="000F25BB" w:rsidP="00CA2D3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F25BB" w:rsidRDefault="000F25BB" w:rsidP="00CA2D3E">
            <w:pPr>
              <w:jc w:val="center"/>
              <w:rPr>
                <w:b/>
                <w:sz w:val="20"/>
              </w:rPr>
            </w:pPr>
            <w:r>
              <w:rPr>
                <w:b/>
                <w:sz w:val="20"/>
              </w:rPr>
              <w:t>Monitoring/</w:t>
            </w:r>
          </w:p>
          <w:p w:rsidR="000F25BB" w:rsidRPr="00BD3DE3" w:rsidRDefault="000F25BB" w:rsidP="00CA2D3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F25BB" w:rsidRPr="00BD3DE3" w:rsidRDefault="000F25BB" w:rsidP="00CA2D3E">
            <w:pPr>
              <w:jc w:val="center"/>
              <w:rPr>
                <w:b/>
                <w:sz w:val="20"/>
              </w:rPr>
            </w:pPr>
            <w:r w:rsidRPr="00BD3DE3">
              <w:rPr>
                <w:b/>
                <w:sz w:val="20"/>
              </w:rPr>
              <w:t>Underlying</w:t>
            </w:r>
            <w:r>
              <w:rPr>
                <w:b/>
                <w:sz w:val="20"/>
              </w:rPr>
              <w:t xml:space="preserve"> </w:t>
            </w:r>
            <w:r w:rsidRPr="00BD3DE3">
              <w:rPr>
                <w:b/>
                <w:sz w:val="20"/>
              </w:rPr>
              <w:t>Applicable Requirements</w:t>
            </w:r>
          </w:p>
        </w:tc>
      </w:tr>
      <w:tr w:rsidR="000F25BB" w:rsidTr="00CA2D3E">
        <w:trPr>
          <w:cantSplit/>
        </w:trPr>
        <w:tc>
          <w:tcPr>
            <w:tcW w:w="1646" w:type="dxa"/>
            <w:tcBorders>
              <w:top w:val="single" w:sz="4" w:space="0" w:color="auto"/>
              <w:left w:val="single" w:sz="4" w:space="0" w:color="auto"/>
              <w:bottom w:val="single" w:sz="4" w:space="0" w:color="auto"/>
              <w:right w:val="single" w:sz="4" w:space="0" w:color="auto"/>
            </w:tcBorders>
          </w:tcPr>
          <w:p w:rsidR="000F25BB" w:rsidRDefault="000F25BB" w:rsidP="00CA2D3E">
            <w:pPr>
              <w:rPr>
                <w:sz w:val="20"/>
              </w:rPr>
            </w:pPr>
            <w:r w:rsidRPr="00095B77">
              <w:rPr>
                <w:sz w:val="20"/>
              </w:rPr>
              <w:t>1.</w:t>
            </w:r>
            <w:r w:rsidR="004D3CF4">
              <w:rPr>
                <w:sz w:val="20"/>
              </w:rPr>
              <w:t xml:space="preserve">  </w:t>
            </w:r>
            <w:r>
              <w:rPr>
                <w:sz w:val="20"/>
              </w:rPr>
              <w:t xml:space="preserve">Oxides of  </w:t>
            </w:r>
          </w:p>
          <w:p w:rsidR="000F25BB" w:rsidRPr="00095B77" w:rsidRDefault="000F25BB" w:rsidP="00CA2D3E">
            <w:pPr>
              <w:rPr>
                <w:sz w:val="20"/>
              </w:rPr>
            </w:pPr>
            <w:r>
              <w:rPr>
                <w:sz w:val="20"/>
              </w:rPr>
              <w:t xml:space="preserve">  </w:t>
            </w:r>
            <w:r w:rsidR="004D3CF4">
              <w:rPr>
                <w:sz w:val="20"/>
              </w:rPr>
              <w:t xml:space="preserve">  </w:t>
            </w:r>
            <w:r>
              <w:rPr>
                <w:sz w:val="20"/>
              </w:rPr>
              <w:t xml:space="preserve"> Nitrogen (NOx)</w:t>
            </w:r>
          </w:p>
        </w:tc>
        <w:tc>
          <w:tcPr>
            <w:tcW w:w="1440" w:type="dxa"/>
            <w:tcBorders>
              <w:top w:val="single" w:sz="4" w:space="0" w:color="auto"/>
              <w:left w:val="single" w:sz="4" w:space="0" w:color="auto"/>
              <w:bottom w:val="single" w:sz="4" w:space="0" w:color="auto"/>
              <w:right w:val="single" w:sz="4" w:space="0" w:color="auto"/>
            </w:tcBorders>
          </w:tcPr>
          <w:p w:rsidR="000F25BB" w:rsidRPr="00A0079E" w:rsidRDefault="000F25BB" w:rsidP="00CA2D3E">
            <w:pPr>
              <w:jc w:val="center"/>
              <w:rPr>
                <w:rFonts w:cs="Arial"/>
                <w:sz w:val="20"/>
              </w:rPr>
            </w:pPr>
            <w:r>
              <w:rPr>
                <w:sz w:val="20"/>
              </w:rPr>
              <w:t>39.4 pounds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F25BB" w:rsidRPr="00BD3DE3" w:rsidRDefault="000F25BB" w:rsidP="00CA2D3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rsidR="000F25BB" w:rsidRPr="00BD3DE3" w:rsidRDefault="000F25BB" w:rsidP="00CA2D3E">
            <w:pPr>
              <w:jc w:val="center"/>
              <w:rPr>
                <w:sz w:val="20"/>
              </w:rPr>
            </w:pPr>
            <w:r>
              <w:rPr>
                <w:sz w:val="20"/>
              </w:rPr>
              <w:t>EUSPU3</w:t>
            </w:r>
          </w:p>
        </w:tc>
        <w:tc>
          <w:tcPr>
            <w:tcW w:w="1530" w:type="dxa"/>
            <w:tcBorders>
              <w:top w:val="single" w:sz="4" w:space="0" w:color="auto"/>
              <w:left w:val="single" w:sz="4" w:space="0" w:color="auto"/>
              <w:bottom w:val="single" w:sz="4" w:space="0" w:color="auto"/>
              <w:right w:val="single" w:sz="4" w:space="0" w:color="auto"/>
            </w:tcBorders>
          </w:tcPr>
          <w:p w:rsidR="000F25BB" w:rsidRDefault="00296C57" w:rsidP="00CA2D3E">
            <w:pPr>
              <w:jc w:val="center"/>
              <w:rPr>
                <w:sz w:val="20"/>
              </w:rPr>
            </w:pPr>
            <w:r>
              <w:rPr>
                <w:sz w:val="20"/>
              </w:rPr>
              <w:t>SC V.2</w:t>
            </w:r>
          </w:p>
          <w:p w:rsidR="00296C57" w:rsidRPr="00BD3DE3" w:rsidRDefault="00296C57" w:rsidP="00CA2D3E">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0F25BB" w:rsidRPr="004C2E8D" w:rsidRDefault="000F25BB" w:rsidP="00CA2D3E">
            <w:pPr>
              <w:jc w:val="center"/>
              <w:rPr>
                <w:b/>
                <w:sz w:val="20"/>
              </w:rPr>
            </w:pPr>
            <w:r w:rsidRPr="004C2E8D">
              <w:rPr>
                <w:b/>
                <w:sz w:val="20"/>
              </w:rPr>
              <w:t>40 CFR 52.21</w:t>
            </w:r>
          </w:p>
        </w:tc>
      </w:tr>
      <w:tr w:rsidR="000F25BB" w:rsidTr="00CA2D3E">
        <w:trPr>
          <w:cantSplit/>
        </w:trPr>
        <w:tc>
          <w:tcPr>
            <w:tcW w:w="1646" w:type="dxa"/>
            <w:tcBorders>
              <w:top w:val="single" w:sz="4" w:space="0" w:color="auto"/>
              <w:left w:val="single" w:sz="4" w:space="0" w:color="auto"/>
              <w:bottom w:val="single" w:sz="4" w:space="0" w:color="auto"/>
              <w:right w:val="single" w:sz="4" w:space="0" w:color="auto"/>
            </w:tcBorders>
          </w:tcPr>
          <w:p w:rsidR="000F25BB" w:rsidRDefault="000F25BB" w:rsidP="00CA2D3E">
            <w:pPr>
              <w:rPr>
                <w:sz w:val="20"/>
              </w:rPr>
            </w:pPr>
            <w:r>
              <w:rPr>
                <w:sz w:val="20"/>
              </w:rPr>
              <w:t xml:space="preserve">2. </w:t>
            </w:r>
            <w:r w:rsidR="004D3CF4">
              <w:rPr>
                <w:sz w:val="20"/>
              </w:rPr>
              <w:t xml:space="preserve"> </w:t>
            </w:r>
            <w:r>
              <w:rPr>
                <w:sz w:val="20"/>
              </w:rPr>
              <w:t xml:space="preserve">Oxides of  </w:t>
            </w:r>
          </w:p>
          <w:p w:rsidR="000F25BB" w:rsidRPr="00095B77" w:rsidRDefault="000F25BB" w:rsidP="00CA2D3E">
            <w:pPr>
              <w:rPr>
                <w:sz w:val="20"/>
              </w:rPr>
            </w:pPr>
            <w:r>
              <w:rPr>
                <w:sz w:val="20"/>
              </w:rPr>
              <w:t xml:space="preserve">   </w:t>
            </w:r>
            <w:r w:rsidR="004D3CF4">
              <w:rPr>
                <w:sz w:val="20"/>
              </w:rPr>
              <w:t xml:space="preserve"> </w:t>
            </w:r>
            <w:r>
              <w:rPr>
                <w:sz w:val="20"/>
              </w:rPr>
              <w:t xml:space="preserve"> Nitrogen (NOx)</w:t>
            </w:r>
          </w:p>
        </w:tc>
        <w:tc>
          <w:tcPr>
            <w:tcW w:w="1440" w:type="dxa"/>
            <w:tcBorders>
              <w:top w:val="single" w:sz="4" w:space="0" w:color="auto"/>
              <w:left w:val="single" w:sz="4" w:space="0" w:color="auto"/>
              <w:bottom w:val="single" w:sz="4" w:space="0" w:color="auto"/>
              <w:right w:val="single" w:sz="4" w:space="0" w:color="auto"/>
            </w:tcBorders>
          </w:tcPr>
          <w:p w:rsidR="000F25BB" w:rsidRPr="002D1391" w:rsidRDefault="000F25BB" w:rsidP="00CA2D3E">
            <w:pPr>
              <w:jc w:val="center"/>
              <w:rPr>
                <w:rFonts w:cs="Arial"/>
                <w:sz w:val="20"/>
              </w:rPr>
            </w:pPr>
            <w:r>
              <w:rPr>
                <w:sz w:val="20"/>
              </w:rPr>
              <w:t>9.85 tons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F25BB" w:rsidRDefault="000F25BB" w:rsidP="004D3CF4">
            <w:pPr>
              <w:jc w:val="center"/>
              <w:rPr>
                <w:sz w:val="20"/>
              </w:rPr>
            </w:pPr>
            <w:r>
              <w:rPr>
                <w:sz w:val="20"/>
              </w:rPr>
              <w:t xml:space="preserve">Rolling </w:t>
            </w:r>
            <w:r w:rsidR="004D3CF4">
              <w:rPr>
                <w:sz w:val="20"/>
              </w:rPr>
              <w:t>12-month</w:t>
            </w:r>
            <w:r>
              <w:rPr>
                <w:sz w:val="20"/>
              </w:rPr>
              <w:t xml:space="preserve"> time period as determined at end of each calendar month</w:t>
            </w:r>
          </w:p>
        </w:tc>
        <w:tc>
          <w:tcPr>
            <w:tcW w:w="1889" w:type="dxa"/>
            <w:tcBorders>
              <w:top w:val="single" w:sz="4" w:space="0" w:color="auto"/>
              <w:left w:val="single" w:sz="4" w:space="0" w:color="auto"/>
              <w:bottom w:val="single" w:sz="4" w:space="0" w:color="auto"/>
              <w:right w:val="single" w:sz="4" w:space="0" w:color="auto"/>
            </w:tcBorders>
          </w:tcPr>
          <w:p w:rsidR="000F25BB" w:rsidRDefault="000F25BB" w:rsidP="00CA2D3E">
            <w:pPr>
              <w:jc w:val="center"/>
              <w:rPr>
                <w:sz w:val="20"/>
              </w:rPr>
            </w:pPr>
            <w:r>
              <w:rPr>
                <w:sz w:val="20"/>
              </w:rPr>
              <w:t>EUSPU3</w:t>
            </w:r>
          </w:p>
        </w:tc>
        <w:tc>
          <w:tcPr>
            <w:tcW w:w="1530" w:type="dxa"/>
            <w:tcBorders>
              <w:top w:val="single" w:sz="4" w:space="0" w:color="auto"/>
              <w:left w:val="single" w:sz="4" w:space="0" w:color="auto"/>
              <w:bottom w:val="single" w:sz="4" w:space="0" w:color="auto"/>
              <w:right w:val="single" w:sz="4" w:space="0" w:color="auto"/>
            </w:tcBorders>
          </w:tcPr>
          <w:p w:rsidR="000F25BB" w:rsidRDefault="00296C57" w:rsidP="00CA2D3E">
            <w:pPr>
              <w:jc w:val="center"/>
              <w:rPr>
                <w:sz w:val="20"/>
              </w:rPr>
            </w:pPr>
            <w:r>
              <w:rPr>
                <w:sz w:val="20"/>
              </w:rPr>
              <w:t>SC V.2</w:t>
            </w:r>
          </w:p>
          <w:p w:rsidR="00296C57" w:rsidRDefault="00296C57" w:rsidP="00CA2D3E">
            <w:pPr>
              <w:jc w:val="center"/>
              <w:rPr>
                <w:sz w:val="20"/>
              </w:rPr>
            </w:pPr>
            <w:r>
              <w:rPr>
                <w:sz w:val="20"/>
              </w:rPr>
              <w:t>SC VI.</w:t>
            </w:r>
            <w:r w:rsidR="00A83783">
              <w:rPr>
                <w:sz w:val="20"/>
              </w:rPr>
              <w:t>1</w:t>
            </w:r>
          </w:p>
          <w:p w:rsidR="00A83783" w:rsidRDefault="00A83783" w:rsidP="00CA2D3E">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0F25BB" w:rsidRPr="004C2E8D" w:rsidRDefault="000F25BB" w:rsidP="00CA2D3E">
            <w:pPr>
              <w:jc w:val="center"/>
              <w:rPr>
                <w:b/>
                <w:sz w:val="20"/>
              </w:rPr>
            </w:pPr>
            <w:r w:rsidRPr="004C2E8D">
              <w:rPr>
                <w:b/>
                <w:sz w:val="20"/>
              </w:rPr>
              <w:t>40 CFR 52.21</w:t>
            </w:r>
          </w:p>
        </w:tc>
      </w:tr>
      <w:tr w:rsidR="000F25BB" w:rsidTr="00CA2D3E">
        <w:trPr>
          <w:cantSplit/>
        </w:trPr>
        <w:tc>
          <w:tcPr>
            <w:tcW w:w="1646" w:type="dxa"/>
            <w:tcBorders>
              <w:top w:val="single" w:sz="4" w:space="0" w:color="auto"/>
              <w:left w:val="single" w:sz="4" w:space="0" w:color="auto"/>
              <w:bottom w:val="single" w:sz="4" w:space="0" w:color="auto"/>
              <w:right w:val="single" w:sz="4" w:space="0" w:color="auto"/>
            </w:tcBorders>
          </w:tcPr>
          <w:p w:rsidR="000F25BB" w:rsidRDefault="000F25BB" w:rsidP="00CA2D3E">
            <w:pPr>
              <w:rPr>
                <w:sz w:val="20"/>
              </w:rPr>
            </w:pPr>
            <w:r>
              <w:rPr>
                <w:sz w:val="20"/>
              </w:rPr>
              <w:t>3.</w:t>
            </w:r>
            <w:r w:rsidR="004D3CF4">
              <w:rPr>
                <w:sz w:val="20"/>
              </w:rPr>
              <w:t xml:space="preserve"> </w:t>
            </w:r>
            <w:r>
              <w:rPr>
                <w:sz w:val="20"/>
              </w:rPr>
              <w:t xml:space="preserve"> Carbon </w:t>
            </w:r>
          </w:p>
          <w:p w:rsidR="000F25BB" w:rsidRPr="00095B77" w:rsidRDefault="000F25BB" w:rsidP="00CA2D3E">
            <w:pPr>
              <w:rPr>
                <w:sz w:val="20"/>
              </w:rPr>
            </w:pPr>
            <w:r>
              <w:rPr>
                <w:sz w:val="20"/>
              </w:rPr>
              <w:t xml:space="preserve">    </w:t>
            </w:r>
            <w:r w:rsidR="004D3CF4">
              <w:rPr>
                <w:sz w:val="20"/>
              </w:rPr>
              <w:t xml:space="preserve"> </w:t>
            </w:r>
            <w:r>
              <w:rPr>
                <w:sz w:val="20"/>
              </w:rPr>
              <w:t>Monoxide (CO)</w:t>
            </w:r>
          </w:p>
        </w:tc>
        <w:tc>
          <w:tcPr>
            <w:tcW w:w="1440" w:type="dxa"/>
            <w:tcBorders>
              <w:top w:val="single" w:sz="4" w:space="0" w:color="auto"/>
              <w:left w:val="single" w:sz="4" w:space="0" w:color="auto"/>
              <w:bottom w:val="single" w:sz="4" w:space="0" w:color="auto"/>
              <w:right w:val="single" w:sz="4" w:space="0" w:color="auto"/>
            </w:tcBorders>
          </w:tcPr>
          <w:p w:rsidR="000F25BB" w:rsidRPr="002D1391" w:rsidRDefault="000F25BB" w:rsidP="00CA2D3E">
            <w:pPr>
              <w:jc w:val="center"/>
              <w:rPr>
                <w:rFonts w:cs="Arial"/>
                <w:sz w:val="20"/>
              </w:rPr>
            </w:pPr>
            <w:r>
              <w:rPr>
                <w:sz w:val="20"/>
              </w:rPr>
              <w:t>3.06 pounds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F25BB" w:rsidRDefault="000F25BB" w:rsidP="004D3CF4">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rsidR="000F25BB" w:rsidRDefault="000F25BB" w:rsidP="00CA2D3E">
            <w:pPr>
              <w:jc w:val="center"/>
              <w:rPr>
                <w:sz w:val="20"/>
              </w:rPr>
            </w:pPr>
            <w:r>
              <w:rPr>
                <w:sz w:val="20"/>
              </w:rPr>
              <w:t>EUSPU3</w:t>
            </w:r>
          </w:p>
        </w:tc>
        <w:tc>
          <w:tcPr>
            <w:tcW w:w="1530" w:type="dxa"/>
            <w:tcBorders>
              <w:top w:val="single" w:sz="4" w:space="0" w:color="auto"/>
              <w:left w:val="single" w:sz="4" w:space="0" w:color="auto"/>
              <w:bottom w:val="single" w:sz="4" w:space="0" w:color="auto"/>
              <w:right w:val="single" w:sz="4" w:space="0" w:color="auto"/>
            </w:tcBorders>
          </w:tcPr>
          <w:p w:rsidR="000F25BB" w:rsidRDefault="00A83783" w:rsidP="00CA2D3E">
            <w:pPr>
              <w:jc w:val="center"/>
              <w:rPr>
                <w:sz w:val="20"/>
              </w:rPr>
            </w:pPr>
            <w:r>
              <w:rPr>
                <w:sz w:val="20"/>
              </w:rPr>
              <w:t>SC V.2</w:t>
            </w:r>
          </w:p>
          <w:p w:rsidR="00A83783" w:rsidRDefault="00A83783" w:rsidP="00CA2D3E">
            <w:pPr>
              <w:jc w:val="center"/>
              <w:rPr>
                <w:sz w:val="20"/>
              </w:rPr>
            </w:pPr>
            <w:r>
              <w:rPr>
                <w:sz w:val="20"/>
              </w:rPr>
              <w:t>SCVI.2</w:t>
            </w:r>
          </w:p>
        </w:tc>
        <w:tc>
          <w:tcPr>
            <w:tcW w:w="1530" w:type="dxa"/>
            <w:tcBorders>
              <w:top w:val="single" w:sz="4" w:space="0" w:color="auto"/>
              <w:left w:val="single" w:sz="4" w:space="0" w:color="auto"/>
              <w:bottom w:val="single" w:sz="4" w:space="0" w:color="auto"/>
              <w:right w:val="single" w:sz="4" w:space="0" w:color="auto"/>
            </w:tcBorders>
          </w:tcPr>
          <w:p w:rsidR="000F25BB" w:rsidRPr="004C2E8D" w:rsidRDefault="000F25BB" w:rsidP="00CA2D3E">
            <w:pPr>
              <w:jc w:val="center"/>
              <w:rPr>
                <w:b/>
                <w:sz w:val="20"/>
              </w:rPr>
            </w:pPr>
            <w:r w:rsidRPr="004C2E8D">
              <w:rPr>
                <w:b/>
                <w:sz w:val="20"/>
              </w:rPr>
              <w:t>40 CFR 52.21</w:t>
            </w:r>
          </w:p>
        </w:tc>
      </w:tr>
    </w:tbl>
    <w:p w:rsidR="000F25BB" w:rsidRPr="00FE0AD0" w:rsidRDefault="000F25BB" w:rsidP="000F25BB">
      <w:pPr>
        <w:jc w:val="both"/>
        <w:rPr>
          <w:sz w:val="20"/>
        </w:rPr>
      </w:pPr>
    </w:p>
    <w:p w:rsidR="000F25BB" w:rsidRDefault="000F25BB" w:rsidP="000F25BB">
      <w:pPr>
        <w:jc w:val="both"/>
        <w:rPr>
          <w:b/>
          <w:u w:val="single"/>
        </w:rPr>
      </w:pPr>
      <w:r>
        <w:rPr>
          <w:b/>
        </w:rPr>
        <w:t xml:space="preserve">II.  </w:t>
      </w:r>
      <w:r>
        <w:rPr>
          <w:b/>
          <w:u w:val="single"/>
        </w:rPr>
        <w:t>MATERIAL LIMITS</w:t>
      </w:r>
    </w:p>
    <w:p w:rsidR="000F25BB" w:rsidRPr="00CC02A3" w:rsidRDefault="000F25BB" w:rsidP="000F25BB">
      <w:pPr>
        <w:jc w:val="both"/>
        <w:rPr>
          <w:b/>
          <w:sz w:val="20"/>
          <w:u w:val="single"/>
        </w:rPr>
      </w:pPr>
    </w:p>
    <w:p w:rsidR="000F25BB" w:rsidRDefault="00296C57" w:rsidP="000F25BB">
      <w:pPr>
        <w:jc w:val="both"/>
        <w:rPr>
          <w:sz w:val="20"/>
        </w:rPr>
      </w:pPr>
      <w:r>
        <w:rPr>
          <w:sz w:val="20"/>
        </w:rPr>
        <w:t>NA</w:t>
      </w:r>
    </w:p>
    <w:p w:rsidR="00296C57" w:rsidRPr="00FE0AD0" w:rsidRDefault="00296C57" w:rsidP="000F25BB">
      <w:pPr>
        <w:jc w:val="both"/>
        <w:rPr>
          <w:sz w:val="20"/>
        </w:rPr>
      </w:pPr>
    </w:p>
    <w:p w:rsidR="000F25BB" w:rsidRPr="00CC02A3" w:rsidRDefault="000F25BB" w:rsidP="000F25BB">
      <w:pPr>
        <w:jc w:val="both"/>
        <w:rPr>
          <w:b/>
          <w:sz w:val="20"/>
          <w:u w:val="single"/>
        </w:rPr>
      </w:pPr>
      <w:r>
        <w:rPr>
          <w:b/>
        </w:rPr>
        <w:t xml:space="preserve">III.  </w:t>
      </w:r>
      <w:r>
        <w:rPr>
          <w:b/>
          <w:u w:val="single"/>
        </w:rPr>
        <w:t>PROCESS/OPERATIONAL RESTRICTIONS</w:t>
      </w:r>
      <w:r w:rsidDel="001C614B">
        <w:rPr>
          <w:b/>
          <w:u w:val="single"/>
        </w:rPr>
        <w:t xml:space="preserve"> </w:t>
      </w:r>
    </w:p>
    <w:p w:rsidR="000F25BB" w:rsidRPr="00FE0AD0" w:rsidRDefault="000F25BB" w:rsidP="000F25BB">
      <w:pPr>
        <w:jc w:val="both"/>
        <w:rPr>
          <w:sz w:val="20"/>
        </w:rPr>
      </w:pPr>
    </w:p>
    <w:p w:rsidR="000F25BB" w:rsidRPr="00A93236" w:rsidRDefault="000F25BB" w:rsidP="004D3CF4">
      <w:pPr>
        <w:numPr>
          <w:ilvl w:val="0"/>
          <w:numId w:val="41"/>
        </w:numPr>
        <w:tabs>
          <w:tab w:val="clear" w:pos="540"/>
          <w:tab w:val="num" w:pos="360"/>
          <w:tab w:val="left" w:pos="810"/>
        </w:tabs>
        <w:overflowPunct w:val="0"/>
        <w:autoSpaceDE w:val="0"/>
        <w:autoSpaceDN w:val="0"/>
        <w:adjustRightInd w:val="0"/>
        <w:ind w:left="360"/>
        <w:jc w:val="both"/>
        <w:textAlignment w:val="baseline"/>
        <w:rPr>
          <w:color w:val="000000"/>
          <w:sz w:val="20"/>
        </w:rPr>
      </w:pPr>
      <w:r>
        <w:rPr>
          <w:color w:val="000000"/>
          <w:sz w:val="20"/>
        </w:rPr>
        <w:t>The p</w:t>
      </w:r>
      <w:r w:rsidRPr="00976C50">
        <w:rPr>
          <w:color w:val="000000"/>
          <w:sz w:val="20"/>
        </w:rPr>
        <w:t>ermittee shall only fire natural gas</w:t>
      </w:r>
      <w:r w:rsidRPr="006973EE">
        <w:rPr>
          <w:sz w:val="20"/>
        </w:rPr>
        <w:t xml:space="preserve"> </w:t>
      </w:r>
      <w:r w:rsidRPr="006B294C">
        <w:rPr>
          <w:sz w:val="20"/>
        </w:rPr>
        <w:t xml:space="preserve">through </w:t>
      </w:r>
      <w:r>
        <w:rPr>
          <w:sz w:val="20"/>
        </w:rPr>
        <w:t>EUSPU3</w:t>
      </w:r>
      <w:r w:rsidRPr="00976C50">
        <w:rPr>
          <w:color w:val="000000"/>
          <w:sz w:val="20"/>
        </w:rPr>
        <w:t>, as defined in 40 CFR Part 72.2.</w:t>
      </w:r>
      <w:r>
        <w:rPr>
          <w:sz w:val="20"/>
          <w:vertAlign w:val="superscript"/>
        </w:rPr>
        <w:t>2</w:t>
      </w:r>
      <w:r w:rsidRPr="00735004">
        <w:rPr>
          <w:color w:val="000000"/>
          <w:sz w:val="20"/>
        </w:rPr>
        <w:t xml:space="preserve"> </w:t>
      </w:r>
      <w:r w:rsidR="004D3CF4">
        <w:rPr>
          <w:color w:val="000000"/>
          <w:sz w:val="20"/>
        </w:rPr>
        <w:t xml:space="preserve"> </w:t>
      </w:r>
      <w:r w:rsidRPr="00974B22">
        <w:rPr>
          <w:b/>
          <w:bCs/>
          <w:sz w:val="20"/>
        </w:rPr>
        <w:t xml:space="preserve">(R </w:t>
      </w:r>
      <w:r w:rsidRPr="00976C50">
        <w:rPr>
          <w:b/>
          <w:bCs/>
          <w:color w:val="000000"/>
          <w:sz w:val="20"/>
        </w:rPr>
        <w:t>336.1201(3))</w:t>
      </w:r>
    </w:p>
    <w:p w:rsidR="000F25BB" w:rsidRPr="00976C50" w:rsidRDefault="000F25BB" w:rsidP="004D3CF4">
      <w:pPr>
        <w:tabs>
          <w:tab w:val="left" w:pos="810"/>
        </w:tabs>
        <w:overflowPunct w:val="0"/>
        <w:autoSpaceDE w:val="0"/>
        <w:autoSpaceDN w:val="0"/>
        <w:adjustRightInd w:val="0"/>
        <w:ind w:left="360"/>
        <w:jc w:val="both"/>
        <w:textAlignment w:val="baseline"/>
        <w:rPr>
          <w:color w:val="000000"/>
          <w:sz w:val="20"/>
        </w:rPr>
      </w:pPr>
    </w:p>
    <w:p w:rsidR="000F25BB" w:rsidRDefault="000F25BB" w:rsidP="004D3CF4">
      <w:pPr>
        <w:numPr>
          <w:ilvl w:val="0"/>
          <w:numId w:val="41"/>
        </w:numPr>
        <w:tabs>
          <w:tab w:val="clear" w:pos="540"/>
          <w:tab w:val="num" w:pos="360"/>
        </w:tabs>
        <w:spacing w:after="120"/>
        <w:ind w:left="360"/>
        <w:jc w:val="both"/>
        <w:rPr>
          <w:color w:val="000000"/>
          <w:sz w:val="20"/>
        </w:rPr>
      </w:pPr>
      <w:r>
        <w:rPr>
          <w:color w:val="000000"/>
          <w:sz w:val="20"/>
        </w:rPr>
        <w:t>The p</w:t>
      </w:r>
      <w:r w:rsidRPr="00976C50">
        <w:rPr>
          <w:color w:val="000000"/>
          <w:sz w:val="20"/>
        </w:rPr>
        <w:t>ermittee shall not operate EUSPU3 for more than 500 hours per calendar year.</w:t>
      </w:r>
      <w:r>
        <w:rPr>
          <w:sz w:val="20"/>
          <w:vertAlign w:val="superscript"/>
        </w:rPr>
        <w:t>2</w:t>
      </w:r>
      <w:r>
        <w:rPr>
          <w:sz w:val="20"/>
        </w:rPr>
        <w:t xml:space="preserve">  </w:t>
      </w:r>
      <w:r w:rsidRPr="00302D22">
        <w:rPr>
          <w:b/>
          <w:bCs/>
          <w:color w:val="000000"/>
          <w:sz w:val="20"/>
        </w:rPr>
        <w:t>(40 CFR Part 52.21, R</w:t>
      </w:r>
      <w:r>
        <w:rPr>
          <w:b/>
          <w:bCs/>
          <w:color w:val="000000"/>
          <w:sz w:val="20"/>
        </w:rPr>
        <w:t> </w:t>
      </w:r>
      <w:r w:rsidRPr="00302D22">
        <w:rPr>
          <w:b/>
          <w:bCs/>
          <w:color w:val="000000"/>
          <w:sz w:val="20"/>
        </w:rPr>
        <w:t>336.1201(3))</w:t>
      </w:r>
    </w:p>
    <w:p w:rsidR="0061269E" w:rsidRPr="0061269E" w:rsidRDefault="0061269E" w:rsidP="004D3CF4">
      <w:pPr>
        <w:numPr>
          <w:ilvl w:val="0"/>
          <w:numId w:val="41"/>
        </w:numPr>
        <w:tabs>
          <w:tab w:val="clear" w:pos="540"/>
          <w:tab w:val="left" w:pos="360"/>
        </w:tabs>
        <w:spacing w:after="120"/>
        <w:ind w:left="360"/>
        <w:jc w:val="both"/>
        <w:rPr>
          <w:b/>
          <w:color w:val="000000"/>
          <w:sz w:val="20"/>
        </w:rPr>
      </w:pPr>
      <w:bookmarkStart w:id="76" w:name="_Hlk528685217"/>
      <w:r w:rsidRPr="000B43D5">
        <w:rPr>
          <w:bCs/>
          <w:color w:val="000000"/>
          <w:sz w:val="20"/>
        </w:rPr>
        <w:t xml:space="preserve">For any existing Stationary RICE, located at an area source of HAP emissions, </w:t>
      </w:r>
      <w:r>
        <w:rPr>
          <w:bCs/>
          <w:color w:val="000000"/>
          <w:sz w:val="20"/>
        </w:rPr>
        <w:t xml:space="preserve">the </w:t>
      </w:r>
      <w:r w:rsidRPr="000B43D5">
        <w:rPr>
          <w:bCs/>
          <w:color w:val="000000"/>
          <w:sz w:val="20"/>
        </w:rPr>
        <w:t>p</w:t>
      </w:r>
      <w:r>
        <w:rPr>
          <w:bCs/>
          <w:color w:val="000000"/>
          <w:sz w:val="20"/>
        </w:rPr>
        <w:t xml:space="preserve">ermittee shall comply with </w:t>
      </w:r>
      <w:r w:rsidRPr="0002360F">
        <w:rPr>
          <w:bCs/>
          <w:color w:val="000000"/>
          <w:sz w:val="20"/>
        </w:rPr>
        <w:t>the requirements in Table 2d, Item 5 of 40 CFR 63, Subpart ZZZZ.</w:t>
      </w:r>
    </w:p>
    <w:bookmarkEnd w:id="76"/>
    <w:p w:rsidR="0061269E" w:rsidRPr="0081566A" w:rsidRDefault="0061269E" w:rsidP="004D3CF4">
      <w:pPr>
        <w:numPr>
          <w:ilvl w:val="0"/>
          <w:numId w:val="42"/>
        </w:numPr>
        <w:spacing w:after="120"/>
        <w:jc w:val="both"/>
        <w:rPr>
          <w:b/>
          <w:color w:val="000000"/>
          <w:sz w:val="20"/>
        </w:rPr>
      </w:pPr>
      <w:r w:rsidRPr="0002360F">
        <w:rPr>
          <w:rFonts w:cs="Arial"/>
          <w:sz w:val="20"/>
        </w:rPr>
        <w:t xml:space="preserve">Change oil and filter every 500 hours of operation or annually, whichever comes first, and except as allowed in </w:t>
      </w:r>
      <w:r w:rsidRPr="0002360F">
        <w:rPr>
          <w:rFonts w:cs="Arial"/>
          <w:b/>
          <w:sz w:val="20"/>
        </w:rPr>
        <w:t>SC V.1.</w:t>
      </w:r>
    </w:p>
    <w:p w:rsidR="0061269E" w:rsidRPr="008A6B84" w:rsidRDefault="0061269E" w:rsidP="004D3CF4">
      <w:pPr>
        <w:numPr>
          <w:ilvl w:val="0"/>
          <w:numId w:val="42"/>
        </w:numPr>
        <w:spacing w:after="120"/>
        <w:jc w:val="both"/>
        <w:rPr>
          <w:b/>
          <w:color w:val="000000"/>
          <w:sz w:val="20"/>
        </w:rPr>
      </w:pPr>
      <w:r>
        <w:rPr>
          <w:rFonts w:cs="Arial"/>
          <w:sz w:val="20"/>
        </w:rPr>
        <w:t>Inspect spark plugs every 1,000 hours of operation or annually, whichever comes first, and replace as necessary; and</w:t>
      </w:r>
    </w:p>
    <w:p w:rsidR="00281C2A" w:rsidRPr="00281C2A" w:rsidRDefault="0061269E" w:rsidP="004D3CF4">
      <w:pPr>
        <w:numPr>
          <w:ilvl w:val="0"/>
          <w:numId w:val="42"/>
        </w:numPr>
        <w:spacing w:after="120"/>
        <w:jc w:val="both"/>
        <w:rPr>
          <w:b/>
          <w:color w:val="000000"/>
          <w:sz w:val="20"/>
        </w:rPr>
      </w:pPr>
      <w:r w:rsidRPr="00281C2A">
        <w:rPr>
          <w:rFonts w:cs="Arial"/>
          <w:sz w:val="20"/>
        </w:rPr>
        <w:t>Inspect all hoses and belts every 500 hours of operation or annually, whichever comes first, and replace as necessary</w:t>
      </w:r>
      <w:r w:rsidRPr="00281C2A">
        <w:rPr>
          <w:b/>
          <w:color w:val="000000"/>
          <w:sz w:val="20"/>
        </w:rPr>
        <w:t>.</w:t>
      </w:r>
    </w:p>
    <w:p w:rsidR="0061269E" w:rsidRPr="0061269E" w:rsidRDefault="00281C2A" w:rsidP="00281C2A">
      <w:pPr>
        <w:spacing w:after="120"/>
        <w:ind w:left="720" w:hanging="360"/>
        <w:jc w:val="both"/>
        <w:rPr>
          <w:b/>
          <w:color w:val="000000"/>
          <w:sz w:val="20"/>
        </w:rPr>
      </w:pPr>
      <w:r w:rsidRPr="00281C2A">
        <w:rPr>
          <w:color w:val="000000"/>
          <w:sz w:val="20"/>
        </w:rPr>
        <w:t>d.</w:t>
      </w:r>
      <w:r w:rsidRPr="00281C2A">
        <w:rPr>
          <w:color w:val="000000"/>
          <w:sz w:val="20"/>
        </w:rPr>
        <w:tab/>
      </w:r>
      <w:r w:rsidR="0061269E" w:rsidRPr="00281C2A">
        <w:rPr>
          <w:rFonts w:cs="Arial"/>
          <w:sz w:val="20"/>
        </w:rPr>
        <w:t>If an emergency engine is operating during an emergency and it is not possible to shut down the engine in order to perform the management practice requirements on the schedule required in Table 2d of 40 CFR 63, Subpart ZZZZ, or if performing the management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w:t>
      </w:r>
      <w:r w:rsidR="0061269E" w:rsidRPr="0061269E">
        <w:rPr>
          <w:rFonts w:cs="Arial"/>
          <w:sz w:val="20"/>
        </w:rPr>
        <w:t xml:space="preserve">ergency has ended or the unacceptable </w:t>
      </w:r>
      <w:r w:rsidR="0061269E" w:rsidRPr="0061269E">
        <w:rPr>
          <w:rFonts w:cs="Arial"/>
          <w:sz w:val="20"/>
        </w:rPr>
        <w:lastRenderedPageBreak/>
        <w:t xml:space="preserve">risk under federal, state, or local law has abated. Sources must report any failure to perform the management practice on the schedule required and the federal, state or local law under which the risk was deemed unacceptable.  </w:t>
      </w:r>
      <w:r w:rsidR="0061269E" w:rsidRPr="0061269E">
        <w:rPr>
          <w:rFonts w:cs="Arial"/>
          <w:b/>
          <w:sz w:val="20"/>
        </w:rPr>
        <w:t>(40 CFR 63.6603(a), 40 CFR 63, Subpart ZZZZ (Table 2d, Item 5)</w:t>
      </w:r>
    </w:p>
    <w:p w:rsidR="00AF6E32" w:rsidRDefault="0061269E" w:rsidP="00AF6E32">
      <w:pPr>
        <w:numPr>
          <w:ilvl w:val="0"/>
          <w:numId w:val="41"/>
        </w:numPr>
        <w:tabs>
          <w:tab w:val="clear" w:pos="540"/>
          <w:tab w:val="left" w:pos="360"/>
        </w:tabs>
        <w:spacing w:after="120"/>
        <w:ind w:left="360"/>
        <w:jc w:val="both"/>
        <w:rPr>
          <w:b/>
          <w:color w:val="000000"/>
          <w:sz w:val="20"/>
        </w:rPr>
      </w:pPr>
      <w:r w:rsidRPr="000B43D5">
        <w:rPr>
          <w:bCs/>
          <w:color w:val="000000"/>
          <w:sz w:val="20"/>
        </w:rPr>
        <w:t>For any existing Stationary RICE, located at an area source of HAP emissions,</w:t>
      </w:r>
      <w:r>
        <w:rPr>
          <w:bCs/>
          <w:color w:val="000000"/>
          <w:sz w:val="20"/>
        </w:rPr>
        <w:t xml:space="preserve"> the</w:t>
      </w:r>
      <w:r w:rsidRPr="000B43D5">
        <w:rPr>
          <w:bCs/>
          <w:color w:val="000000"/>
          <w:sz w:val="20"/>
        </w:rPr>
        <w:t xml:space="preserve"> p</w:t>
      </w:r>
      <w:r>
        <w:rPr>
          <w:bCs/>
          <w:color w:val="000000"/>
          <w:sz w:val="20"/>
        </w:rPr>
        <w:t xml:space="preserve">ermittee shall comply with the emission limitations, operating limitations, and other requirements of 40 CFR 63, Subpart ZZZZ at all times. </w:t>
      </w:r>
      <w:r w:rsidRPr="00682E40">
        <w:rPr>
          <w:b/>
          <w:bCs/>
          <w:color w:val="000000"/>
          <w:sz w:val="20"/>
        </w:rPr>
        <w:t>(</w:t>
      </w:r>
      <w:r w:rsidRPr="00EC2726">
        <w:rPr>
          <w:b/>
          <w:bCs/>
          <w:color w:val="000000"/>
          <w:sz w:val="20"/>
        </w:rPr>
        <w:t>40</w:t>
      </w:r>
      <w:r>
        <w:rPr>
          <w:b/>
          <w:bCs/>
          <w:color w:val="000000"/>
          <w:sz w:val="20"/>
        </w:rPr>
        <w:t> </w:t>
      </w:r>
      <w:r w:rsidRPr="00EC2726">
        <w:rPr>
          <w:b/>
          <w:bCs/>
          <w:color w:val="000000"/>
          <w:sz w:val="20"/>
        </w:rPr>
        <w:t>CFR 63.6605(a))</w:t>
      </w:r>
    </w:p>
    <w:p w:rsidR="00AF6E32" w:rsidRDefault="0061269E" w:rsidP="00AF6E32">
      <w:pPr>
        <w:numPr>
          <w:ilvl w:val="0"/>
          <w:numId w:val="41"/>
        </w:numPr>
        <w:tabs>
          <w:tab w:val="clear" w:pos="540"/>
          <w:tab w:val="left" w:pos="360"/>
        </w:tabs>
        <w:spacing w:after="120"/>
        <w:ind w:left="360"/>
        <w:jc w:val="both"/>
        <w:rPr>
          <w:b/>
          <w:color w:val="000000"/>
          <w:sz w:val="20"/>
        </w:rPr>
      </w:pPr>
      <w:r w:rsidRPr="00AF6E32">
        <w:rPr>
          <w:rFonts w:cs="Arial"/>
          <w:sz w:val="20"/>
        </w:rPr>
        <w:t xml:space="preserve">The permittee at all times, must operate and maintain any existing stationary RICE, located at an area source of HAP emissions, including associated air pollution control equipment and monitoring equipment, in a manner consistent with safety and good air pollution control practices for minimizing emissions.  The general duty to minimize emissions does not require the permittee to make any further efforts to reduce emissions if levels required by 40 CFR 63, Subpart ZZZZ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AF6E32">
        <w:rPr>
          <w:rFonts w:cs="Arial"/>
          <w:b/>
          <w:sz w:val="20"/>
        </w:rPr>
        <w:t>(40 CFR 63.6605(b)</w:t>
      </w:r>
    </w:p>
    <w:p w:rsidR="0061269E" w:rsidRPr="00AF6E32" w:rsidRDefault="0061269E" w:rsidP="00AF6E32">
      <w:pPr>
        <w:numPr>
          <w:ilvl w:val="0"/>
          <w:numId w:val="41"/>
        </w:numPr>
        <w:tabs>
          <w:tab w:val="clear" w:pos="540"/>
          <w:tab w:val="left" w:pos="360"/>
        </w:tabs>
        <w:spacing w:after="120"/>
        <w:ind w:left="360"/>
        <w:jc w:val="both"/>
        <w:rPr>
          <w:b/>
          <w:color w:val="000000"/>
          <w:sz w:val="20"/>
        </w:rPr>
      </w:pPr>
      <w:r w:rsidRPr="00AF6E32">
        <w:rPr>
          <w:rFonts w:cs="Arial"/>
          <w:sz w:val="20"/>
        </w:rPr>
        <w:t xml:space="preserve">For an existing stationary RICE, the permittee must minimize the engine's time spent at idle during startup and minimize the engine's startup time to a period needed for appropriate and safe loading of the engine, not to exceed 30 minutes, after which time the emission standards applicable to all times other than startup in 40 CFR 63, Subpart ZZZZ-Table 2d apply.  </w:t>
      </w:r>
      <w:r w:rsidRPr="00AF6E32">
        <w:rPr>
          <w:rFonts w:cs="Arial"/>
          <w:b/>
          <w:sz w:val="20"/>
        </w:rPr>
        <w:t>(40 CFR 63.6625(h))</w:t>
      </w:r>
    </w:p>
    <w:p w:rsidR="0061269E" w:rsidRPr="00694D52" w:rsidRDefault="0061269E" w:rsidP="0043663A">
      <w:pPr>
        <w:numPr>
          <w:ilvl w:val="0"/>
          <w:numId w:val="41"/>
        </w:numPr>
        <w:tabs>
          <w:tab w:val="clear" w:pos="540"/>
          <w:tab w:val="num" w:pos="360"/>
        </w:tabs>
        <w:spacing w:after="120"/>
        <w:ind w:left="360"/>
        <w:jc w:val="both"/>
        <w:rPr>
          <w:b/>
          <w:color w:val="000000"/>
          <w:sz w:val="20"/>
        </w:rPr>
      </w:pPr>
      <w:r w:rsidRPr="0061269E">
        <w:rPr>
          <w:color w:val="000000"/>
          <w:sz w:val="20"/>
        </w:rPr>
        <w:t>The permittee may operate each engine in EU</w:t>
      </w:r>
      <w:r>
        <w:rPr>
          <w:color w:val="000000"/>
          <w:sz w:val="20"/>
        </w:rPr>
        <w:t>SPU3</w:t>
      </w:r>
      <w:r w:rsidRPr="0061269E">
        <w:rPr>
          <w:color w:val="000000"/>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61269E">
        <w:rPr>
          <w:b/>
          <w:color w:val="000000"/>
          <w:sz w:val="20"/>
        </w:rPr>
        <w:t xml:space="preserve">  </w:t>
      </w:r>
      <w:r w:rsidRPr="0061269E">
        <w:rPr>
          <w:b/>
          <w:bCs/>
          <w:color w:val="000000"/>
          <w:sz w:val="20"/>
        </w:rPr>
        <w:t>(40 CFR 63.6640(f)(2</w:t>
      </w:r>
      <w:r w:rsidR="00694D52">
        <w:rPr>
          <w:b/>
          <w:bCs/>
          <w:color w:val="000000"/>
          <w:sz w:val="20"/>
        </w:rPr>
        <w:t>)</w:t>
      </w:r>
      <w:r w:rsidRPr="0061269E">
        <w:rPr>
          <w:b/>
          <w:bCs/>
          <w:color w:val="000000"/>
          <w:sz w:val="20"/>
        </w:rPr>
        <w:t>)</w:t>
      </w:r>
    </w:p>
    <w:p w:rsidR="00694D52" w:rsidRDefault="004F17CF" w:rsidP="0043663A">
      <w:pPr>
        <w:numPr>
          <w:ilvl w:val="0"/>
          <w:numId w:val="41"/>
        </w:numPr>
        <w:tabs>
          <w:tab w:val="clear" w:pos="540"/>
          <w:tab w:val="num" w:pos="360"/>
        </w:tabs>
        <w:spacing w:after="120"/>
        <w:ind w:left="360"/>
        <w:jc w:val="both"/>
        <w:rPr>
          <w:b/>
          <w:color w:val="000000"/>
          <w:sz w:val="20"/>
        </w:rPr>
      </w:pPr>
      <w:r w:rsidRPr="004F17CF">
        <w:rPr>
          <w:color w:val="000000"/>
          <w:sz w:val="20"/>
        </w:rPr>
        <w:t>Each engine in EU</w:t>
      </w:r>
      <w:r>
        <w:rPr>
          <w:color w:val="000000"/>
          <w:sz w:val="20"/>
        </w:rPr>
        <w:t>SPU3</w:t>
      </w:r>
      <w:r w:rsidRPr="004F17CF">
        <w:rPr>
          <w:color w:val="000000"/>
          <w:sz w:val="20"/>
        </w:rPr>
        <w:t xml:space="preserve"> may operate up to 50 hours per calendar year in non-emergency situations, but those 50 hours are counted towards the 100 hours per calendar year provided for maintenance and testing as provided in §63.6640(f)(2).  The 50 hours per calendar year for non-emergency situations cannot be used for peak shaving or non-emergency demand response, or to generate income for the permittee to supply non-emergency power as part of a financial arrangement with another entity.</w:t>
      </w:r>
      <w:r w:rsidRPr="004F17CF">
        <w:rPr>
          <w:b/>
          <w:color w:val="000000"/>
          <w:sz w:val="20"/>
        </w:rPr>
        <w:t xml:space="preserve">  (40 CFR 63.6640(f)(3))</w:t>
      </w:r>
    </w:p>
    <w:p w:rsidR="00882335" w:rsidRDefault="00882335" w:rsidP="00882335">
      <w:pPr>
        <w:numPr>
          <w:ilvl w:val="0"/>
          <w:numId w:val="41"/>
        </w:numPr>
        <w:tabs>
          <w:tab w:val="clear" w:pos="540"/>
          <w:tab w:val="num" w:pos="360"/>
        </w:tabs>
        <w:spacing w:after="120"/>
        <w:ind w:left="360"/>
        <w:jc w:val="both"/>
        <w:rPr>
          <w:color w:val="000000"/>
          <w:sz w:val="20"/>
        </w:rPr>
      </w:pPr>
      <w:r w:rsidRPr="00882335">
        <w:rPr>
          <w:color w:val="000000"/>
          <w:sz w:val="20"/>
        </w:rPr>
        <w:t>For existing emergency stationary RICE located at an area source of HAP, the permittee must continuously comply with the Work or Management practices below:</w:t>
      </w:r>
    </w:p>
    <w:p w:rsidR="00882335" w:rsidRDefault="00882335" w:rsidP="00882335">
      <w:pPr>
        <w:numPr>
          <w:ilvl w:val="0"/>
          <w:numId w:val="52"/>
        </w:numPr>
        <w:spacing w:after="120"/>
        <w:jc w:val="both"/>
        <w:rPr>
          <w:color w:val="000000"/>
          <w:sz w:val="20"/>
        </w:rPr>
      </w:pPr>
      <w:r w:rsidRPr="00882335">
        <w:rPr>
          <w:color w:val="000000"/>
          <w:sz w:val="20"/>
        </w:rPr>
        <w:t>Operating and maintaining the stationary RICE according to the manufacturer's emission-related operation and maintenance instructions; or</w:t>
      </w:r>
    </w:p>
    <w:p w:rsidR="00882335" w:rsidRPr="00882335" w:rsidRDefault="00882335" w:rsidP="00882335">
      <w:pPr>
        <w:numPr>
          <w:ilvl w:val="0"/>
          <w:numId w:val="52"/>
        </w:numPr>
        <w:spacing w:after="120"/>
        <w:jc w:val="both"/>
        <w:rPr>
          <w:color w:val="000000"/>
          <w:sz w:val="20"/>
        </w:rPr>
      </w:pPr>
      <w:r w:rsidRPr="00882335">
        <w:rPr>
          <w:color w:val="000000"/>
          <w:sz w:val="20"/>
        </w:rPr>
        <w:t>Develop and follow the permittee’s own maintenance plan which must provide to the extent practicable for the maintenance and operation of the engine in a manner consistent with good air pollution control practice for minimizing emissions.</w:t>
      </w:r>
      <w:r w:rsidRPr="00882335">
        <w:rPr>
          <w:b/>
          <w:color w:val="000000"/>
          <w:sz w:val="20"/>
        </w:rPr>
        <w:t xml:space="preserve">  (40 CFR 63.6625(e)(3), 40 CFR 63, Subpart ZZZZ, Table 6, Item 9)</w:t>
      </w:r>
    </w:p>
    <w:p w:rsidR="00AE1D84" w:rsidRPr="00FB6071" w:rsidRDefault="00AE1D84" w:rsidP="00F62984">
      <w:pPr>
        <w:jc w:val="both"/>
        <w:rPr>
          <w:sz w:val="20"/>
        </w:rPr>
      </w:pPr>
    </w:p>
    <w:p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rsidR="00AE1D84" w:rsidRPr="00573DEA" w:rsidRDefault="00AE1D84" w:rsidP="0047287E">
      <w:pPr>
        <w:jc w:val="both"/>
        <w:rPr>
          <w:sz w:val="20"/>
        </w:rPr>
      </w:pPr>
    </w:p>
    <w:p w:rsidR="00AE1D84" w:rsidRPr="008168DB" w:rsidRDefault="00487C6C" w:rsidP="0047287E">
      <w:pPr>
        <w:numPr>
          <w:ilvl w:val="0"/>
          <w:numId w:val="34"/>
        </w:numPr>
        <w:tabs>
          <w:tab w:val="left" w:pos="360"/>
        </w:tabs>
        <w:ind w:left="360"/>
        <w:jc w:val="both"/>
        <w:rPr>
          <w:b/>
          <w:sz w:val="20"/>
        </w:rPr>
      </w:pPr>
      <w:r w:rsidRPr="00487C6C">
        <w:rPr>
          <w:sz w:val="20"/>
        </w:rPr>
        <w:t xml:space="preserve">The permittee shall install and maintain the existing emergency stationary RICE located at an area source of HAP emissions, with a non-resettable hour meter if one is not already installed.  </w:t>
      </w:r>
      <w:r w:rsidRPr="008168DB">
        <w:rPr>
          <w:b/>
          <w:sz w:val="20"/>
        </w:rPr>
        <w:t>(40 CFR 63.6625(f))</w:t>
      </w:r>
    </w:p>
    <w:p w:rsidR="00AE1D84" w:rsidRPr="00FE0AD0" w:rsidRDefault="00AE1D84" w:rsidP="0047287E">
      <w:pPr>
        <w:jc w:val="both"/>
        <w:rPr>
          <w:sz w:val="20"/>
        </w:rPr>
      </w:pPr>
    </w:p>
    <w:p w:rsidR="00AE1D84" w:rsidRPr="00887915" w:rsidRDefault="00AE1D84" w:rsidP="0047287E">
      <w:pPr>
        <w:jc w:val="both"/>
        <w:rPr>
          <w:b/>
          <w:u w:val="single"/>
          <w:vertAlign w:val="superscript"/>
        </w:rPr>
      </w:pPr>
      <w:r>
        <w:rPr>
          <w:b/>
        </w:rPr>
        <w:t xml:space="preserve">V.  </w:t>
      </w:r>
      <w:r>
        <w:rPr>
          <w:b/>
          <w:u w:val="single"/>
        </w:rPr>
        <w:t>TESTING/SAMPLING</w:t>
      </w:r>
    </w:p>
    <w:p w:rsidR="00AE1D84" w:rsidRDefault="00AE1D84" w:rsidP="0047287E">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23EF8" w:rsidRDefault="00323EF8" w:rsidP="0047287E">
      <w:pPr>
        <w:jc w:val="both"/>
        <w:rPr>
          <w:sz w:val="20"/>
        </w:rPr>
      </w:pPr>
    </w:p>
    <w:p w:rsidR="00224F76" w:rsidRPr="00F60D6C" w:rsidRDefault="00224F76" w:rsidP="0047287E">
      <w:pPr>
        <w:pStyle w:val="NormalWeb"/>
        <w:numPr>
          <w:ilvl w:val="0"/>
          <w:numId w:val="43"/>
        </w:numPr>
        <w:spacing w:before="0" w:beforeAutospacing="0"/>
        <w:jc w:val="both"/>
        <w:rPr>
          <w:rFonts w:ascii="Arial" w:hAnsi="Arial" w:cs="Arial"/>
          <w:b/>
          <w:sz w:val="20"/>
          <w:szCs w:val="20"/>
        </w:rPr>
      </w:pPr>
      <w:r>
        <w:rPr>
          <w:rFonts w:ascii="Arial" w:hAnsi="Arial" w:cs="Arial"/>
          <w:sz w:val="20"/>
          <w:szCs w:val="20"/>
        </w:rPr>
        <w:t xml:space="preserve">For an existing stationary SI RICE located at an area source of HAP emissions, </w:t>
      </w:r>
      <w:r w:rsidRPr="002D2AF5">
        <w:rPr>
          <w:rFonts w:ascii="Arial" w:hAnsi="Arial" w:cs="Arial"/>
          <w:sz w:val="20"/>
          <w:szCs w:val="20"/>
        </w:rPr>
        <w:t xml:space="preserve">that is subject to the work, operation or </w:t>
      </w:r>
      <w:r>
        <w:rPr>
          <w:rFonts w:ascii="Arial" w:hAnsi="Arial" w:cs="Arial"/>
          <w:sz w:val="20"/>
          <w:szCs w:val="20"/>
        </w:rPr>
        <w:t xml:space="preserve">management practices in item </w:t>
      </w:r>
      <w:r w:rsidRPr="002D2AF5">
        <w:rPr>
          <w:rFonts w:ascii="Arial" w:hAnsi="Arial" w:cs="Arial"/>
          <w:sz w:val="20"/>
          <w:szCs w:val="20"/>
        </w:rPr>
        <w:t>5 of Table 2d</w:t>
      </w:r>
      <w:r>
        <w:rPr>
          <w:rFonts w:ascii="Arial" w:hAnsi="Arial" w:cs="Arial"/>
          <w:sz w:val="20"/>
          <w:szCs w:val="20"/>
        </w:rPr>
        <w:t xml:space="preserve"> of 40 CFR 63, Subpart ZZZZ</w:t>
      </w:r>
      <w:r w:rsidRPr="002D2AF5">
        <w:rPr>
          <w:rFonts w:ascii="Arial" w:hAnsi="Arial" w:cs="Arial"/>
          <w:sz w:val="20"/>
          <w:szCs w:val="20"/>
        </w:rPr>
        <w:t xml:space="preserve">, </w:t>
      </w:r>
      <w:r>
        <w:rPr>
          <w:rFonts w:ascii="Arial" w:hAnsi="Arial" w:cs="Arial"/>
          <w:sz w:val="20"/>
          <w:szCs w:val="20"/>
        </w:rPr>
        <w:t xml:space="preserve">the permittee has </w:t>
      </w:r>
      <w:r w:rsidRPr="002D2AF5">
        <w:rPr>
          <w:rFonts w:ascii="Arial" w:hAnsi="Arial" w:cs="Arial"/>
          <w:sz w:val="20"/>
          <w:szCs w:val="20"/>
        </w:rPr>
        <w:t>the option of utilizing an oil analysis program in order to extend the specified oil change requirement in 2d</w:t>
      </w:r>
      <w:r>
        <w:rPr>
          <w:rFonts w:ascii="Arial" w:hAnsi="Arial" w:cs="Arial"/>
          <w:sz w:val="20"/>
          <w:szCs w:val="20"/>
        </w:rPr>
        <w:t>.</w:t>
      </w:r>
      <w:r w:rsidRPr="002D2AF5">
        <w:rPr>
          <w:rFonts w:ascii="Arial" w:hAnsi="Arial" w:cs="Arial"/>
          <w:sz w:val="20"/>
          <w:szCs w:val="20"/>
        </w:rPr>
        <w:t xml:space="preserve"> </w:t>
      </w:r>
      <w:r>
        <w:rPr>
          <w:rFonts w:ascii="Arial" w:hAnsi="Arial" w:cs="Arial"/>
          <w:sz w:val="20"/>
          <w:szCs w:val="20"/>
        </w:rPr>
        <w:t xml:space="preserve"> </w:t>
      </w:r>
      <w:r w:rsidRPr="002D2AF5">
        <w:rPr>
          <w:rFonts w:ascii="Arial" w:hAnsi="Arial" w:cs="Arial"/>
          <w:sz w:val="20"/>
          <w:szCs w:val="20"/>
        </w:rPr>
        <w:t xml:space="preserve">The oil analysis must be performed at the same frequency specified for changing the oil in Table </w:t>
      </w:r>
      <w:r>
        <w:rPr>
          <w:rFonts w:ascii="Arial" w:hAnsi="Arial" w:cs="Arial"/>
          <w:sz w:val="20"/>
          <w:szCs w:val="20"/>
        </w:rPr>
        <w:t>2d</w:t>
      </w:r>
      <w:r w:rsidRPr="002D2AF5">
        <w:rPr>
          <w:rFonts w:ascii="Arial" w:hAnsi="Arial" w:cs="Arial"/>
          <w:sz w:val="20"/>
          <w:szCs w:val="20"/>
        </w:rPr>
        <w:t xml:space="preserve">. </w:t>
      </w:r>
      <w:r>
        <w:rPr>
          <w:rFonts w:ascii="Arial" w:hAnsi="Arial" w:cs="Arial"/>
          <w:sz w:val="20"/>
          <w:szCs w:val="20"/>
        </w:rPr>
        <w:t xml:space="preserve"> </w:t>
      </w:r>
      <w:r w:rsidRPr="002D2AF5">
        <w:rPr>
          <w:rFonts w:ascii="Arial" w:hAnsi="Arial" w:cs="Arial"/>
          <w:sz w:val="20"/>
          <w:szCs w:val="20"/>
        </w:rPr>
        <w:t xml:space="preserve">The analysis program must at a minimum analyze the following three parameters: </w:t>
      </w:r>
    </w:p>
    <w:p w:rsidR="00224F76" w:rsidRPr="00F60D6C" w:rsidRDefault="00224F76" w:rsidP="0043663A">
      <w:pPr>
        <w:pStyle w:val="NormalWeb"/>
        <w:numPr>
          <w:ilvl w:val="0"/>
          <w:numId w:val="45"/>
        </w:numPr>
        <w:spacing w:before="0" w:beforeAutospacing="0" w:after="120" w:afterAutospacing="0"/>
        <w:rPr>
          <w:rFonts w:ascii="Arial" w:hAnsi="Arial" w:cs="Arial"/>
          <w:b/>
          <w:sz w:val="20"/>
          <w:szCs w:val="20"/>
        </w:rPr>
      </w:pPr>
      <w:r w:rsidRPr="002D2AF5">
        <w:rPr>
          <w:rFonts w:ascii="Arial" w:hAnsi="Arial" w:cs="Arial"/>
          <w:sz w:val="20"/>
          <w:szCs w:val="20"/>
        </w:rPr>
        <w:lastRenderedPageBreak/>
        <w:t>Total Acid Number</w:t>
      </w:r>
    </w:p>
    <w:p w:rsidR="00224F76" w:rsidRPr="00F60D6C" w:rsidRDefault="00224F76" w:rsidP="0043663A">
      <w:pPr>
        <w:pStyle w:val="NormalWeb"/>
        <w:numPr>
          <w:ilvl w:val="0"/>
          <w:numId w:val="45"/>
        </w:numPr>
        <w:spacing w:before="0" w:beforeAutospacing="0" w:after="120" w:afterAutospacing="0"/>
        <w:rPr>
          <w:rFonts w:ascii="Arial" w:hAnsi="Arial" w:cs="Arial"/>
          <w:b/>
          <w:sz w:val="20"/>
          <w:szCs w:val="20"/>
        </w:rPr>
      </w:pPr>
      <w:r>
        <w:rPr>
          <w:rFonts w:ascii="Arial" w:hAnsi="Arial" w:cs="Arial"/>
          <w:sz w:val="20"/>
          <w:szCs w:val="20"/>
        </w:rPr>
        <w:t>V</w:t>
      </w:r>
      <w:r w:rsidRPr="002D2AF5">
        <w:rPr>
          <w:rFonts w:ascii="Arial" w:hAnsi="Arial" w:cs="Arial"/>
          <w:sz w:val="20"/>
          <w:szCs w:val="20"/>
        </w:rPr>
        <w:t>iscosity</w:t>
      </w:r>
    </w:p>
    <w:p w:rsidR="00224F76" w:rsidRPr="00F60D6C" w:rsidRDefault="00224F76" w:rsidP="0043663A">
      <w:pPr>
        <w:pStyle w:val="NormalWeb"/>
        <w:numPr>
          <w:ilvl w:val="0"/>
          <w:numId w:val="45"/>
        </w:numPr>
        <w:spacing w:before="0" w:beforeAutospacing="0" w:after="120" w:afterAutospacing="0"/>
        <w:rPr>
          <w:rFonts w:ascii="Arial" w:hAnsi="Arial" w:cs="Arial"/>
          <w:b/>
          <w:sz w:val="20"/>
          <w:szCs w:val="20"/>
        </w:rPr>
      </w:pPr>
      <w:r>
        <w:rPr>
          <w:rFonts w:ascii="Arial" w:hAnsi="Arial" w:cs="Arial"/>
          <w:sz w:val="20"/>
          <w:szCs w:val="20"/>
        </w:rPr>
        <w:t>P</w:t>
      </w:r>
      <w:r w:rsidRPr="002D2AF5">
        <w:rPr>
          <w:rFonts w:ascii="Arial" w:hAnsi="Arial" w:cs="Arial"/>
          <w:sz w:val="20"/>
          <w:szCs w:val="20"/>
        </w:rPr>
        <w:t>ercent water content</w:t>
      </w:r>
    </w:p>
    <w:p w:rsidR="00224F76" w:rsidRDefault="00224F76" w:rsidP="00224F76">
      <w:pPr>
        <w:pStyle w:val="NormalWeb"/>
        <w:spacing w:before="0" w:beforeAutospacing="0" w:after="120" w:afterAutospacing="0"/>
        <w:ind w:left="360" w:firstLine="0"/>
        <w:rPr>
          <w:rFonts w:ascii="Arial" w:hAnsi="Arial" w:cs="Arial"/>
          <w:sz w:val="20"/>
          <w:szCs w:val="20"/>
        </w:rPr>
      </w:pPr>
      <w:r w:rsidRPr="002D2AF5">
        <w:rPr>
          <w:rFonts w:ascii="Arial" w:hAnsi="Arial" w:cs="Arial"/>
          <w:sz w:val="20"/>
          <w:szCs w:val="20"/>
        </w:rPr>
        <w:t xml:space="preserve">The condemning limits for these parameters are as follows: </w:t>
      </w:r>
    </w:p>
    <w:p w:rsidR="00224F76" w:rsidRDefault="00224F76" w:rsidP="0043663A">
      <w:pPr>
        <w:pStyle w:val="NormalWeb"/>
        <w:numPr>
          <w:ilvl w:val="0"/>
          <w:numId w:val="44"/>
        </w:numPr>
        <w:spacing w:before="0" w:beforeAutospacing="0" w:after="120" w:afterAutospacing="0"/>
        <w:jc w:val="both"/>
        <w:rPr>
          <w:rFonts w:ascii="Arial" w:hAnsi="Arial" w:cs="Arial"/>
          <w:sz w:val="20"/>
          <w:szCs w:val="20"/>
        </w:rPr>
      </w:pPr>
      <w:r w:rsidRPr="002D2AF5">
        <w:rPr>
          <w:rFonts w:ascii="Arial" w:hAnsi="Arial" w:cs="Arial"/>
          <w:sz w:val="20"/>
          <w:szCs w:val="20"/>
        </w:rPr>
        <w:t xml:space="preserve">Total Acid Number increases by more than 3.0 milligrams of potassium hydroxide (KOH) per gram from Total Acid Number of the oil when new; </w:t>
      </w:r>
    </w:p>
    <w:p w:rsidR="00224F76" w:rsidRDefault="00224F76" w:rsidP="0043663A">
      <w:pPr>
        <w:pStyle w:val="NormalWeb"/>
        <w:numPr>
          <w:ilvl w:val="0"/>
          <w:numId w:val="44"/>
        </w:numPr>
        <w:spacing w:before="0" w:beforeAutospacing="0" w:after="120" w:afterAutospacing="0"/>
        <w:rPr>
          <w:rFonts w:ascii="Arial" w:hAnsi="Arial" w:cs="Arial"/>
          <w:sz w:val="20"/>
          <w:szCs w:val="20"/>
        </w:rPr>
      </w:pPr>
      <w:r>
        <w:rPr>
          <w:rFonts w:ascii="Arial" w:hAnsi="Arial" w:cs="Arial"/>
          <w:sz w:val="20"/>
          <w:szCs w:val="20"/>
        </w:rPr>
        <w:t>V</w:t>
      </w:r>
      <w:r w:rsidRPr="002D2AF5">
        <w:rPr>
          <w:rFonts w:ascii="Arial" w:hAnsi="Arial" w:cs="Arial"/>
          <w:sz w:val="20"/>
          <w:szCs w:val="20"/>
        </w:rPr>
        <w:t xml:space="preserve">iscosity of the oil has changed by more than 20 percent from the viscosity of the oil when new; </w:t>
      </w:r>
    </w:p>
    <w:p w:rsidR="00224F76" w:rsidRDefault="00224F76" w:rsidP="0043663A">
      <w:pPr>
        <w:pStyle w:val="NormalWeb"/>
        <w:numPr>
          <w:ilvl w:val="0"/>
          <w:numId w:val="44"/>
        </w:numPr>
        <w:spacing w:before="0" w:beforeAutospacing="0" w:after="120" w:afterAutospacing="0"/>
        <w:rPr>
          <w:rFonts w:ascii="Arial" w:hAnsi="Arial" w:cs="Arial"/>
          <w:sz w:val="20"/>
          <w:szCs w:val="20"/>
        </w:rPr>
      </w:pPr>
      <w:r>
        <w:rPr>
          <w:rFonts w:ascii="Arial" w:hAnsi="Arial" w:cs="Arial"/>
          <w:sz w:val="20"/>
          <w:szCs w:val="20"/>
        </w:rPr>
        <w:t>P</w:t>
      </w:r>
      <w:r w:rsidRPr="002D2AF5">
        <w:rPr>
          <w:rFonts w:ascii="Arial" w:hAnsi="Arial" w:cs="Arial"/>
          <w:sz w:val="20"/>
          <w:szCs w:val="20"/>
        </w:rPr>
        <w:t>ercent water content (</w:t>
      </w:r>
      <w:r>
        <w:rPr>
          <w:rFonts w:ascii="Arial" w:hAnsi="Arial" w:cs="Arial"/>
          <w:sz w:val="20"/>
          <w:szCs w:val="20"/>
        </w:rPr>
        <w:t>by volume) is greater than 0.5</w:t>
      </w:r>
    </w:p>
    <w:p w:rsidR="00C45198" w:rsidRDefault="00224F76" w:rsidP="00C45198">
      <w:pPr>
        <w:pStyle w:val="NormalWeb"/>
        <w:spacing w:before="0" w:beforeAutospacing="0" w:after="0" w:afterAutospacing="0"/>
        <w:ind w:left="360" w:firstLine="0"/>
        <w:jc w:val="both"/>
        <w:rPr>
          <w:rFonts w:ascii="Arial" w:hAnsi="Arial" w:cs="Arial"/>
          <w:b/>
          <w:sz w:val="20"/>
          <w:szCs w:val="20"/>
        </w:rPr>
      </w:pPr>
      <w:r w:rsidRPr="002D2AF5">
        <w:rPr>
          <w:rFonts w:ascii="Arial" w:hAnsi="Arial" w:cs="Arial"/>
          <w:sz w:val="20"/>
          <w:szCs w:val="20"/>
        </w:rPr>
        <w:t>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w:t>
      </w:r>
      <w:r>
        <w:rPr>
          <w:rFonts w:ascii="Arial" w:hAnsi="Arial" w:cs="Arial"/>
          <w:sz w:val="20"/>
          <w:szCs w:val="20"/>
        </w:rPr>
        <w:t xml:space="preserve">  </w:t>
      </w:r>
      <w:r w:rsidRPr="00C212FA">
        <w:rPr>
          <w:rFonts w:ascii="Arial" w:hAnsi="Arial" w:cs="Arial"/>
          <w:b/>
          <w:sz w:val="20"/>
          <w:szCs w:val="20"/>
        </w:rPr>
        <w:t>(</w:t>
      </w:r>
      <w:r w:rsidRPr="00DD040B">
        <w:rPr>
          <w:rFonts w:ascii="Arial" w:hAnsi="Arial" w:cs="Arial"/>
          <w:b/>
          <w:sz w:val="20"/>
          <w:szCs w:val="20"/>
        </w:rPr>
        <w:t>40 CFR 63.6625(j))</w:t>
      </w:r>
      <w:r>
        <w:rPr>
          <w:rFonts w:ascii="Arial" w:hAnsi="Arial" w:cs="Arial"/>
          <w:b/>
          <w:sz w:val="20"/>
          <w:szCs w:val="20"/>
        </w:rPr>
        <w:t xml:space="preserve"> </w:t>
      </w:r>
    </w:p>
    <w:p w:rsidR="00C45198" w:rsidRDefault="00C45198" w:rsidP="00C45198">
      <w:pPr>
        <w:pStyle w:val="NormalWeb"/>
        <w:numPr>
          <w:ilvl w:val="0"/>
          <w:numId w:val="43"/>
        </w:numPr>
        <w:jc w:val="both"/>
        <w:rPr>
          <w:rFonts w:ascii="Arial" w:hAnsi="Arial" w:cs="Arial"/>
          <w:sz w:val="20"/>
          <w:szCs w:val="20"/>
        </w:rPr>
      </w:pPr>
      <w:r w:rsidRPr="00E96116">
        <w:rPr>
          <w:rFonts w:ascii="Arial" w:hAnsi="Arial" w:cs="Arial"/>
          <w:sz w:val="20"/>
          <w:szCs w:val="20"/>
        </w:rPr>
        <w:t>Upon request from the AQD District Supervisor the permittee shall verify NOx and CO emission rates from EUSPU3, by testing at owner's expense, in accordance with the Department requirements.  Testing shall be performed using an approved EPA Method listed in:</w:t>
      </w:r>
    </w:p>
    <w:p w:rsidR="00E96116" w:rsidRPr="0047287E" w:rsidRDefault="00E96116" w:rsidP="00E96116">
      <w:pPr>
        <w:pStyle w:val="NormalWeb"/>
        <w:ind w:left="360" w:firstLine="0"/>
        <w:jc w:val="both"/>
        <w:rPr>
          <w:rFonts w:ascii="Arial" w:hAnsi="Arial" w:cs="Arial"/>
          <w:sz w:val="4"/>
          <w:szCs w:val="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182"/>
      </w:tblGrid>
      <w:tr w:rsidR="00E96116" w:rsidRPr="00E96116" w:rsidTr="00B1062A">
        <w:tc>
          <w:tcPr>
            <w:tcW w:w="1363" w:type="dxa"/>
            <w:shd w:val="clear" w:color="auto" w:fill="auto"/>
          </w:tcPr>
          <w:p w:rsidR="00E96116" w:rsidRPr="00E96116" w:rsidRDefault="00E96116" w:rsidP="00E96116">
            <w:pPr>
              <w:spacing w:after="160" w:line="259" w:lineRule="auto"/>
              <w:rPr>
                <w:rFonts w:eastAsia="Calibri" w:cs="Arial"/>
                <w:b/>
                <w:szCs w:val="22"/>
              </w:rPr>
            </w:pPr>
            <w:r w:rsidRPr="00E96116">
              <w:rPr>
                <w:rFonts w:eastAsia="Calibri" w:cs="Arial"/>
                <w:b/>
                <w:szCs w:val="22"/>
              </w:rPr>
              <w:t>Pollutant</w:t>
            </w:r>
          </w:p>
        </w:tc>
        <w:tc>
          <w:tcPr>
            <w:tcW w:w="7182" w:type="dxa"/>
            <w:shd w:val="clear" w:color="auto" w:fill="auto"/>
          </w:tcPr>
          <w:p w:rsidR="00E96116" w:rsidRPr="00E96116" w:rsidRDefault="00E96116" w:rsidP="00E96116">
            <w:pPr>
              <w:keepNext/>
              <w:keepLines/>
              <w:spacing w:after="160" w:line="259" w:lineRule="auto"/>
              <w:jc w:val="both"/>
              <w:rPr>
                <w:rFonts w:eastAsia="Calibri" w:cs="Arial"/>
                <w:b/>
                <w:szCs w:val="22"/>
              </w:rPr>
            </w:pPr>
            <w:r w:rsidRPr="00E96116">
              <w:rPr>
                <w:rFonts w:eastAsia="Calibri" w:cs="Arial"/>
                <w:b/>
                <w:szCs w:val="22"/>
              </w:rPr>
              <w:t>Test Method Reference</w:t>
            </w:r>
          </w:p>
        </w:tc>
      </w:tr>
      <w:tr w:rsidR="00E96116" w:rsidRPr="00E96116" w:rsidTr="00B1062A">
        <w:tc>
          <w:tcPr>
            <w:tcW w:w="1363" w:type="dxa"/>
            <w:shd w:val="clear" w:color="auto" w:fill="auto"/>
          </w:tcPr>
          <w:p w:rsidR="00E96116" w:rsidRPr="00E96116" w:rsidRDefault="00E96116" w:rsidP="00E96116">
            <w:pPr>
              <w:spacing w:after="160" w:line="259" w:lineRule="auto"/>
              <w:rPr>
                <w:rFonts w:eastAsia="Calibri" w:cs="Arial"/>
                <w:sz w:val="20"/>
              </w:rPr>
            </w:pPr>
            <w:r w:rsidRPr="00E96116">
              <w:rPr>
                <w:rFonts w:eastAsia="Calibri" w:cs="Arial"/>
                <w:sz w:val="20"/>
              </w:rPr>
              <w:t>NOx</w:t>
            </w:r>
          </w:p>
        </w:tc>
        <w:tc>
          <w:tcPr>
            <w:tcW w:w="7182" w:type="dxa"/>
            <w:shd w:val="clear" w:color="auto" w:fill="auto"/>
          </w:tcPr>
          <w:p w:rsidR="00E96116" w:rsidRPr="00E96116" w:rsidRDefault="00E96116" w:rsidP="00E96116">
            <w:pPr>
              <w:spacing w:after="160" w:line="259" w:lineRule="auto"/>
              <w:rPr>
                <w:rFonts w:eastAsia="Calibri" w:cs="Arial"/>
                <w:sz w:val="20"/>
              </w:rPr>
            </w:pPr>
            <w:r w:rsidRPr="00E96116">
              <w:rPr>
                <w:rFonts w:eastAsia="Calibri" w:cs="Arial"/>
                <w:sz w:val="20"/>
              </w:rPr>
              <w:t>40 CFR Part 60, Appendix A</w:t>
            </w:r>
          </w:p>
        </w:tc>
      </w:tr>
      <w:tr w:rsidR="00E96116" w:rsidRPr="00E96116" w:rsidTr="00B1062A">
        <w:tc>
          <w:tcPr>
            <w:tcW w:w="1363" w:type="dxa"/>
            <w:shd w:val="clear" w:color="auto" w:fill="auto"/>
          </w:tcPr>
          <w:p w:rsidR="00E96116" w:rsidRPr="00E96116" w:rsidRDefault="00E96116" w:rsidP="00E96116">
            <w:pPr>
              <w:spacing w:after="160" w:line="259" w:lineRule="auto"/>
              <w:rPr>
                <w:rFonts w:eastAsia="Calibri" w:cs="Arial"/>
                <w:sz w:val="20"/>
              </w:rPr>
            </w:pPr>
            <w:r w:rsidRPr="00E96116">
              <w:rPr>
                <w:rFonts w:eastAsia="Calibri" w:cs="Arial"/>
                <w:sz w:val="20"/>
              </w:rPr>
              <w:t>CO</w:t>
            </w:r>
          </w:p>
        </w:tc>
        <w:tc>
          <w:tcPr>
            <w:tcW w:w="7182" w:type="dxa"/>
            <w:shd w:val="clear" w:color="auto" w:fill="auto"/>
          </w:tcPr>
          <w:p w:rsidR="00E96116" w:rsidRPr="00E96116" w:rsidRDefault="00E96116" w:rsidP="00E96116">
            <w:pPr>
              <w:spacing w:after="160" w:line="259" w:lineRule="auto"/>
              <w:rPr>
                <w:rFonts w:eastAsia="Calibri" w:cs="Arial"/>
                <w:sz w:val="20"/>
              </w:rPr>
            </w:pPr>
            <w:r w:rsidRPr="00E96116">
              <w:rPr>
                <w:rFonts w:eastAsia="Calibri" w:cs="Arial"/>
                <w:sz w:val="20"/>
              </w:rPr>
              <w:t>40 CFR Part 60, Appendix A</w:t>
            </w:r>
          </w:p>
        </w:tc>
      </w:tr>
    </w:tbl>
    <w:p w:rsidR="00C45198" w:rsidRPr="0047287E" w:rsidRDefault="00C45198" w:rsidP="00E96116">
      <w:pPr>
        <w:pStyle w:val="NormalWeb"/>
        <w:ind w:firstLine="0"/>
        <w:jc w:val="both"/>
        <w:rPr>
          <w:rFonts w:ascii="Arial" w:hAnsi="Arial" w:cs="Arial"/>
          <w:sz w:val="4"/>
          <w:szCs w:val="4"/>
        </w:rPr>
      </w:pPr>
    </w:p>
    <w:p w:rsidR="00C45198" w:rsidRPr="00C45198" w:rsidRDefault="00C45198" w:rsidP="00E96116">
      <w:pPr>
        <w:pStyle w:val="NormalWeb"/>
        <w:spacing w:before="0" w:beforeAutospacing="0" w:after="0" w:afterAutospacing="0"/>
        <w:ind w:left="360" w:firstLine="0"/>
        <w:jc w:val="both"/>
        <w:rPr>
          <w:rFonts w:ascii="Arial" w:hAnsi="Arial" w:cs="Arial"/>
          <w:b/>
          <w:sz w:val="20"/>
          <w:szCs w:val="20"/>
        </w:rPr>
      </w:pPr>
      <w:r w:rsidRPr="00E96116">
        <w:rPr>
          <w:rFonts w:ascii="Arial" w:hAnsi="Arial" w:cs="Arial"/>
          <w:sz w:val="20"/>
          <w:szCs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45198">
        <w:rPr>
          <w:rFonts w:ascii="Arial" w:hAnsi="Arial" w:cs="Arial"/>
          <w:b/>
          <w:sz w:val="20"/>
          <w:szCs w:val="20"/>
        </w:rPr>
        <w:t xml:space="preserve">  (R 336.1213(3), R 336.2001, R 336.2003, R 336.2004)</w:t>
      </w:r>
    </w:p>
    <w:p w:rsidR="00AE1D84" w:rsidRPr="00FE0AD0" w:rsidRDefault="00AE1D84" w:rsidP="00F62984">
      <w:pPr>
        <w:jc w:val="both"/>
        <w:rPr>
          <w:sz w:val="20"/>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jc w:val="both"/>
        <w:rPr>
          <w:sz w:val="20"/>
        </w:rPr>
      </w:pPr>
    </w:p>
    <w:p w:rsidR="00C8160D" w:rsidRPr="003A4236" w:rsidRDefault="00C8160D" w:rsidP="0043663A">
      <w:pPr>
        <w:numPr>
          <w:ilvl w:val="0"/>
          <w:numId w:val="46"/>
        </w:numPr>
        <w:overflowPunct w:val="0"/>
        <w:autoSpaceDE w:val="0"/>
        <w:autoSpaceDN w:val="0"/>
        <w:adjustRightInd w:val="0"/>
        <w:spacing w:after="120"/>
        <w:jc w:val="both"/>
        <w:textAlignment w:val="baseline"/>
        <w:rPr>
          <w:sz w:val="20"/>
        </w:rPr>
      </w:pPr>
      <w:r>
        <w:rPr>
          <w:sz w:val="20"/>
        </w:rPr>
        <w:t>The p</w:t>
      </w:r>
      <w:r w:rsidRPr="0077079E">
        <w:rPr>
          <w:sz w:val="20"/>
        </w:rPr>
        <w:t xml:space="preserve">ermittee shall </w:t>
      </w:r>
      <w:r>
        <w:rPr>
          <w:sz w:val="20"/>
        </w:rPr>
        <w:t xml:space="preserve">calculate Oxides of Nitrogen (NOx) and Carbon Monoxide (CO) emissions in tons based on a 12-month rolling time period, as determined at the end of each calendar month.  </w:t>
      </w:r>
      <w:r w:rsidRPr="003A4236">
        <w:rPr>
          <w:b/>
          <w:bCs/>
          <w:sz w:val="20"/>
        </w:rPr>
        <w:t>(R 336.1213(3))</w:t>
      </w:r>
    </w:p>
    <w:p w:rsidR="00C8160D" w:rsidRPr="00BC603A" w:rsidRDefault="00C8160D" w:rsidP="0043663A">
      <w:pPr>
        <w:numPr>
          <w:ilvl w:val="0"/>
          <w:numId w:val="46"/>
        </w:numPr>
        <w:overflowPunct w:val="0"/>
        <w:autoSpaceDE w:val="0"/>
        <w:autoSpaceDN w:val="0"/>
        <w:adjustRightInd w:val="0"/>
        <w:spacing w:after="120"/>
        <w:ind w:right="144"/>
        <w:jc w:val="both"/>
        <w:textAlignment w:val="baseline"/>
        <w:rPr>
          <w:sz w:val="20"/>
        </w:rPr>
      </w:pPr>
      <w:r>
        <w:rPr>
          <w:sz w:val="20"/>
        </w:rPr>
        <w:t>The p</w:t>
      </w:r>
      <w:r w:rsidRPr="0077079E">
        <w:rPr>
          <w:sz w:val="20"/>
        </w:rPr>
        <w:t xml:space="preserve">ermittee shall </w:t>
      </w:r>
      <w:r>
        <w:rPr>
          <w:sz w:val="20"/>
        </w:rPr>
        <w:t>record the total operating hours and fuel consumption for EUSPU3 on a rolling 12-month time period as determined at the end of each calendar month.</w:t>
      </w:r>
      <w:r>
        <w:rPr>
          <w:sz w:val="20"/>
          <w:vertAlign w:val="superscript"/>
        </w:rPr>
        <w:t>2</w:t>
      </w:r>
      <w:r>
        <w:rPr>
          <w:sz w:val="20"/>
        </w:rPr>
        <w:t xml:space="preserve">  </w:t>
      </w:r>
      <w:r w:rsidRPr="00974B22">
        <w:rPr>
          <w:b/>
          <w:bCs/>
          <w:sz w:val="20"/>
        </w:rPr>
        <w:t>(R 336.12</w:t>
      </w:r>
      <w:r>
        <w:rPr>
          <w:b/>
          <w:bCs/>
          <w:sz w:val="20"/>
        </w:rPr>
        <w:t>01</w:t>
      </w:r>
      <w:r w:rsidRPr="00974B22">
        <w:rPr>
          <w:b/>
          <w:bCs/>
          <w:sz w:val="20"/>
        </w:rPr>
        <w:t>(3))</w:t>
      </w:r>
    </w:p>
    <w:p w:rsidR="00C8160D" w:rsidRPr="004E1984" w:rsidRDefault="00C8160D" w:rsidP="0043663A">
      <w:pPr>
        <w:pStyle w:val="NormalWeb"/>
        <w:numPr>
          <w:ilvl w:val="0"/>
          <w:numId w:val="46"/>
        </w:numPr>
        <w:spacing w:before="0" w:beforeAutospacing="0" w:after="120" w:afterAutospacing="0"/>
        <w:jc w:val="both"/>
        <w:rPr>
          <w:rFonts w:ascii="Arial" w:hAnsi="Arial" w:cs="Arial"/>
          <w:sz w:val="20"/>
          <w:szCs w:val="20"/>
        </w:rPr>
      </w:pPr>
      <w:r>
        <w:rPr>
          <w:rFonts w:ascii="Arial" w:hAnsi="Arial" w:cs="Arial"/>
          <w:sz w:val="20"/>
          <w:szCs w:val="20"/>
        </w:rPr>
        <w:t xml:space="preserve">The permittee </w:t>
      </w:r>
      <w:r w:rsidRPr="004E1984">
        <w:rPr>
          <w:rFonts w:ascii="Arial" w:hAnsi="Arial" w:cs="Arial"/>
          <w:sz w:val="20"/>
          <w:szCs w:val="20"/>
        </w:rPr>
        <w:t xml:space="preserve">must keep the records required in </w:t>
      </w:r>
      <w:r>
        <w:rPr>
          <w:rFonts w:ascii="Arial" w:hAnsi="Arial" w:cs="Arial"/>
          <w:sz w:val="20"/>
          <w:szCs w:val="20"/>
        </w:rPr>
        <w:t xml:space="preserve">40 CFR 63, Subpart ZZZZ, </w:t>
      </w:r>
      <w:r w:rsidRPr="004E1984">
        <w:rPr>
          <w:rFonts w:ascii="Arial" w:hAnsi="Arial" w:cs="Arial"/>
          <w:sz w:val="20"/>
          <w:szCs w:val="20"/>
        </w:rPr>
        <w:t xml:space="preserve">Table 6 to show continuous compliance with each </w:t>
      </w:r>
      <w:r>
        <w:rPr>
          <w:rFonts w:ascii="Arial" w:hAnsi="Arial" w:cs="Arial"/>
          <w:sz w:val="20"/>
          <w:szCs w:val="20"/>
        </w:rPr>
        <w:t xml:space="preserve">applicable </w:t>
      </w:r>
      <w:r w:rsidRPr="004E1984">
        <w:rPr>
          <w:rFonts w:ascii="Arial" w:hAnsi="Arial" w:cs="Arial"/>
          <w:sz w:val="20"/>
          <w:szCs w:val="20"/>
        </w:rPr>
        <w:t>emission or operating limitation</w:t>
      </w:r>
      <w:r>
        <w:rPr>
          <w:rFonts w:ascii="Arial" w:hAnsi="Arial" w:cs="Arial"/>
          <w:sz w:val="20"/>
          <w:szCs w:val="20"/>
        </w:rPr>
        <w:t xml:space="preserve"> specified </w:t>
      </w:r>
      <w:r w:rsidRPr="00DB75F6">
        <w:rPr>
          <w:rFonts w:ascii="Arial" w:hAnsi="Arial" w:cs="Arial"/>
          <w:sz w:val="20"/>
          <w:szCs w:val="20"/>
        </w:rPr>
        <w:t xml:space="preserve">in </w:t>
      </w:r>
      <w:r w:rsidRPr="00DB75F6">
        <w:rPr>
          <w:rFonts w:ascii="Arial" w:hAnsi="Arial" w:cs="Arial"/>
          <w:b/>
          <w:sz w:val="20"/>
          <w:szCs w:val="20"/>
        </w:rPr>
        <w:t>SC III.</w:t>
      </w:r>
      <w:r w:rsidR="00DB31AA">
        <w:rPr>
          <w:rFonts w:ascii="Arial" w:hAnsi="Arial" w:cs="Arial"/>
          <w:b/>
          <w:sz w:val="20"/>
          <w:szCs w:val="20"/>
        </w:rPr>
        <w:t>9</w:t>
      </w:r>
      <w:r w:rsidRPr="00DB75F6">
        <w:rPr>
          <w:rFonts w:ascii="Arial" w:hAnsi="Arial" w:cs="Arial"/>
          <w:sz w:val="20"/>
          <w:szCs w:val="20"/>
        </w:rPr>
        <w:t xml:space="preserve">. </w:t>
      </w:r>
      <w:r w:rsidR="0031381A">
        <w:rPr>
          <w:rFonts w:ascii="Arial" w:hAnsi="Arial" w:cs="Arial"/>
          <w:sz w:val="20"/>
          <w:szCs w:val="20"/>
        </w:rPr>
        <w:t xml:space="preserve"> </w:t>
      </w:r>
      <w:r w:rsidRPr="00DB75F6">
        <w:rPr>
          <w:rFonts w:ascii="Arial" w:hAnsi="Arial" w:cs="Arial"/>
          <w:b/>
          <w:sz w:val="20"/>
          <w:szCs w:val="20"/>
        </w:rPr>
        <w:t>(40</w:t>
      </w:r>
      <w:r w:rsidRPr="004E1984">
        <w:rPr>
          <w:rFonts w:ascii="Arial" w:hAnsi="Arial" w:cs="Arial"/>
          <w:b/>
          <w:sz w:val="20"/>
          <w:szCs w:val="20"/>
        </w:rPr>
        <w:t xml:space="preserve"> CFR 63.6655(</w:t>
      </w:r>
      <w:r>
        <w:rPr>
          <w:rFonts w:ascii="Arial" w:hAnsi="Arial" w:cs="Arial"/>
          <w:b/>
          <w:sz w:val="20"/>
          <w:szCs w:val="20"/>
        </w:rPr>
        <w:t>d</w:t>
      </w:r>
      <w:r w:rsidRPr="004E1984">
        <w:rPr>
          <w:rFonts w:ascii="Arial" w:hAnsi="Arial" w:cs="Arial"/>
          <w:b/>
          <w:sz w:val="20"/>
          <w:szCs w:val="20"/>
        </w:rPr>
        <w:t>), 40</w:t>
      </w:r>
      <w:r>
        <w:rPr>
          <w:rFonts w:ascii="Arial" w:hAnsi="Arial" w:cs="Arial"/>
          <w:b/>
          <w:sz w:val="20"/>
          <w:szCs w:val="20"/>
        </w:rPr>
        <w:t> </w:t>
      </w:r>
      <w:r w:rsidRPr="004E1984">
        <w:rPr>
          <w:rFonts w:ascii="Arial" w:hAnsi="Arial" w:cs="Arial"/>
          <w:b/>
          <w:sz w:val="20"/>
          <w:szCs w:val="20"/>
        </w:rPr>
        <w:t>CFR 63.6660)</w:t>
      </w:r>
    </w:p>
    <w:p w:rsidR="00C8160D" w:rsidRDefault="00C8160D" w:rsidP="0043663A">
      <w:pPr>
        <w:pStyle w:val="NormalWeb"/>
        <w:numPr>
          <w:ilvl w:val="0"/>
          <w:numId w:val="46"/>
        </w:numPr>
        <w:spacing w:before="0" w:beforeAutospacing="0" w:after="120" w:afterAutospacing="0"/>
        <w:jc w:val="both"/>
        <w:rPr>
          <w:rFonts w:ascii="Arial" w:hAnsi="Arial" w:cs="Arial"/>
          <w:sz w:val="20"/>
          <w:szCs w:val="20"/>
        </w:rPr>
      </w:pPr>
      <w:r>
        <w:rPr>
          <w:rFonts w:ascii="Arial" w:hAnsi="Arial" w:cs="Arial"/>
          <w:sz w:val="20"/>
          <w:szCs w:val="20"/>
        </w:rPr>
        <w:t xml:space="preserve">The permittee must keep records of the maintenance conducted on the stationary RICE in order to demonstrate that the permittee operated and maintained the following stationary RICE and after-treatment control device (if any) according to the permittee’s own maintenance plan.  </w:t>
      </w:r>
    </w:p>
    <w:p w:rsidR="00C8160D" w:rsidRDefault="00C8160D" w:rsidP="0043663A">
      <w:pPr>
        <w:pStyle w:val="NormalWeb"/>
        <w:numPr>
          <w:ilvl w:val="1"/>
          <w:numId w:val="46"/>
        </w:numPr>
        <w:spacing w:before="0" w:beforeAutospacing="0" w:after="120" w:afterAutospacing="0"/>
        <w:jc w:val="both"/>
        <w:rPr>
          <w:rFonts w:ascii="Arial" w:hAnsi="Arial" w:cs="Arial"/>
          <w:sz w:val="20"/>
          <w:szCs w:val="20"/>
        </w:rPr>
      </w:pPr>
      <w:r>
        <w:rPr>
          <w:rFonts w:ascii="Arial" w:hAnsi="Arial" w:cs="Arial"/>
          <w:sz w:val="20"/>
          <w:szCs w:val="20"/>
        </w:rPr>
        <w:t>An existing stationary emergency RICE</w:t>
      </w:r>
    </w:p>
    <w:p w:rsidR="00C8160D" w:rsidRDefault="00C8160D" w:rsidP="0043663A">
      <w:pPr>
        <w:pStyle w:val="NormalWeb"/>
        <w:numPr>
          <w:ilvl w:val="1"/>
          <w:numId w:val="46"/>
        </w:numPr>
        <w:spacing w:before="0" w:beforeAutospacing="0" w:after="120" w:afterAutospacing="0"/>
        <w:jc w:val="both"/>
        <w:rPr>
          <w:rFonts w:ascii="Arial" w:hAnsi="Arial" w:cs="Arial"/>
          <w:sz w:val="20"/>
          <w:szCs w:val="20"/>
        </w:rPr>
      </w:pPr>
      <w:r>
        <w:rPr>
          <w:rFonts w:ascii="Arial" w:hAnsi="Arial" w:cs="Arial"/>
          <w:sz w:val="20"/>
          <w:szCs w:val="20"/>
        </w:rPr>
        <w:t xml:space="preserve">An existing stationary RICE located at an area source of HAP emissions subject to management practices as shown in 40 CFR 63, Subpart ZZZZ-Table 2d.  </w:t>
      </w:r>
      <w:r w:rsidRPr="00F3727D">
        <w:rPr>
          <w:rFonts w:ascii="Arial" w:hAnsi="Arial" w:cs="Arial"/>
          <w:b/>
          <w:sz w:val="20"/>
          <w:szCs w:val="20"/>
        </w:rPr>
        <w:t>(40 CFR 63.6655(</w:t>
      </w:r>
      <w:r>
        <w:rPr>
          <w:rFonts w:ascii="Arial" w:hAnsi="Arial" w:cs="Arial"/>
          <w:b/>
          <w:sz w:val="20"/>
          <w:szCs w:val="20"/>
        </w:rPr>
        <w:t>e</w:t>
      </w:r>
      <w:r w:rsidRPr="00F3727D">
        <w:rPr>
          <w:rFonts w:ascii="Arial" w:hAnsi="Arial" w:cs="Arial"/>
          <w:b/>
          <w:sz w:val="20"/>
          <w:szCs w:val="20"/>
        </w:rPr>
        <w:t>))</w:t>
      </w:r>
    </w:p>
    <w:p w:rsidR="00882335" w:rsidRPr="00882335" w:rsidRDefault="00C8160D" w:rsidP="00882335">
      <w:pPr>
        <w:numPr>
          <w:ilvl w:val="0"/>
          <w:numId w:val="46"/>
        </w:numPr>
        <w:jc w:val="both"/>
        <w:rPr>
          <w:sz w:val="20"/>
        </w:rPr>
      </w:pPr>
      <w:r w:rsidRPr="00327212">
        <w:rPr>
          <w:rFonts w:cs="Arial"/>
          <w:sz w:val="20"/>
        </w:rPr>
        <w:lastRenderedPageBreak/>
        <w:t>For the existing emergency stationary RICE located at an area source of HAP emission</w:t>
      </w:r>
      <w:r>
        <w:rPr>
          <w:rFonts w:cs="Arial"/>
          <w:sz w:val="20"/>
        </w:rPr>
        <w:t>s</w:t>
      </w:r>
      <w:r w:rsidRPr="00327212">
        <w:rPr>
          <w:rFonts w:cs="Arial"/>
          <w:sz w:val="20"/>
        </w:rPr>
        <w:t>,</w:t>
      </w:r>
      <w:r>
        <w:rPr>
          <w:rFonts w:cs="Arial"/>
          <w:sz w:val="20"/>
        </w:rPr>
        <w:t xml:space="preserve"> the permittee </w:t>
      </w:r>
      <w:r w:rsidRPr="00327212">
        <w:rPr>
          <w:rFonts w:cs="Arial"/>
          <w:sz w:val="20"/>
        </w:rPr>
        <w:t xml:space="preserve">must keep records of the hours of operation of the engine that is recorded through the non-resettable hour meter. The </w:t>
      </w:r>
      <w:r>
        <w:rPr>
          <w:rFonts w:cs="Arial"/>
          <w:sz w:val="20"/>
        </w:rPr>
        <w:t xml:space="preserve">permittee </w:t>
      </w:r>
      <w:r w:rsidRPr="00327212">
        <w:rPr>
          <w:rFonts w:cs="Arial"/>
          <w:sz w:val="20"/>
        </w:rPr>
        <w:t>must document how many hours are spent for eme</w:t>
      </w:r>
      <w:r>
        <w:rPr>
          <w:rFonts w:cs="Arial"/>
          <w:sz w:val="20"/>
        </w:rPr>
        <w:t>rgency operation</w:t>
      </w:r>
      <w:r w:rsidRPr="00327212">
        <w:rPr>
          <w:rFonts w:cs="Arial"/>
          <w:sz w:val="20"/>
        </w:rPr>
        <w:t xml:space="preserve"> including what classified the operation as emergency and how many hours are spent for non-emergency operation.</w:t>
      </w:r>
      <w:r w:rsidR="00882335">
        <w:rPr>
          <w:rFonts w:cs="Arial"/>
          <w:sz w:val="20"/>
        </w:rPr>
        <w:t xml:space="preserve"> </w:t>
      </w:r>
      <w:r w:rsidR="00882335" w:rsidRPr="00882335">
        <w:rPr>
          <w:rFonts w:cs="Arial"/>
          <w:sz w:val="20"/>
        </w:rPr>
        <w:t>. If the engine is used for the purposes specified in 40 CFR 63.6640(f)(4)(ii), the permittee must keep records of the notification of the emergency situation, and the date, start time, and end time of engine operation for these purposes.</w:t>
      </w:r>
      <w:r w:rsidR="00882335">
        <w:rPr>
          <w:rFonts w:cs="Arial"/>
          <w:sz w:val="20"/>
        </w:rPr>
        <w:t xml:space="preserve"> </w:t>
      </w:r>
      <w:r w:rsidR="003110FC">
        <w:rPr>
          <w:rFonts w:cs="Arial"/>
          <w:sz w:val="20"/>
        </w:rPr>
        <w:t xml:space="preserve"> </w:t>
      </w:r>
      <w:r w:rsidR="00882335" w:rsidRPr="00882335">
        <w:rPr>
          <w:rFonts w:cs="Arial"/>
          <w:b/>
          <w:sz w:val="20"/>
        </w:rPr>
        <w:t>(40 CFR 63.6655(f))</w:t>
      </w:r>
    </w:p>
    <w:p w:rsidR="00C8160D" w:rsidRDefault="00C8160D" w:rsidP="00F62984">
      <w:pPr>
        <w:jc w:val="both"/>
        <w:rPr>
          <w:sz w:val="20"/>
        </w:rPr>
      </w:pPr>
    </w:p>
    <w:p w:rsidR="00573DEA" w:rsidRDefault="00AE1D84" w:rsidP="00F62984">
      <w:pPr>
        <w:jc w:val="both"/>
        <w:rPr>
          <w:sz w:val="20"/>
        </w:rPr>
      </w:pPr>
      <w:r w:rsidRPr="00FE0AD0">
        <w:rPr>
          <w:b/>
          <w:sz w:val="20"/>
        </w:rPr>
        <w:t>See Appendi</w:t>
      </w:r>
      <w:r>
        <w:rPr>
          <w:b/>
          <w:sz w:val="20"/>
        </w:rPr>
        <w:t>ces</w:t>
      </w:r>
      <w:r w:rsidRPr="00FE0AD0">
        <w:rPr>
          <w:b/>
          <w:sz w:val="20"/>
        </w:rPr>
        <w:t xml:space="preserve"> </w:t>
      </w:r>
      <w:r w:rsidR="00B02228">
        <w:rPr>
          <w:b/>
          <w:sz w:val="20"/>
        </w:rPr>
        <w:t>3 and 7</w:t>
      </w:r>
    </w:p>
    <w:p w:rsidR="00573DEA" w:rsidRPr="00047D6A" w:rsidRDefault="00573DEA" w:rsidP="00F62984">
      <w:pPr>
        <w:jc w:val="both"/>
        <w:rPr>
          <w:sz w:val="20"/>
        </w:rPr>
      </w:pPr>
    </w:p>
    <w:p w:rsidR="00AE1D84" w:rsidRPr="00F01FE1" w:rsidRDefault="00AE1D84" w:rsidP="00F62984">
      <w:pPr>
        <w:jc w:val="both"/>
        <w:rPr>
          <w:b/>
          <w:sz w:val="20"/>
          <w:u w:val="single"/>
        </w:rPr>
      </w:pPr>
      <w:r>
        <w:rPr>
          <w:b/>
        </w:rPr>
        <w:t xml:space="preserve">VII.  </w:t>
      </w:r>
      <w:r>
        <w:rPr>
          <w:b/>
          <w:u w:val="single"/>
        </w:rPr>
        <w:t>REPORTING</w:t>
      </w:r>
    </w:p>
    <w:p w:rsidR="00AE1D84" w:rsidRPr="00047D6A"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AE1D84" w:rsidRPr="00984760"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AE1D84" w:rsidRPr="00984760" w:rsidRDefault="00AE1D84" w:rsidP="00F62984">
      <w:pPr>
        <w:ind w:left="360" w:hanging="360"/>
        <w:jc w:val="both"/>
        <w:rPr>
          <w:sz w:val="20"/>
        </w:rPr>
      </w:pPr>
    </w:p>
    <w:p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AE1D84" w:rsidRPr="00E873CB" w:rsidRDefault="00AE1D84" w:rsidP="00F62984">
      <w:pPr>
        <w:jc w:val="both"/>
        <w:rPr>
          <w:rFonts w:cs="Arial"/>
          <w:sz w:val="20"/>
        </w:rPr>
      </w:pPr>
    </w:p>
    <w:p w:rsidR="00AE1D84" w:rsidRPr="00FE0AD0" w:rsidRDefault="00AE1D84" w:rsidP="00F62984">
      <w:pPr>
        <w:jc w:val="both"/>
        <w:rPr>
          <w:rFonts w:cs="Arial"/>
          <w:b/>
          <w:sz w:val="20"/>
        </w:rPr>
      </w:pPr>
      <w:r w:rsidRPr="00FE0AD0">
        <w:rPr>
          <w:rFonts w:cs="Arial"/>
          <w:b/>
          <w:sz w:val="20"/>
        </w:rPr>
        <w:t>See Appendix 8</w:t>
      </w:r>
    </w:p>
    <w:p w:rsidR="00AE1D84" w:rsidRPr="00E873CB"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3524E" w:rsidTr="0019184D">
        <w:trPr>
          <w:cantSplit/>
          <w:tblHeader/>
        </w:trPr>
        <w:tc>
          <w:tcPr>
            <w:tcW w:w="3510" w:type="dxa"/>
            <w:tcBorders>
              <w:bottom w:val="single" w:sz="4" w:space="0" w:color="auto"/>
            </w:tcBorders>
          </w:tcPr>
          <w:p w:rsidR="00C3524E" w:rsidRPr="00EE2020" w:rsidRDefault="00C3524E" w:rsidP="008B34DD">
            <w:pPr>
              <w:tabs>
                <w:tab w:val="left" w:pos="180"/>
              </w:tabs>
              <w:jc w:val="center"/>
              <w:rPr>
                <w:b/>
                <w:sz w:val="20"/>
              </w:rPr>
            </w:pPr>
            <w:r w:rsidRPr="00EE2020">
              <w:rPr>
                <w:b/>
                <w:sz w:val="20"/>
              </w:rPr>
              <w:t>Stack &amp; Vent ID</w:t>
            </w:r>
          </w:p>
        </w:tc>
        <w:tc>
          <w:tcPr>
            <w:tcW w:w="1710" w:type="dxa"/>
            <w:tcBorders>
              <w:bottom w:val="single" w:sz="4" w:space="0" w:color="auto"/>
            </w:tcBorders>
          </w:tcPr>
          <w:p w:rsidR="00C3524E" w:rsidRPr="00BD3DE3" w:rsidRDefault="00C3524E" w:rsidP="0019184D">
            <w:pPr>
              <w:jc w:val="center"/>
              <w:rPr>
                <w:b/>
                <w:sz w:val="20"/>
              </w:rPr>
            </w:pPr>
            <w:r w:rsidRPr="00BD3DE3">
              <w:rPr>
                <w:b/>
                <w:sz w:val="20"/>
              </w:rPr>
              <w:t xml:space="preserve">Maximum </w:t>
            </w:r>
            <w:r>
              <w:rPr>
                <w:b/>
                <w:sz w:val="20"/>
              </w:rPr>
              <w:t>Exhaust Dimensions</w:t>
            </w:r>
          </w:p>
          <w:p w:rsidR="00C3524E" w:rsidRPr="00BD3DE3" w:rsidRDefault="00C3524E" w:rsidP="0019184D">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C3524E" w:rsidRPr="00BD3DE3" w:rsidRDefault="00C3524E" w:rsidP="0019184D">
            <w:pPr>
              <w:jc w:val="center"/>
              <w:rPr>
                <w:b/>
                <w:sz w:val="20"/>
              </w:rPr>
            </w:pPr>
            <w:r w:rsidRPr="00BD3DE3">
              <w:rPr>
                <w:b/>
                <w:sz w:val="20"/>
              </w:rPr>
              <w:t>M</w:t>
            </w:r>
            <w:r>
              <w:rPr>
                <w:b/>
                <w:sz w:val="20"/>
              </w:rPr>
              <w:t>inimum Height Above Ground</w:t>
            </w:r>
          </w:p>
          <w:p w:rsidR="00C3524E" w:rsidRPr="00BD3DE3" w:rsidRDefault="00C3524E" w:rsidP="0019184D">
            <w:pPr>
              <w:jc w:val="center"/>
              <w:rPr>
                <w:b/>
                <w:sz w:val="20"/>
              </w:rPr>
            </w:pPr>
            <w:r w:rsidRPr="00BD3DE3">
              <w:rPr>
                <w:b/>
                <w:sz w:val="20"/>
              </w:rPr>
              <w:t>(feet)</w:t>
            </w:r>
          </w:p>
        </w:tc>
        <w:tc>
          <w:tcPr>
            <w:tcW w:w="3240" w:type="dxa"/>
            <w:tcBorders>
              <w:bottom w:val="single" w:sz="4" w:space="0" w:color="auto"/>
            </w:tcBorders>
          </w:tcPr>
          <w:p w:rsidR="00C3524E" w:rsidRPr="00BD3DE3" w:rsidRDefault="00C3524E" w:rsidP="0019184D">
            <w:pPr>
              <w:jc w:val="center"/>
              <w:rPr>
                <w:b/>
                <w:sz w:val="20"/>
              </w:rPr>
            </w:pPr>
            <w:r w:rsidRPr="00BD3DE3">
              <w:rPr>
                <w:b/>
                <w:sz w:val="20"/>
              </w:rPr>
              <w:t>Underlying Applicable Requirements</w:t>
            </w:r>
          </w:p>
          <w:p w:rsidR="00C3524E" w:rsidRPr="00BD3DE3" w:rsidRDefault="00C3524E" w:rsidP="0019184D">
            <w:pPr>
              <w:jc w:val="center"/>
              <w:rPr>
                <w:b/>
                <w:sz w:val="20"/>
              </w:rPr>
            </w:pPr>
          </w:p>
        </w:tc>
      </w:tr>
      <w:tr w:rsidR="00C3524E" w:rsidTr="0019184D">
        <w:trPr>
          <w:cantSplit/>
        </w:trPr>
        <w:tc>
          <w:tcPr>
            <w:tcW w:w="3510" w:type="dxa"/>
            <w:tcBorders>
              <w:top w:val="single" w:sz="4" w:space="0" w:color="auto"/>
              <w:bottom w:val="single" w:sz="4" w:space="0" w:color="auto"/>
            </w:tcBorders>
          </w:tcPr>
          <w:p w:rsidR="00C3524E" w:rsidRPr="00EE2020" w:rsidRDefault="00EE2020" w:rsidP="00EE2020">
            <w:pPr>
              <w:jc w:val="both"/>
              <w:rPr>
                <w:sz w:val="20"/>
              </w:rPr>
            </w:pPr>
            <w:r w:rsidRPr="00EE2020">
              <w:rPr>
                <w:sz w:val="20"/>
              </w:rPr>
              <w:t xml:space="preserve">1.  </w:t>
            </w:r>
            <w:r w:rsidR="00C3524E" w:rsidRPr="00EE2020">
              <w:rPr>
                <w:sz w:val="20"/>
              </w:rPr>
              <w:t>SV1-SPU</w:t>
            </w:r>
          </w:p>
        </w:tc>
        <w:tc>
          <w:tcPr>
            <w:tcW w:w="1710" w:type="dxa"/>
            <w:tcBorders>
              <w:top w:val="single" w:sz="4" w:space="0" w:color="auto"/>
              <w:bottom w:val="single" w:sz="4" w:space="0" w:color="auto"/>
            </w:tcBorders>
          </w:tcPr>
          <w:p w:rsidR="00C3524E" w:rsidRPr="00B20111" w:rsidRDefault="00C3524E" w:rsidP="0019184D">
            <w:pPr>
              <w:jc w:val="center"/>
              <w:rPr>
                <w:rFonts w:cs="Arial"/>
                <w:sz w:val="20"/>
              </w:rPr>
            </w:pPr>
            <w:r>
              <w:rPr>
                <w:sz w:val="20"/>
              </w:rPr>
              <w:t>8</w:t>
            </w:r>
            <w:r>
              <w:rPr>
                <w:rFonts w:cs="Arial"/>
                <w:sz w:val="20"/>
                <w:vertAlign w:val="superscript"/>
              </w:rPr>
              <w:t>2</w:t>
            </w:r>
          </w:p>
        </w:tc>
        <w:tc>
          <w:tcPr>
            <w:tcW w:w="1800" w:type="dxa"/>
            <w:tcBorders>
              <w:top w:val="single" w:sz="4" w:space="0" w:color="auto"/>
              <w:bottom w:val="single" w:sz="4" w:space="0" w:color="auto"/>
            </w:tcBorders>
          </w:tcPr>
          <w:p w:rsidR="00C3524E" w:rsidRPr="00B20111" w:rsidRDefault="00C3524E" w:rsidP="0019184D">
            <w:pPr>
              <w:jc w:val="center"/>
              <w:rPr>
                <w:rFonts w:cs="Arial"/>
                <w:sz w:val="20"/>
              </w:rPr>
            </w:pPr>
            <w:r>
              <w:rPr>
                <w:sz w:val="20"/>
              </w:rPr>
              <w:t>35</w:t>
            </w:r>
            <w:r>
              <w:rPr>
                <w:rFonts w:cs="Arial"/>
                <w:sz w:val="20"/>
                <w:vertAlign w:val="superscript"/>
              </w:rPr>
              <w:t>2</w:t>
            </w:r>
          </w:p>
        </w:tc>
        <w:tc>
          <w:tcPr>
            <w:tcW w:w="3240" w:type="dxa"/>
            <w:tcBorders>
              <w:top w:val="single" w:sz="4" w:space="0" w:color="auto"/>
              <w:bottom w:val="single" w:sz="4" w:space="0" w:color="auto"/>
            </w:tcBorders>
          </w:tcPr>
          <w:p w:rsidR="00C3524E" w:rsidRPr="00F71970" w:rsidRDefault="00C3524E" w:rsidP="0019184D">
            <w:pPr>
              <w:jc w:val="center"/>
              <w:rPr>
                <w:b/>
                <w:sz w:val="20"/>
              </w:rPr>
            </w:pPr>
            <w:r>
              <w:rPr>
                <w:b/>
                <w:sz w:val="20"/>
              </w:rPr>
              <w:t>R 336.1201(3)</w:t>
            </w:r>
          </w:p>
        </w:tc>
      </w:tr>
      <w:tr w:rsidR="00C3524E" w:rsidTr="0019184D">
        <w:trPr>
          <w:cantSplit/>
        </w:trPr>
        <w:tc>
          <w:tcPr>
            <w:tcW w:w="3510" w:type="dxa"/>
            <w:tcBorders>
              <w:top w:val="single" w:sz="4" w:space="0" w:color="auto"/>
            </w:tcBorders>
          </w:tcPr>
          <w:p w:rsidR="00C3524E" w:rsidRPr="00EE2020" w:rsidRDefault="00EE2020" w:rsidP="00EE2020">
            <w:pPr>
              <w:jc w:val="both"/>
              <w:rPr>
                <w:sz w:val="20"/>
              </w:rPr>
            </w:pPr>
            <w:r w:rsidRPr="00EE2020">
              <w:rPr>
                <w:sz w:val="20"/>
              </w:rPr>
              <w:t xml:space="preserve">2.  </w:t>
            </w:r>
            <w:r w:rsidR="00C3524E" w:rsidRPr="00EE2020">
              <w:rPr>
                <w:sz w:val="20"/>
              </w:rPr>
              <w:t>SV2-SPU</w:t>
            </w:r>
          </w:p>
        </w:tc>
        <w:tc>
          <w:tcPr>
            <w:tcW w:w="1710" w:type="dxa"/>
            <w:tcBorders>
              <w:top w:val="single" w:sz="4" w:space="0" w:color="auto"/>
            </w:tcBorders>
          </w:tcPr>
          <w:p w:rsidR="00C3524E" w:rsidRPr="00B20111" w:rsidRDefault="00C3524E" w:rsidP="0019184D">
            <w:pPr>
              <w:jc w:val="center"/>
              <w:rPr>
                <w:rFonts w:cs="Arial"/>
                <w:sz w:val="20"/>
              </w:rPr>
            </w:pPr>
            <w:r>
              <w:rPr>
                <w:sz w:val="20"/>
              </w:rPr>
              <w:t>8</w:t>
            </w:r>
            <w:r>
              <w:rPr>
                <w:rFonts w:cs="Arial"/>
                <w:sz w:val="20"/>
                <w:vertAlign w:val="superscript"/>
              </w:rPr>
              <w:t>2</w:t>
            </w:r>
          </w:p>
        </w:tc>
        <w:tc>
          <w:tcPr>
            <w:tcW w:w="1800" w:type="dxa"/>
            <w:tcBorders>
              <w:top w:val="single" w:sz="4" w:space="0" w:color="auto"/>
            </w:tcBorders>
          </w:tcPr>
          <w:p w:rsidR="00C3524E" w:rsidRPr="00B20111" w:rsidRDefault="00C3524E" w:rsidP="0019184D">
            <w:pPr>
              <w:jc w:val="center"/>
              <w:rPr>
                <w:rFonts w:cs="Arial"/>
                <w:sz w:val="20"/>
              </w:rPr>
            </w:pPr>
            <w:r>
              <w:rPr>
                <w:sz w:val="20"/>
              </w:rPr>
              <w:t>35</w:t>
            </w:r>
            <w:r>
              <w:rPr>
                <w:rFonts w:cs="Arial"/>
                <w:sz w:val="20"/>
                <w:vertAlign w:val="superscript"/>
              </w:rPr>
              <w:t>2</w:t>
            </w:r>
          </w:p>
        </w:tc>
        <w:tc>
          <w:tcPr>
            <w:tcW w:w="3240" w:type="dxa"/>
            <w:tcBorders>
              <w:top w:val="single" w:sz="4" w:space="0" w:color="auto"/>
            </w:tcBorders>
          </w:tcPr>
          <w:p w:rsidR="00C3524E" w:rsidRDefault="00C3524E" w:rsidP="0019184D">
            <w:pPr>
              <w:jc w:val="center"/>
              <w:rPr>
                <w:b/>
                <w:sz w:val="20"/>
              </w:rPr>
            </w:pPr>
            <w:r>
              <w:rPr>
                <w:b/>
                <w:sz w:val="20"/>
              </w:rPr>
              <w:t>R 336.1201(3)</w:t>
            </w:r>
          </w:p>
        </w:tc>
      </w:tr>
    </w:tbl>
    <w:p w:rsidR="00AE1D84" w:rsidRDefault="00AE1D84" w:rsidP="00F62984">
      <w:pPr>
        <w:jc w:val="both"/>
        <w:rPr>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C3524E" w:rsidRPr="00CC310A" w:rsidRDefault="00C3524E" w:rsidP="0043663A">
      <w:pPr>
        <w:numPr>
          <w:ilvl w:val="0"/>
          <w:numId w:val="48"/>
        </w:numPr>
        <w:tabs>
          <w:tab w:val="left" w:pos="360"/>
        </w:tabs>
        <w:overflowPunct w:val="0"/>
        <w:autoSpaceDE w:val="0"/>
        <w:autoSpaceDN w:val="0"/>
        <w:adjustRightInd w:val="0"/>
        <w:jc w:val="both"/>
        <w:textAlignment w:val="baseline"/>
        <w:rPr>
          <w:rFonts w:cs="Arial"/>
          <w:bCs/>
          <w:sz w:val="20"/>
        </w:rPr>
      </w:pPr>
      <w:r>
        <w:rPr>
          <w:rFonts w:cs="Arial"/>
          <w:sz w:val="20"/>
        </w:rPr>
        <w:t>The p</w:t>
      </w:r>
      <w:r w:rsidRPr="00B20111">
        <w:rPr>
          <w:rFonts w:cs="Arial"/>
          <w:sz w:val="20"/>
        </w:rPr>
        <w:t xml:space="preserve">ermittee shall maintain on site and implement a </w:t>
      </w:r>
      <w:r>
        <w:rPr>
          <w:rFonts w:cs="Arial"/>
          <w:sz w:val="20"/>
        </w:rPr>
        <w:t>Pr</w:t>
      </w:r>
      <w:r w:rsidRPr="00B20111">
        <w:rPr>
          <w:rFonts w:cs="Arial"/>
          <w:sz w:val="20"/>
        </w:rPr>
        <w:t xml:space="preserve">eventative </w:t>
      </w:r>
      <w:r>
        <w:rPr>
          <w:rFonts w:cs="Arial"/>
          <w:sz w:val="20"/>
        </w:rPr>
        <w:t>M</w:t>
      </w:r>
      <w:r w:rsidRPr="00B20111">
        <w:rPr>
          <w:rFonts w:cs="Arial"/>
          <w:sz w:val="20"/>
        </w:rPr>
        <w:t xml:space="preserve">aintenance </w:t>
      </w:r>
      <w:r>
        <w:rPr>
          <w:rFonts w:cs="Arial"/>
          <w:sz w:val="20"/>
        </w:rPr>
        <w:t>P</w:t>
      </w:r>
      <w:r w:rsidRPr="00B20111">
        <w:rPr>
          <w:rFonts w:cs="Arial"/>
          <w:sz w:val="20"/>
        </w:rPr>
        <w:t xml:space="preserve">lan (PMP) that ensures EUSPU3 can operate in compliance with the above emission limits. </w:t>
      </w:r>
      <w:r w:rsidRPr="00B20111">
        <w:rPr>
          <w:rFonts w:cs="Arial"/>
          <w:sz w:val="20"/>
        </w:rPr>
        <w:tab/>
      </w:r>
      <w:r w:rsidRPr="00B20111">
        <w:rPr>
          <w:rFonts w:cs="Arial"/>
          <w:b/>
          <w:bCs/>
          <w:sz w:val="20"/>
        </w:rPr>
        <w:t>(R 336.1213(3)(a))</w:t>
      </w:r>
    </w:p>
    <w:p w:rsidR="00C3524E" w:rsidRPr="00CC310A" w:rsidRDefault="00C3524E" w:rsidP="00C3524E">
      <w:pPr>
        <w:tabs>
          <w:tab w:val="left" w:pos="360"/>
        </w:tabs>
        <w:overflowPunct w:val="0"/>
        <w:autoSpaceDE w:val="0"/>
        <w:autoSpaceDN w:val="0"/>
        <w:adjustRightInd w:val="0"/>
        <w:textAlignment w:val="baseline"/>
        <w:rPr>
          <w:rFonts w:cs="Arial"/>
          <w:bCs/>
          <w:sz w:val="20"/>
        </w:rPr>
      </w:pPr>
    </w:p>
    <w:p w:rsidR="00AE1D84" w:rsidRPr="00C3524E" w:rsidRDefault="00C3524E" w:rsidP="0043663A">
      <w:pPr>
        <w:numPr>
          <w:ilvl w:val="0"/>
          <w:numId w:val="48"/>
        </w:numPr>
        <w:overflowPunct w:val="0"/>
        <w:autoSpaceDE w:val="0"/>
        <w:autoSpaceDN w:val="0"/>
        <w:adjustRightInd w:val="0"/>
        <w:jc w:val="both"/>
        <w:textAlignment w:val="baseline"/>
        <w:rPr>
          <w:b/>
          <w:sz w:val="20"/>
        </w:rPr>
      </w:pPr>
      <w:r w:rsidRPr="00CC310A">
        <w:rPr>
          <w:bCs/>
          <w:sz w:val="20"/>
        </w:rPr>
        <w:t>The permittee shall comply with all applicable provisions of the National Emission Standards for Hazardous Air Pollutants, as specified in 40 CFR Part 63, Subpart A and Subpart ZZZZ, for Stationary Reciprocating Internal Combustion Engines</w:t>
      </w:r>
      <w:r>
        <w:rPr>
          <w:bCs/>
          <w:sz w:val="20"/>
        </w:rPr>
        <w:t xml:space="preserve">.  </w:t>
      </w:r>
      <w:r w:rsidRPr="00CC310A">
        <w:rPr>
          <w:b/>
          <w:bCs/>
          <w:sz w:val="20"/>
        </w:rPr>
        <w:t>(40 CFR 63.6595(a)(1), 40 CFR Part 63, Subparts A and ZZZZ)</w:t>
      </w:r>
    </w:p>
    <w:p w:rsidR="00AE1D84" w:rsidRDefault="00AE1D84" w:rsidP="00F62984">
      <w:pPr>
        <w:jc w:val="both"/>
        <w:rPr>
          <w:sz w:val="20"/>
        </w:rPr>
      </w:pPr>
    </w:p>
    <w:p w:rsidR="000662AD" w:rsidRPr="00FE0AD0" w:rsidRDefault="000662AD"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C69F6" w:rsidRPr="004B4509" w:rsidRDefault="004C69F6" w:rsidP="004B4509">
      <w:pPr>
        <w:rPr>
          <w:sz w:val="20"/>
        </w:rPr>
      </w:pPr>
    </w:p>
    <w:p w:rsidR="00E14632" w:rsidRPr="00FE0AD0" w:rsidRDefault="00E14632" w:rsidP="00E14632">
      <w:pPr>
        <w:rPr>
          <w:sz w:val="20"/>
        </w:rPr>
      </w:pPr>
    </w:p>
    <w:p w:rsidR="00A86D8D" w:rsidRPr="007014BE" w:rsidRDefault="00E14632" w:rsidP="007014BE">
      <w:pPr>
        <w:rPr>
          <w:szCs w:val="22"/>
        </w:rPr>
      </w:pPr>
      <w:r>
        <w:br w:type="page"/>
      </w:r>
    </w:p>
    <w:p w:rsidR="0034744B" w:rsidRPr="00440957" w:rsidRDefault="0034744B" w:rsidP="00393A6F">
      <w:pPr>
        <w:pStyle w:val="Heading1"/>
        <w:rPr>
          <w:sz w:val="20"/>
          <w:szCs w:val="20"/>
        </w:rPr>
      </w:pPr>
      <w:bookmarkStart w:id="77" w:name="_Toc11742146"/>
      <w:r w:rsidRPr="00393A6F">
        <w:lastRenderedPageBreak/>
        <w:t xml:space="preserve">D.  FLEXIBLE GROUP </w:t>
      </w:r>
      <w:bookmarkEnd w:id="66"/>
      <w:r w:rsidR="00494D15">
        <w:t xml:space="preserve">SPECIAL </w:t>
      </w:r>
      <w:r w:rsidR="00456F47" w:rsidRPr="00393A6F">
        <w:t>CONDITIONS</w:t>
      </w:r>
      <w:bookmarkEnd w:id="77"/>
    </w:p>
    <w:p w:rsidR="0034744B" w:rsidRPr="008E1254" w:rsidRDefault="0034744B" w:rsidP="00991194">
      <w:pPr>
        <w:jc w:val="center"/>
        <w:rPr>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Pr="002B5ED5" w:rsidRDefault="0034744B" w:rsidP="001F649E">
      <w:pPr>
        <w:pStyle w:val="Heading2"/>
        <w:numPr>
          <w:ilvl w:val="0"/>
          <w:numId w:val="0"/>
        </w:numPr>
        <w:rPr>
          <w:bCs/>
          <w:sz w:val="22"/>
          <w:szCs w:val="22"/>
        </w:rPr>
      </w:pPr>
      <w:bookmarkStart w:id="78" w:name="_Toc2571646"/>
      <w:bookmarkStart w:id="79" w:name="_Toc11742147"/>
      <w:r w:rsidRPr="002B5ED5">
        <w:rPr>
          <w:bCs/>
          <w:sz w:val="22"/>
          <w:szCs w:val="22"/>
        </w:rPr>
        <w:t>FLEXIBLE GROUP SUMMARY TABLE</w:t>
      </w:r>
      <w:bookmarkEnd w:id="78"/>
      <w:bookmarkEnd w:id="79"/>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C510FB" w:rsidTr="0019184D">
        <w:trPr>
          <w:cantSplit/>
          <w:tblHeader/>
        </w:trPr>
        <w:tc>
          <w:tcPr>
            <w:tcW w:w="2340" w:type="dxa"/>
            <w:tcBorders>
              <w:top w:val="double" w:sz="6" w:space="0" w:color="auto"/>
              <w:bottom w:val="double" w:sz="4" w:space="0" w:color="auto"/>
            </w:tcBorders>
            <w:shd w:val="pct10" w:color="auto" w:fill="auto"/>
          </w:tcPr>
          <w:p w:rsidR="00C510FB" w:rsidRPr="006D3561" w:rsidRDefault="00C510FB" w:rsidP="0019184D">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C510FB" w:rsidRPr="006D3561" w:rsidRDefault="00C510FB" w:rsidP="0019184D">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C510FB" w:rsidRPr="006D3561" w:rsidRDefault="00C510FB" w:rsidP="0019184D">
            <w:pPr>
              <w:jc w:val="center"/>
              <w:rPr>
                <w:rFonts w:cs="Arial"/>
                <w:b/>
                <w:sz w:val="20"/>
              </w:rPr>
            </w:pPr>
            <w:r w:rsidRPr="006D3561">
              <w:rPr>
                <w:rFonts w:cs="Arial"/>
                <w:b/>
                <w:sz w:val="20"/>
              </w:rPr>
              <w:t>Associated</w:t>
            </w:r>
          </w:p>
          <w:p w:rsidR="00C510FB" w:rsidRPr="006D3561" w:rsidRDefault="00C510FB" w:rsidP="0019184D">
            <w:pPr>
              <w:jc w:val="center"/>
              <w:rPr>
                <w:rFonts w:cs="Arial"/>
                <w:b/>
                <w:sz w:val="20"/>
              </w:rPr>
            </w:pPr>
            <w:r w:rsidRPr="006D3561">
              <w:rPr>
                <w:rFonts w:cs="Arial"/>
                <w:b/>
                <w:sz w:val="20"/>
              </w:rPr>
              <w:t>Emission Unit IDs</w:t>
            </w:r>
          </w:p>
        </w:tc>
      </w:tr>
      <w:tr w:rsidR="00C510FB" w:rsidTr="0019184D">
        <w:trPr>
          <w:cantSplit/>
        </w:trPr>
        <w:tc>
          <w:tcPr>
            <w:tcW w:w="2340" w:type="dxa"/>
            <w:tcBorders>
              <w:top w:val="nil"/>
              <w:bottom w:val="nil"/>
            </w:tcBorders>
          </w:tcPr>
          <w:p w:rsidR="00C510FB" w:rsidRPr="001B5E34" w:rsidRDefault="00C510FB" w:rsidP="0019184D">
            <w:pPr>
              <w:rPr>
                <w:rFonts w:cs="Arial"/>
                <w:sz w:val="20"/>
              </w:rPr>
            </w:pPr>
            <w:r>
              <w:rPr>
                <w:rFonts w:cs="Arial"/>
                <w:sz w:val="20"/>
              </w:rPr>
              <w:t>FGTURBINES</w:t>
            </w:r>
          </w:p>
        </w:tc>
        <w:tc>
          <w:tcPr>
            <w:tcW w:w="5130" w:type="dxa"/>
            <w:tcBorders>
              <w:top w:val="nil"/>
              <w:bottom w:val="nil"/>
            </w:tcBorders>
          </w:tcPr>
          <w:p w:rsidR="00C510FB" w:rsidRPr="001B5E34" w:rsidRDefault="00C510FB" w:rsidP="00EE2020">
            <w:pPr>
              <w:jc w:val="both"/>
              <w:rPr>
                <w:rFonts w:cs="Arial"/>
                <w:sz w:val="20"/>
              </w:rPr>
            </w:pPr>
            <w:r>
              <w:rPr>
                <w:rFonts w:cs="Arial"/>
                <w:sz w:val="20"/>
              </w:rPr>
              <w:t>Two (2) Solar MARS 100 natural gas fired turbine driver Solar C65 compressors, rated at 15,000</w:t>
            </w:r>
            <w:r w:rsidR="00DB31AA">
              <w:rPr>
                <w:rFonts w:cs="Arial"/>
                <w:sz w:val="20"/>
              </w:rPr>
              <w:t xml:space="preserve"> (ISO)</w:t>
            </w:r>
            <w:r>
              <w:rPr>
                <w:rFonts w:cs="Arial"/>
                <w:sz w:val="20"/>
              </w:rPr>
              <w:t xml:space="preserve"> horsepower each. Each turbine is equipped with dry low NOx emission control. </w:t>
            </w:r>
          </w:p>
        </w:tc>
        <w:tc>
          <w:tcPr>
            <w:tcW w:w="2700" w:type="dxa"/>
            <w:tcBorders>
              <w:top w:val="nil"/>
              <w:bottom w:val="nil"/>
            </w:tcBorders>
          </w:tcPr>
          <w:p w:rsidR="00C510FB" w:rsidRPr="001B5E34" w:rsidRDefault="00C510FB" w:rsidP="0019184D">
            <w:pPr>
              <w:jc w:val="center"/>
              <w:rPr>
                <w:rFonts w:cs="Arial"/>
                <w:sz w:val="20"/>
              </w:rPr>
            </w:pPr>
            <w:r>
              <w:rPr>
                <w:rFonts w:cs="Arial"/>
                <w:sz w:val="20"/>
              </w:rPr>
              <w:t>EUTURBINE1 and EUTURBINE2</w:t>
            </w:r>
          </w:p>
        </w:tc>
      </w:tr>
      <w:tr w:rsidR="00C510FB" w:rsidTr="0019184D">
        <w:trPr>
          <w:cantSplit/>
        </w:trPr>
        <w:tc>
          <w:tcPr>
            <w:tcW w:w="2340" w:type="dxa"/>
          </w:tcPr>
          <w:p w:rsidR="00C510FB" w:rsidRPr="001B5E34" w:rsidRDefault="00C510FB" w:rsidP="0019184D">
            <w:pPr>
              <w:rPr>
                <w:rFonts w:cs="Arial"/>
                <w:sz w:val="20"/>
              </w:rPr>
            </w:pPr>
            <w:r>
              <w:rPr>
                <w:rFonts w:cs="Arial"/>
                <w:sz w:val="20"/>
              </w:rPr>
              <w:t>FGRULE285</w:t>
            </w:r>
            <w:r w:rsidR="008168DB">
              <w:rPr>
                <w:rFonts w:cs="Arial"/>
                <w:sz w:val="20"/>
              </w:rPr>
              <w:t>(2)</w:t>
            </w:r>
            <w:r>
              <w:rPr>
                <w:rFonts w:cs="Arial"/>
                <w:sz w:val="20"/>
              </w:rPr>
              <w:t>(mm)</w:t>
            </w:r>
          </w:p>
        </w:tc>
        <w:tc>
          <w:tcPr>
            <w:tcW w:w="5130" w:type="dxa"/>
          </w:tcPr>
          <w:p w:rsidR="00C510FB" w:rsidRPr="001B5E34" w:rsidRDefault="00C510FB" w:rsidP="00EE2020">
            <w:pPr>
              <w:jc w:val="both"/>
              <w:rPr>
                <w:rFonts w:cs="Arial"/>
                <w:sz w:val="20"/>
              </w:rPr>
            </w:pPr>
            <w:r>
              <w:rPr>
                <w:rFonts w:cs="Arial"/>
                <w:sz w:val="20"/>
              </w:rPr>
              <w:t>Any emission unit that emit air contaminants and is exempt from the requirements of Rule 201 pursuant to Rules 278 and 285</w:t>
            </w:r>
            <w:r w:rsidR="008168DB">
              <w:rPr>
                <w:rFonts w:cs="Arial"/>
                <w:sz w:val="20"/>
              </w:rPr>
              <w:t>(2)</w:t>
            </w:r>
            <w:r>
              <w:rPr>
                <w:rFonts w:cs="Arial"/>
                <w:sz w:val="20"/>
              </w:rPr>
              <w:t>(mm)</w:t>
            </w:r>
          </w:p>
        </w:tc>
        <w:tc>
          <w:tcPr>
            <w:tcW w:w="2700" w:type="dxa"/>
          </w:tcPr>
          <w:p w:rsidR="00C510FB" w:rsidRPr="001B5E34" w:rsidRDefault="00C510FB" w:rsidP="0019184D">
            <w:pPr>
              <w:jc w:val="center"/>
              <w:rPr>
                <w:rFonts w:cs="Arial"/>
                <w:sz w:val="20"/>
              </w:rPr>
            </w:pPr>
            <w:r>
              <w:rPr>
                <w:rFonts w:cs="Arial"/>
                <w:sz w:val="20"/>
              </w:rPr>
              <w:t>EURULE285</w:t>
            </w:r>
            <w:r w:rsidR="008168DB">
              <w:rPr>
                <w:rFonts w:cs="Arial"/>
                <w:sz w:val="20"/>
              </w:rPr>
              <w:t>(2)</w:t>
            </w:r>
            <w:r>
              <w:rPr>
                <w:rFonts w:cs="Arial"/>
                <w:sz w:val="20"/>
              </w:rPr>
              <w:t>(mm)</w:t>
            </w:r>
          </w:p>
        </w:tc>
      </w:tr>
    </w:tbl>
    <w:p w:rsidR="00E735E6" w:rsidRDefault="00E735E6" w:rsidP="008427BE">
      <w:pPr>
        <w:jc w:val="both"/>
        <w:rPr>
          <w:sz w:val="20"/>
        </w:rPr>
      </w:pPr>
    </w:p>
    <w:p w:rsidR="00AE1D84" w:rsidRDefault="00AE1D84" w:rsidP="008427BE">
      <w:pPr>
        <w:jc w:val="both"/>
        <w:rPr>
          <w:sz w:val="20"/>
        </w:rPr>
      </w:pPr>
      <w:r>
        <w:rPr>
          <w:sz w:val="20"/>
        </w:rPr>
        <w:br w:type="page"/>
      </w:r>
    </w:p>
    <w:p w:rsidR="00AE1D84" w:rsidRPr="00C510FB"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30315082"/>
      <w:bookmarkStart w:id="81" w:name="_Toc11742148"/>
      <w:r w:rsidRPr="00347387">
        <w:rPr>
          <w:bCs/>
          <w:iCs/>
          <w:szCs w:val="28"/>
        </w:rPr>
        <w:lastRenderedPageBreak/>
        <w:t>FG</w:t>
      </w:r>
      <w:bookmarkEnd w:id="80"/>
      <w:r w:rsidR="00C510FB">
        <w:rPr>
          <w:bCs/>
          <w:iCs/>
          <w:szCs w:val="28"/>
        </w:rPr>
        <w:t>TURBINES</w:t>
      </w:r>
      <w:bookmarkEnd w:id="81"/>
      <w:r w:rsidR="00C510FB">
        <w:rPr>
          <w:bCs/>
          <w:iCs/>
          <w:szCs w:val="28"/>
        </w:rPr>
        <w:t xml:space="preserve"> </w:t>
      </w:r>
    </w:p>
    <w:p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AE1D84" w:rsidRPr="00F30023" w:rsidRDefault="00AE1D84" w:rsidP="00F62984">
      <w:pPr>
        <w:rPr>
          <w:sz w:val="20"/>
        </w:rPr>
      </w:pPr>
    </w:p>
    <w:p w:rsidR="00AE1D84" w:rsidRDefault="00AE1D84" w:rsidP="00F62984">
      <w:pPr>
        <w:jc w:val="both"/>
        <w:rPr>
          <w:b/>
          <w:u w:val="single"/>
        </w:rPr>
      </w:pPr>
      <w:r>
        <w:rPr>
          <w:b/>
          <w:u w:val="single"/>
        </w:rPr>
        <w:t>DESCRIPTION</w:t>
      </w:r>
    </w:p>
    <w:p w:rsidR="00AE1D84" w:rsidRPr="00C3424D" w:rsidRDefault="00AE1D84" w:rsidP="00F62984">
      <w:pPr>
        <w:jc w:val="both"/>
        <w:rPr>
          <w:sz w:val="20"/>
        </w:rPr>
      </w:pPr>
    </w:p>
    <w:p w:rsidR="00C510FB" w:rsidRDefault="00C510FB" w:rsidP="00C510FB">
      <w:pPr>
        <w:jc w:val="both"/>
        <w:rPr>
          <w:b/>
          <w:sz w:val="20"/>
        </w:rPr>
      </w:pPr>
      <w:r>
        <w:rPr>
          <w:rFonts w:cs="Arial"/>
          <w:sz w:val="20"/>
        </w:rPr>
        <w:t xml:space="preserve">Two (2) Solar MARS 100 natural gas fired turbine driver Solar C65 compressors, rated at 15,000 </w:t>
      </w:r>
      <w:r w:rsidR="00DB31AA">
        <w:rPr>
          <w:rFonts w:cs="Arial"/>
          <w:sz w:val="20"/>
        </w:rPr>
        <w:t xml:space="preserve">(ISO) </w:t>
      </w:r>
      <w:r>
        <w:rPr>
          <w:rFonts w:cs="Arial"/>
          <w:sz w:val="20"/>
        </w:rPr>
        <w:t>horsepower each. Each turbine is equipped with dry low NOx emission control.</w:t>
      </w:r>
    </w:p>
    <w:p w:rsidR="00C510FB" w:rsidRPr="00FE0AD0" w:rsidRDefault="00C510FB" w:rsidP="00C510FB">
      <w:pPr>
        <w:jc w:val="both"/>
        <w:rPr>
          <w:b/>
          <w:sz w:val="20"/>
        </w:rPr>
      </w:pPr>
    </w:p>
    <w:p w:rsidR="00C510FB" w:rsidRPr="00A86D8D" w:rsidRDefault="00C510FB" w:rsidP="00C510FB">
      <w:pPr>
        <w:jc w:val="both"/>
        <w:rPr>
          <w:sz w:val="20"/>
        </w:rPr>
      </w:pPr>
      <w:r w:rsidRPr="00FE0AD0">
        <w:rPr>
          <w:b/>
          <w:sz w:val="20"/>
        </w:rPr>
        <w:t>Emission Units</w:t>
      </w:r>
      <w:r>
        <w:rPr>
          <w:b/>
          <w:sz w:val="20"/>
        </w:rPr>
        <w:t>:</w:t>
      </w:r>
      <w:r>
        <w:rPr>
          <w:sz w:val="20"/>
        </w:rPr>
        <w:t xml:space="preserve">  EUTURBINE1, EUTURBINE2</w:t>
      </w:r>
    </w:p>
    <w:p w:rsidR="00AE1D84" w:rsidRPr="00F30023" w:rsidRDefault="00AE1D84" w:rsidP="00F62984">
      <w:pPr>
        <w:jc w:val="both"/>
        <w:rPr>
          <w:sz w:val="20"/>
        </w:rPr>
      </w:pPr>
    </w:p>
    <w:p w:rsidR="00AE1D84" w:rsidRDefault="00AE1D84" w:rsidP="00F62984">
      <w:pPr>
        <w:jc w:val="both"/>
        <w:rPr>
          <w:b/>
          <w:u w:val="single"/>
        </w:rPr>
      </w:pPr>
      <w:r>
        <w:rPr>
          <w:b/>
          <w:u w:val="single"/>
        </w:rPr>
        <w:t>POLLUTION CONTROL EQUIPMENT</w:t>
      </w:r>
    </w:p>
    <w:p w:rsidR="00AE1D84" w:rsidRPr="0074351C" w:rsidRDefault="00AE1D84" w:rsidP="00F62984">
      <w:pPr>
        <w:jc w:val="both"/>
      </w:pPr>
    </w:p>
    <w:p w:rsidR="00C510FB" w:rsidRDefault="00C510FB" w:rsidP="00C510FB">
      <w:pPr>
        <w:jc w:val="both"/>
        <w:rPr>
          <w:sz w:val="20"/>
        </w:rPr>
      </w:pPr>
      <w:r>
        <w:rPr>
          <w:sz w:val="20"/>
        </w:rPr>
        <w:t>Low NOx Burners</w:t>
      </w:r>
    </w:p>
    <w:p w:rsidR="00AE1D84" w:rsidRPr="008B5C27" w:rsidRDefault="00AE1D84" w:rsidP="00F62984">
      <w:pPr>
        <w:rPr>
          <w:sz w:val="20"/>
        </w:rPr>
      </w:pPr>
    </w:p>
    <w:p w:rsidR="00AE1D84" w:rsidRDefault="00AE1D84" w:rsidP="00F62984">
      <w:pPr>
        <w:jc w:val="both"/>
        <w:rPr>
          <w:b/>
          <w:u w:val="single"/>
        </w:rPr>
      </w:pPr>
      <w:r>
        <w:rPr>
          <w:b/>
        </w:rPr>
        <w:t xml:space="preserve">I.  </w:t>
      </w:r>
      <w:r>
        <w:rPr>
          <w:b/>
          <w:u w:val="single"/>
        </w:rPr>
        <w:t>EMISSION LIMIT(S)</w:t>
      </w:r>
    </w:p>
    <w:p w:rsidR="00AE1D84" w:rsidRPr="00FE0AD0" w:rsidRDefault="00AE1D84" w:rsidP="00F62984">
      <w:pPr>
        <w:jc w:val="both"/>
        <w:rPr>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710"/>
        <w:gridCol w:w="1731"/>
        <w:gridCol w:w="1599"/>
        <w:gridCol w:w="1620"/>
        <w:gridCol w:w="1730"/>
      </w:tblGrid>
      <w:tr w:rsidR="009D429E" w:rsidTr="0019184D">
        <w:trPr>
          <w:cantSplit/>
          <w:tblHeader/>
        </w:trPr>
        <w:tc>
          <w:tcPr>
            <w:tcW w:w="1890"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b/>
                <w:sz w:val="20"/>
              </w:rPr>
            </w:pPr>
            <w:r>
              <w:rPr>
                <w:b/>
                <w:sz w:val="20"/>
              </w:rPr>
              <w:t>Pollutant</w:t>
            </w:r>
          </w:p>
        </w:tc>
        <w:tc>
          <w:tcPr>
            <w:tcW w:w="1710"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b/>
                <w:sz w:val="20"/>
              </w:rPr>
            </w:pPr>
            <w:r w:rsidRPr="00BD3DE3">
              <w:rPr>
                <w:b/>
                <w:sz w:val="20"/>
              </w:rPr>
              <w:t>Limit</w:t>
            </w:r>
          </w:p>
        </w:tc>
        <w:tc>
          <w:tcPr>
            <w:tcW w:w="1731" w:type="dxa"/>
            <w:tcBorders>
              <w:top w:val="single" w:sz="4" w:space="0" w:color="auto"/>
              <w:left w:val="single" w:sz="4" w:space="0" w:color="auto"/>
              <w:bottom w:val="single" w:sz="4" w:space="0" w:color="auto"/>
              <w:right w:val="single" w:sz="4" w:space="0" w:color="auto"/>
            </w:tcBorders>
          </w:tcPr>
          <w:p w:rsidR="009D429E" w:rsidRDefault="009D429E" w:rsidP="0019184D">
            <w:pPr>
              <w:jc w:val="center"/>
              <w:rPr>
                <w:b/>
                <w:sz w:val="20"/>
              </w:rPr>
            </w:pPr>
            <w:r>
              <w:rPr>
                <w:b/>
                <w:sz w:val="20"/>
              </w:rPr>
              <w:t>Time Period/ Operating Scenario</w:t>
            </w:r>
          </w:p>
        </w:tc>
        <w:tc>
          <w:tcPr>
            <w:tcW w:w="1599"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9D429E" w:rsidRDefault="009D429E" w:rsidP="0019184D">
            <w:pPr>
              <w:jc w:val="center"/>
              <w:rPr>
                <w:b/>
                <w:sz w:val="20"/>
              </w:rPr>
            </w:pPr>
            <w:r>
              <w:rPr>
                <w:b/>
                <w:sz w:val="20"/>
              </w:rPr>
              <w:t>Monitoring/</w:t>
            </w:r>
          </w:p>
          <w:p w:rsidR="009D429E" w:rsidRPr="00BD3DE3" w:rsidRDefault="009D429E" w:rsidP="0019184D">
            <w:pPr>
              <w:jc w:val="center"/>
              <w:rPr>
                <w:b/>
                <w:sz w:val="20"/>
              </w:rPr>
            </w:pPr>
            <w:r>
              <w:rPr>
                <w:b/>
                <w:sz w:val="20"/>
              </w:rPr>
              <w:t>Testing Method</w:t>
            </w:r>
          </w:p>
        </w:tc>
        <w:tc>
          <w:tcPr>
            <w:tcW w:w="1730"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b/>
                <w:sz w:val="20"/>
              </w:rPr>
            </w:pPr>
            <w:r w:rsidRPr="00BD3DE3">
              <w:rPr>
                <w:b/>
                <w:sz w:val="20"/>
              </w:rPr>
              <w:t>Underlying</w:t>
            </w:r>
            <w:r>
              <w:rPr>
                <w:b/>
                <w:sz w:val="20"/>
              </w:rPr>
              <w:t xml:space="preserve"> </w:t>
            </w:r>
            <w:r w:rsidRPr="00BD3DE3">
              <w:rPr>
                <w:b/>
                <w:sz w:val="20"/>
              </w:rPr>
              <w:t>Applicable Requirements</w:t>
            </w:r>
          </w:p>
        </w:tc>
      </w:tr>
      <w:tr w:rsidR="009D429E" w:rsidTr="0019184D">
        <w:trPr>
          <w:cantSplit/>
        </w:trPr>
        <w:tc>
          <w:tcPr>
            <w:tcW w:w="1890" w:type="dxa"/>
            <w:tcBorders>
              <w:top w:val="single" w:sz="4" w:space="0" w:color="auto"/>
              <w:left w:val="single" w:sz="4" w:space="0" w:color="auto"/>
              <w:bottom w:val="single" w:sz="4" w:space="0" w:color="auto"/>
              <w:right w:val="single" w:sz="4" w:space="0" w:color="auto"/>
            </w:tcBorders>
          </w:tcPr>
          <w:p w:rsidR="009D429E" w:rsidRDefault="009D429E" w:rsidP="0019184D">
            <w:pPr>
              <w:rPr>
                <w:sz w:val="20"/>
              </w:rPr>
            </w:pPr>
            <w:r>
              <w:rPr>
                <w:sz w:val="20"/>
              </w:rPr>
              <w:t xml:space="preserve">1. </w:t>
            </w:r>
            <w:r w:rsidR="00EE2020">
              <w:rPr>
                <w:sz w:val="20"/>
              </w:rPr>
              <w:t xml:space="preserve"> </w:t>
            </w:r>
            <w:r>
              <w:rPr>
                <w:sz w:val="20"/>
              </w:rPr>
              <w:t xml:space="preserve">Oxides of  </w:t>
            </w:r>
          </w:p>
          <w:p w:rsidR="009D429E" w:rsidRPr="00095B77" w:rsidRDefault="009D429E" w:rsidP="0019184D">
            <w:pPr>
              <w:rPr>
                <w:sz w:val="20"/>
              </w:rPr>
            </w:pPr>
            <w:r>
              <w:rPr>
                <w:sz w:val="20"/>
              </w:rPr>
              <w:t xml:space="preserve">   </w:t>
            </w:r>
            <w:r w:rsidR="00EE2020">
              <w:rPr>
                <w:sz w:val="20"/>
              </w:rPr>
              <w:t xml:space="preserve"> </w:t>
            </w:r>
            <w:r>
              <w:rPr>
                <w:sz w:val="20"/>
              </w:rPr>
              <w:t xml:space="preserve"> Nitrogen (NOx)</w:t>
            </w:r>
          </w:p>
        </w:tc>
        <w:tc>
          <w:tcPr>
            <w:tcW w:w="1710" w:type="dxa"/>
            <w:tcBorders>
              <w:top w:val="single" w:sz="4" w:space="0" w:color="auto"/>
              <w:left w:val="single" w:sz="4" w:space="0" w:color="auto"/>
              <w:bottom w:val="single" w:sz="4" w:space="0" w:color="auto"/>
              <w:right w:val="single" w:sz="4" w:space="0" w:color="auto"/>
            </w:tcBorders>
          </w:tcPr>
          <w:p w:rsidR="009D429E" w:rsidRPr="002E7C11" w:rsidRDefault="009D429E" w:rsidP="0019184D">
            <w:pPr>
              <w:jc w:val="center"/>
              <w:rPr>
                <w:rFonts w:cs="Arial"/>
                <w:sz w:val="20"/>
              </w:rPr>
            </w:pPr>
            <w:r>
              <w:rPr>
                <w:sz w:val="20"/>
              </w:rPr>
              <w:t>37.9 pounds</w:t>
            </w:r>
            <w:r>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sz w:val="20"/>
              </w:rPr>
            </w:pPr>
            <w:r>
              <w:rPr>
                <w:sz w:val="20"/>
              </w:rPr>
              <w:t>Hourly</w:t>
            </w:r>
          </w:p>
        </w:tc>
        <w:tc>
          <w:tcPr>
            <w:tcW w:w="1599"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sz w:val="20"/>
              </w:rPr>
            </w:pPr>
            <w:r>
              <w:rPr>
                <w:sz w:val="20"/>
              </w:rPr>
              <w:t>FGTURBINES***</w:t>
            </w:r>
          </w:p>
        </w:tc>
        <w:tc>
          <w:tcPr>
            <w:tcW w:w="1620"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sz w:val="20"/>
              </w:rPr>
            </w:pPr>
            <w:r>
              <w:rPr>
                <w:color w:val="000000"/>
                <w:sz w:val="20"/>
              </w:rPr>
              <w:t>SC</w:t>
            </w:r>
            <w:r w:rsidRPr="00E337D7">
              <w:rPr>
                <w:color w:val="000000"/>
                <w:sz w:val="20"/>
              </w:rPr>
              <w:t xml:space="preserve"> V</w:t>
            </w:r>
            <w:r w:rsidR="009E166A">
              <w:rPr>
                <w:color w:val="000000"/>
                <w:sz w:val="20"/>
              </w:rPr>
              <w:t>.1</w:t>
            </w:r>
            <w:r w:rsidRPr="00E337D7">
              <w:rPr>
                <w:color w:val="000000"/>
                <w:sz w:val="20"/>
              </w:rPr>
              <w:t xml:space="preserve"> and VI</w:t>
            </w:r>
            <w:r w:rsidR="00221415">
              <w:rPr>
                <w:color w:val="000000"/>
                <w:sz w:val="20"/>
              </w:rPr>
              <w:t>.1</w:t>
            </w:r>
          </w:p>
        </w:tc>
        <w:tc>
          <w:tcPr>
            <w:tcW w:w="1730" w:type="dxa"/>
            <w:tcBorders>
              <w:top w:val="single" w:sz="4" w:space="0" w:color="auto"/>
              <w:left w:val="single" w:sz="4" w:space="0" w:color="auto"/>
              <w:bottom w:val="single" w:sz="4" w:space="0" w:color="auto"/>
              <w:right w:val="single" w:sz="4" w:space="0" w:color="auto"/>
            </w:tcBorders>
          </w:tcPr>
          <w:p w:rsidR="009D429E" w:rsidRPr="004E4069" w:rsidRDefault="009D429E" w:rsidP="0019184D">
            <w:pPr>
              <w:ind w:left="144"/>
              <w:jc w:val="center"/>
              <w:rPr>
                <w:rFonts w:cs="Arial"/>
                <w:b/>
                <w:color w:val="000000"/>
                <w:sz w:val="20"/>
              </w:rPr>
            </w:pPr>
            <w:r w:rsidRPr="004E4069">
              <w:rPr>
                <w:rFonts w:cs="Arial"/>
                <w:b/>
                <w:color w:val="000000"/>
                <w:sz w:val="20"/>
              </w:rPr>
              <w:t>40 CFR  60.332(a)(2)</w:t>
            </w:r>
          </w:p>
          <w:p w:rsidR="009D429E" w:rsidRPr="00287954" w:rsidRDefault="009D429E" w:rsidP="00287954">
            <w:pPr>
              <w:ind w:left="144"/>
              <w:jc w:val="center"/>
              <w:rPr>
                <w:rFonts w:cs="Arial"/>
                <w:b/>
                <w:color w:val="000000"/>
                <w:sz w:val="20"/>
              </w:rPr>
            </w:pPr>
            <w:r w:rsidRPr="004E4069">
              <w:rPr>
                <w:rFonts w:cs="Arial"/>
                <w:b/>
                <w:color w:val="000000"/>
                <w:sz w:val="20"/>
              </w:rPr>
              <w:t>R</w:t>
            </w:r>
            <w:r>
              <w:rPr>
                <w:rFonts w:cs="Arial"/>
                <w:b/>
                <w:color w:val="000000"/>
                <w:sz w:val="20"/>
              </w:rPr>
              <w:t> </w:t>
            </w:r>
            <w:r w:rsidRPr="004E4069">
              <w:rPr>
                <w:rFonts w:cs="Arial"/>
                <w:b/>
                <w:color w:val="000000"/>
                <w:sz w:val="20"/>
              </w:rPr>
              <w:t>336.1205(3)</w:t>
            </w:r>
          </w:p>
        </w:tc>
      </w:tr>
      <w:tr w:rsidR="00221415" w:rsidTr="0019184D">
        <w:trPr>
          <w:cantSplit/>
        </w:trPr>
        <w:tc>
          <w:tcPr>
            <w:tcW w:w="1890" w:type="dxa"/>
            <w:tcBorders>
              <w:top w:val="single" w:sz="4" w:space="0" w:color="auto"/>
              <w:left w:val="single" w:sz="4" w:space="0" w:color="auto"/>
              <w:bottom w:val="single" w:sz="4" w:space="0" w:color="auto"/>
              <w:right w:val="single" w:sz="4" w:space="0" w:color="auto"/>
            </w:tcBorders>
          </w:tcPr>
          <w:p w:rsidR="00221415" w:rsidRDefault="00221415" w:rsidP="00221415">
            <w:pPr>
              <w:rPr>
                <w:sz w:val="20"/>
              </w:rPr>
            </w:pPr>
            <w:r>
              <w:rPr>
                <w:sz w:val="20"/>
              </w:rPr>
              <w:t xml:space="preserve">2. </w:t>
            </w:r>
            <w:r w:rsidR="00EE2020">
              <w:rPr>
                <w:sz w:val="20"/>
              </w:rPr>
              <w:t xml:space="preserve"> </w:t>
            </w:r>
            <w:r>
              <w:rPr>
                <w:sz w:val="20"/>
              </w:rPr>
              <w:t xml:space="preserve">Oxides of </w:t>
            </w:r>
          </w:p>
          <w:p w:rsidR="00221415" w:rsidRPr="00095B77" w:rsidRDefault="00221415" w:rsidP="00221415">
            <w:pPr>
              <w:rPr>
                <w:sz w:val="20"/>
              </w:rPr>
            </w:pPr>
            <w:r>
              <w:rPr>
                <w:sz w:val="20"/>
              </w:rPr>
              <w:t xml:space="preserve">   </w:t>
            </w:r>
            <w:r w:rsidR="00EE2020">
              <w:rPr>
                <w:sz w:val="20"/>
              </w:rPr>
              <w:t xml:space="preserve"> </w:t>
            </w:r>
            <w:r>
              <w:rPr>
                <w:sz w:val="20"/>
              </w:rPr>
              <w:t xml:space="preserve"> Nitrogen (NOx)</w:t>
            </w:r>
          </w:p>
        </w:tc>
        <w:tc>
          <w:tcPr>
            <w:tcW w:w="1710" w:type="dxa"/>
            <w:tcBorders>
              <w:top w:val="single" w:sz="4" w:space="0" w:color="auto"/>
              <w:left w:val="single" w:sz="4" w:space="0" w:color="auto"/>
              <w:bottom w:val="single" w:sz="4" w:space="0" w:color="auto"/>
              <w:right w:val="single" w:sz="4" w:space="0" w:color="auto"/>
            </w:tcBorders>
          </w:tcPr>
          <w:p w:rsidR="00221415" w:rsidRPr="002E7C11" w:rsidRDefault="00221415" w:rsidP="00221415">
            <w:pPr>
              <w:jc w:val="center"/>
              <w:rPr>
                <w:rFonts w:cs="Arial"/>
                <w:sz w:val="20"/>
              </w:rPr>
            </w:pPr>
            <w:r>
              <w:rPr>
                <w:sz w:val="20"/>
              </w:rPr>
              <w:t>126.7 tons</w:t>
            </w:r>
            <w:r>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rsidR="00221415" w:rsidRPr="00BD3DE3" w:rsidRDefault="00221415" w:rsidP="00221415">
            <w:pPr>
              <w:jc w:val="center"/>
              <w:rPr>
                <w:sz w:val="20"/>
              </w:rPr>
            </w:pPr>
            <w:r>
              <w:rPr>
                <w:sz w:val="20"/>
              </w:rPr>
              <w:t>Rolling 12-month time period</w:t>
            </w:r>
          </w:p>
        </w:tc>
        <w:tc>
          <w:tcPr>
            <w:tcW w:w="1599" w:type="dxa"/>
            <w:tcBorders>
              <w:top w:val="single" w:sz="4" w:space="0" w:color="auto"/>
              <w:left w:val="single" w:sz="4" w:space="0" w:color="auto"/>
              <w:bottom w:val="single" w:sz="4" w:space="0" w:color="auto"/>
              <w:right w:val="single" w:sz="4" w:space="0" w:color="auto"/>
            </w:tcBorders>
          </w:tcPr>
          <w:p w:rsidR="00221415" w:rsidRPr="00BD3DE3" w:rsidRDefault="00221415" w:rsidP="00221415">
            <w:pPr>
              <w:jc w:val="center"/>
              <w:rPr>
                <w:sz w:val="20"/>
              </w:rPr>
            </w:pPr>
            <w:r>
              <w:rPr>
                <w:sz w:val="20"/>
              </w:rPr>
              <w:t>FGTURBINES***</w:t>
            </w:r>
          </w:p>
        </w:tc>
        <w:tc>
          <w:tcPr>
            <w:tcW w:w="1620" w:type="dxa"/>
            <w:tcBorders>
              <w:top w:val="single" w:sz="4" w:space="0" w:color="auto"/>
              <w:left w:val="single" w:sz="4" w:space="0" w:color="auto"/>
              <w:bottom w:val="single" w:sz="4" w:space="0" w:color="auto"/>
              <w:right w:val="single" w:sz="4" w:space="0" w:color="auto"/>
            </w:tcBorders>
          </w:tcPr>
          <w:p w:rsidR="00221415" w:rsidRPr="00BD3DE3" w:rsidRDefault="00221415" w:rsidP="00221415">
            <w:pPr>
              <w:jc w:val="center"/>
              <w:rPr>
                <w:sz w:val="20"/>
              </w:rPr>
            </w:pPr>
            <w:r>
              <w:rPr>
                <w:color w:val="000000"/>
                <w:sz w:val="20"/>
              </w:rPr>
              <w:t>SC</w:t>
            </w:r>
            <w:r w:rsidRPr="00E337D7">
              <w:rPr>
                <w:color w:val="000000"/>
                <w:sz w:val="20"/>
              </w:rPr>
              <w:t xml:space="preserve"> V</w:t>
            </w:r>
            <w:r>
              <w:rPr>
                <w:color w:val="000000"/>
                <w:sz w:val="20"/>
              </w:rPr>
              <w:t>.1</w:t>
            </w:r>
            <w:r w:rsidRPr="00E337D7">
              <w:rPr>
                <w:color w:val="000000"/>
                <w:sz w:val="20"/>
              </w:rPr>
              <w:t xml:space="preserve"> and VI</w:t>
            </w:r>
            <w:r>
              <w:rPr>
                <w:color w:val="000000"/>
                <w:sz w:val="20"/>
              </w:rPr>
              <w:t>.1</w:t>
            </w:r>
          </w:p>
        </w:tc>
        <w:tc>
          <w:tcPr>
            <w:tcW w:w="1730" w:type="dxa"/>
            <w:tcBorders>
              <w:top w:val="single" w:sz="4" w:space="0" w:color="auto"/>
              <w:left w:val="single" w:sz="4" w:space="0" w:color="auto"/>
              <w:bottom w:val="single" w:sz="4" w:space="0" w:color="auto"/>
              <w:right w:val="single" w:sz="4" w:space="0" w:color="auto"/>
            </w:tcBorders>
          </w:tcPr>
          <w:p w:rsidR="00221415" w:rsidRPr="004E4069" w:rsidRDefault="00221415" w:rsidP="00221415">
            <w:pPr>
              <w:jc w:val="center"/>
              <w:rPr>
                <w:b/>
                <w:sz w:val="20"/>
              </w:rPr>
            </w:pPr>
            <w:r w:rsidRPr="004E4069">
              <w:rPr>
                <w:b/>
                <w:color w:val="000000"/>
                <w:sz w:val="20"/>
              </w:rPr>
              <w:t>R</w:t>
            </w:r>
            <w:r>
              <w:rPr>
                <w:b/>
                <w:color w:val="000000"/>
                <w:sz w:val="20"/>
              </w:rPr>
              <w:t> </w:t>
            </w:r>
            <w:r w:rsidRPr="004E4069">
              <w:rPr>
                <w:b/>
                <w:color w:val="000000"/>
                <w:sz w:val="20"/>
              </w:rPr>
              <w:t>336.1205(3)</w:t>
            </w:r>
          </w:p>
          <w:p w:rsidR="00221415" w:rsidRPr="004E4069" w:rsidRDefault="00221415" w:rsidP="00221415">
            <w:pPr>
              <w:jc w:val="center"/>
              <w:rPr>
                <w:b/>
                <w:sz w:val="20"/>
              </w:rPr>
            </w:pPr>
          </w:p>
        </w:tc>
      </w:tr>
      <w:tr w:rsidR="009D429E" w:rsidTr="0019184D">
        <w:trPr>
          <w:cantSplit/>
        </w:trPr>
        <w:tc>
          <w:tcPr>
            <w:tcW w:w="1890" w:type="dxa"/>
            <w:tcBorders>
              <w:top w:val="single" w:sz="4" w:space="0" w:color="auto"/>
              <w:left w:val="single" w:sz="4" w:space="0" w:color="auto"/>
              <w:bottom w:val="single" w:sz="4" w:space="0" w:color="auto"/>
              <w:right w:val="single" w:sz="4" w:space="0" w:color="auto"/>
            </w:tcBorders>
          </w:tcPr>
          <w:p w:rsidR="009D429E" w:rsidRDefault="009D429E" w:rsidP="0019184D">
            <w:pPr>
              <w:rPr>
                <w:sz w:val="20"/>
              </w:rPr>
            </w:pPr>
            <w:r>
              <w:rPr>
                <w:sz w:val="20"/>
              </w:rPr>
              <w:t xml:space="preserve">3. </w:t>
            </w:r>
            <w:r w:rsidR="00EE2020">
              <w:rPr>
                <w:sz w:val="20"/>
              </w:rPr>
              <w:t xml:space="preserve"> </w:t>
            </w:r>
            <w:r>
              <w:rPr>
                <w:sz w:val="20"/>
              </w:rPr>
              <w:t xml:space="preserve">Sulfur dioxide </w:t>
            </w:r>
          </w:p>
          <w:p w:rsidR="009D429E" w:rsidRPr="00095B77" w:rsidRDefault="009D429E" w:rsidP="0019184D">
            <w:pPr>
              <w:rPr>
                <w:sz w:val="20"/>
              </w:rPr>
            </w:pPr>
            <w:r>
              <w:rPr>
                <w:sz w:val="20"/>
              </w:rPr>
              <w:t xml:space="preserve">   </w:t>
            </w:r>
            <w:r w:rsidR="00EE2020">
              <w:rPr>
                <w:sz w:val="20"/>
              </w:rPr>
              <w:t xml:space="preserve"> </w:t>
            </w:r>
            <w:r>
              <w:rPr>
                <w:sz w:val="20"/>
              </w:rPr>
              <w:t xml:space="preserve"> (SO</w:t>
            </w:r>
            <w:r w:rsidRPr="008D748A">
              <w:rPr>
                <w:sz w:val="20"/>
                <w:vertAlign w:val="subscript"/>
              </w:rPr>
              <w:t>2</w:t>
            </w:r>
            <w:r>
              <w:rPr>
                <w:sz w:val="20"/>
              </w:rPr>
              <w:t>)</w:t>
            </w:r>
          </w:p>
        </w:tc>
        <w:tc>
          <w:tcPr>
            <w:tcW w:w="1710" w:type="dxa"/>
            <w:tcBorders>
              <w:top w:val="single" w:sz="4" w:space="0" w:color="auto"/>
              <w:left w:val="single" w:sz="4" w:space="0" w:color="auto"/>
              <w:bottom w:val="single" w:sz="4" w:space="0" w:color="auto"/>
              <w:right w:val="single" w:sz="4" w:space="0" w:color="auto"/>
            </w:tcBorders>
          </w:tcPr>
          <w:p w:rsidR="009D429E" w:rsidRPr="002E7C11" w:rsidRDefault="009D429E" w:rsidP="0019184D">
            <w:pPr>
              <w:jc w:val="center"/>
              <w:rPr>
                <w:rFonts w:cs="Arial"/>
                <w:sz w:val="20"/>
              </w:rPr>
            </w:pPr>
            <w:r>
              <w:rPr>
                <w:sz w:val="20"/>
              </w:rPr>
              <w:t>150 ppm, by volume at 15% oxygen and on a dry gas basis and at 100% load</w:t>
            </w:r>
            <w:r>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sz w:val="20"/>
              </w:rPr>
            </w:pPr>
            <w:r>
              <w:rPr>
                <w:sz w:val="20"/>
              </w:rPr>
              <w:t>Instantaneous</w:t>
            </w:r>
          </w:p>
        </w:tc>
        <w:tc>
          <w:tcPr>
            <w:tcW w:w="1599" w:type="dxa"/>
            <w:tcBorders>
              <w:top w:val="single" w:sz="4" w:space="0" w:color="auto"/>
              <w:left w:val="single" w:sz="4" w:space="0" w:color="auto"/>
              <w:bottom w:val="single" w:sz="4" w:space="0" w:color="auto"/>
              <w:right w:val="single" w:sz="4" w:space="0" w:color="auto"/>
            </w:tcBorders>
          </w:tcPr>
          <w:p w:rsidR="009D429E" w:rsidRPr="00BD3DE3" w:rsidRDefault="009D429E" w:rsidP="0019184D">
            <w:pPr>
              <w:jc w:val="center"/>
              <w:rPr>
                <w:sz w:val="20"/>
              </w:rPr>
            </w:pPr>
            <w:r>
              <w:rPr>
                <w:sz w:val="20"/>
              </w:rPr>
              <w:t>FGTURBINES</w:t>
            </w:r>
          </w:p>
        </w:tc>
        <w:tc>
          <w:tcPr>
            <w:tcW w:w="1620" w:type="dxa"/>
            <w:tcBorders>
              <w:top w:val="single" w:sz="4" w:space="0" w:color="auto"/>
              <w:left w:val="single" w:sz="4" w:space="0" w:color="auto"/>
              <w:bottom w:val="single" w:sz="4" w:space="0" w:color="auto"/>
              <w:right w:val="single" w:sz="4" w:space="0" w:color="auto"/>
            </w:tcBorders>
          </w:tcPr>
          <w:p w:rsidR="009D429E" w:rsidRDefault="009D429E" w:rsidP="0019184D">
            <w:pPr>
              <w:jc w:val="center"/>
            </w:pPr>
            <w:r w:rsidRPr="00AF23DF">
              <w:rPr>
                <w:color w:val="000000"/>
                <w:sz w:val="20"/>
              </w:rPr>
              <w:t>SC V</w:t>
            </w:r>
            <w:r w:rsidR="00221415">
              <w:rPr>
                <w:color w:val="000000"/>
                <w:sz w:val="20"/>
              </w:rPr>
              <w:t>I.2</w:t>
            </w:r>
            <w:r w:rsidRPr="00AF23DF">
              <w:rPr>
                <w:color w:val="000000"/>
                <w:sz w:val="20"/>
              </w:rPr>
              <w:t xml:space="preserve"> and VI</w:t>
            </w:r>
            <w:r w:rsidR="00221415">
              <w:rPr>
                <w:color w:val="000000"/>
                <w:sz w:val="20"/>
              </w:rPr>
              <w:t>.3</w:t>
            </w:r>
          </w:p>
        </w:tc>
        <w:tc>
          <w:tcPr>
            <w:tcW w:w="1730" w:type="dxa"/>
            <w:tcBorders>
              <w:top w:val="single" w:sz="4" w:space="0" w:color="auto"/>
              <w:left w:val="single" w:sz="4" w:space="0" w:color="auto"/>
              <w:bottom w:val="single" w:sz="4" w:space="0" w:color="auto"/>
              <w:right w:val="single" w:sz="4" w:space="0" w:color="auto"/>
            </w:tcBorders>
          </w:tcPr>
          <w:p w:rsidR="008829E3" w:rsidRPr="004E4069" w:rsidRDefault="009D429E" w:rsidP="008829E3">
            <w:pPr>
              <w:ind w:left="144"/>
              <w:jc w:val="center"/>
              <w:rPr>
                <w:b/>
                <w:sz w:val="20"/>
              </w:rPr>
            </w:pPr>
            <w:r w:rsidRPr="004E4069">
              <w:rPr>
                <w:rFonts w:cs="Arial"/>
                <w:b/>
                <w:color w:val="000000"/>
                <w:sz w:val="20"/>
              </w:rPr>
              <w:t>40 CFR 60.333(a</w:t>
            </w:r>
          </w:p>
          <w:p w:rsidR="009D429E" w:rsidRPr="004E4069" w:rsidRDefault="009D429E" w:rsidP="0019184D">
            <w:pPr>
              <w:jc w:val="center"/>
              <w:rPr>
                <w:b/>
                <w:sz w:val="20"/>
              </w:rPr>
            </w:pPr>
          </w:p>
        </w:tc>
      </w:tr>
      <w:tr w:rsidR="00D04991" w:rsidTr="0019184D">
        <w:trPr>
          <w:cantSplit/>
        </w:trPr>
        <w:tc>
          <w:tcPr>
            <w:tcW w:w="1890" w:type="dxa"/>
            <w:tcBorders>
              <w:top w:val="single" w:sz="4" w:space="0" w:color="auto"/>
              <w:left w:val="single" w:sz="4" w:space="0" w:color="auto"/>
              <w:bottom w:val="single" w:sz="4" w:space="0" w:color="auto"/>
              <w:right w:val="single" w:sz="4" w:space="0" w:color="auto"/>
            </w:tcBorders>
          </w:tcPr>
          <w:p w:rsidR="00D04991" w:rsidRDefault="00D04991" w:rsidP="00D04991">
            <w:pPr>
              <w:rPr>
                <w:sz w:val="20"/>
              </w:rPr>
            </w:pPr>
            <w:r>
              <w:rPr>
                <w:sz w:val="20"/>
              </w:rPr>
              <w:t>4.</w:t>
            </w:r>
            <w:r w:rsidR="00EE2020">
              <w:rPr>
                <w:sz w:val="20"/>
              </w:rPr>
              <w:t xml:space="preserve"> </w:t>
            </w:r>
            <w:r>
              <w:rPr>
                <w:sz w:val="20"/>
              </w:rPr>
              <w:t xml:space="preserve"> Sulfur dioxide </w:t>
            </w:r>
          </w:p>
          <w:p w:rsidR="00D04991" w:rsidRPr="00095B77" w:rsidRDefault="00D04991" w:rsidP="00D04991">
            <w:pPr>
              <w:rPr>
                <w:sz w:val="20"/>
              </w:rPr>
            </w:pPr>
            <w:r>
              <w:rPr>
                <w:sz w:val="20"/>
              </w:rPr>
              <w:t xml:space="preserve">   </w:t>
            </w:r>
            <w:r w:rsidR="00EE2020">
              <w:rPr>
                <w:sz w:val="20"/>
              </w:rPr>
              <w:t xml:space="preserve"> </w:t>
            </w:r>
            <w:r>
              <w:rPr>
                <w:sz w:val="20"/>
              </w:rPr>
              <w:t xml:space="preserve"> (SO</w:t>
            </w:r>
            <w:r w:rsidRPr="008D748A">
              <w:rPr>
                <w:sz w:val="20"/>
                <w:vertAlign w:val="subscript"/>
              </w:rPr>
              <w:t>2</w:t>
            </w:r>
            <w:r>
              <w:rPr>
                <w:sz w:val="20"/>
              </w:rPr>
              <w:t>)</w:t>
            </w:r>
          </w:p>
        </w:tc>
        <w:tc>
          <w:tcPr>
            <w:tcW w:w="1710" w:type="dxa"/>
            <w:tcBorders>
              <w:top w:val="single" w:sz="4" w:space="0" w:color="auto"/>
              <w:left w:val="single" w:sz="4" w:space="0" w:color="auto"/>
              <w:bottom w:val="single" w:sz="4" w:space="0" w:color="auto"/>
              <w:right w:val="single" w:sz="4" w:space="0" w:color="auto"/>
            </w:tcBorders>
          </w:tcPr>
          <w:p w:rsidR="00D04991" w:rsidRPr="002E7C11" w:rsidRDefault="00D04991" w:rsidP="00D04991">
            <w:pPr>
              <w:jc w:val="center"/>
              <w:rPr>
                <w:rFonts w:cs="Arial"/>
                <w:sz w:val="20"/>
              </w:rPr>
            </w:pPr>
            <w:r>
              <w:rPr>
                <w:sz w:val="20"/>
              </w:rPr>
              <w:t>13.52 pounds</w:t>
            </w:r>
            <w:r>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Hourly</w:t>
            </w:r>
          </w:p>
        </w:tc>
        <w:tc>
          <w:tcPr>
            <w:tcW w:w="1599"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FGTURBINES***</w:t>
            </w:r>
          </w:p>
        </w:tc>
        <w:tc>
          <w:tcPr>
            <w:tcW w:w="1620" w:type="dxa"/>
            <w:tcBorders>
              <w:top w:val="single" w:sz="4" w:space="0" w:color="auto"/>
              <w:left w:val="single" w:sz="4" w:space="0" w:color="auto"/>
              <w:bottom w:val="single" w:sz="4" w:space="0" w:color="auto"/>
              <w:right w:val="single" w:sz="4" w:space="0" w:color="auto"/>
            </w:tcBorders>
          </w:tcPr>
          <w:p w:rsidR="00D04991" w:rsidRDefault="00D04991" w:rsidP="00D04991">
            <w:pPr>
              <w:jc w:val="center"/>
            </w:pPr>
            <w:r w:rsidRPr="00AF23DF">
              <w:rPr>
                <w:color w:val="000000"/>
                <w:sz w:val="20"/>
              </w:rPr>
              <w:t>SC V</w:t>
            </w:r>
            <w:r>
              <w:rPr>
                <w:color w:val="000000"/>
                <w:sz w:val="20"/>
              </w:rPr>
              <w:t xml:space="preserve">I.2, </w:t>
            </w:r>
            <w:r w:rsidRPr="00AF23DF">
              <w:rPr>
                <w:color w:val="000000"/>
                <w:sz w:val="20"/>
              </w:rPr>
              <w:t>VI</w:t>
            </w:r>
            <w:r>
              <w:rPr>
                <w:color w:val="000000"/>
                <w:sz w:val="20"/>
              </w:rPr>
              <w:t>.3 and VI.5</w:t>
            </w:r>
          </w:p>
        </w:tc>
        <w:tc>
          <w:tcPr>
            <w:tcW w:w="1730" w:type="dxa"/>
            <w:tcBorders>
              <w:top w:val="single" w:sz="4" w:space="0" w:color="auto"/>
              <w:left w:val="single" w:sz="4" w:space="0" w:color="auto"/>
              <w:bottom w:val="single" w:sz="4" w:space="0" w:color="auto"/>
              <w:right w:val="single" w:sz="4" w:space="0" w:color="auto"/>
            </w:tcBorders>
          </w:tcPr>
          <w:p w:rsidR="00EE2020" w:rsidRDefault="00D04991" w:rsidP="00D04991">
            <w:pPr>
              <w:jc w:val="center"/>
              <w:rPr>
                <w:b/>
                <w:color w:val="000000"/>
                <w:sz w:val="20"/>
              </w:rPr>
            </w:pPr>
            <w:r w:rsidRPr="004E4069">
              <w:rPr>
                <w:b/>
                <w:color w:val="000000"/>
                <w:sz w:val="20"/>
              </w:rPr>
              <w:t>40 CFR Part 60</w:t>
            </w:r>
          </w:p>
          <w:p w:rsidR="00D04991" w:rsidRPr="004E4069" w:rsidRDefault="00D04991" w:rsidP="00D04991">
            <w:pPr>
              <w:jc w:val="center"/>
              <w:rPr>
                <w:b/>
                <w:sz w:val="20"/>
              </w:rPr>
            </w:pPr>
            <w:r w:rsidRPr="004E4069">
              <w:rPr>
                <w:b/>
                <w:color w:val="000000"/>
                <w:sz w:val="20"/>
              </w:rPr>
              <w:t>Subpart GG</w:t>
            </w:r>
          </w:p>
        </w:tc>
      </w:tr>
      <w:tr w:rsidR="00D04991" w:rsidTr="0019184D">
        <w:trPr>
          <w:cantSplit/>
        </w:trPr>
        <w:tc>
          <w:tcPr>
            <w:tcW w:w="1890" w:type="dxa"/>
            <w:tcBorders>
              <w:top w:val="single" w:sz="4" w:space="0" w:color="auto"/>
              <w:left w:val="single" w:sz="4" w:space="0" w:color="auto"/>
              <w:bottom w:val="single" w:sz="4" w:space="0" w:color="auto"/>
              <w:right w:val="single" w:sz="4" w:space="0" w:color="auto"/>
            </w:tcBorders>
          </w:tcPr>
          <w:p w:rsidR="00D04991" w:rsidRDefault="00D04991" w:rsidP="00D04991">
            <w:pPr>
              <w:rPr>
                <w:sz w:val="20"/>
              </w:rPr>
            </w:pPr>
            <w:r>
              <w:rPr>
                <w:sz w:val="20"/>
              </w:rPr>
              <w:t>5.</w:t>
            </w:r>
            <w:r w:rsidR="00EE2020">
              <w:rPr>
                <w:sz w:val="20"/>
              </w:rPr>
              <w:t xml:space="preserve"> </w:t>
            </w:r>
            <w:r>
              <w:rPr>
                <w:sz w:val="20"/>
              </w:rPr>
              <w:t xml:space="preserve"> Sulfur dioxide </w:t>
            </w:r>
          </w:p>
          <w:p w:rsidR="00D04991" w:rsidRPr="00095B77" w:rsidRDefault="00D04991" w:rsidP="00D04991">
            <w:pPr>
              <w:rPr>
                <w:sz w:val="20"/>
              </w:rPr>
            </w:pPr>
            <w:r>
              <w:rPr>
                <w:sz w:val="20"/>
              </w:rPr>
              <w:t xml:space="preserve">   </w:t>
            </w:r>
            <w:r w:rsidR="00EE2020">
              <w:rPr>
                <w:sz w:val="20"/>
              </w:rPr>
              <w:t xml:space="preserve"> </w:t>
            </w:r>
            <w:r>
              <w:rPr>
                <w:sz w:val="20"/>
              </w:rPr>
              <w:t xml:space="preserve"> (SO</w:t>
            </w:r>
            <w:r w:rsidRPr="008D748A">
              <w:rPr>
                <w:sz w:val="20"/>
                <w:vertAlign w:val="subscript"/>
              </w:rPr>
              <w:t>2</w:t>
            </w:r>
            <w:r>
              <w:rPr>
                <w:sz w:val="20"/>
              </w:rPr>
              <w:t>)</w:t>
            </w:r>
          </w:p>
        </w:tc>
        <w:tc>
          <w:tcPr>
            <w:tcW w:w="1710" w:type="dxa"/>
            <w:tcBorders>
              <w:top w:val="single" w:sz="4" w:space="0" w:color="auto"/>
              <w:left w:val="single" w:sz="4" w:space="0" w:color="auto"/>
              <w:bottom w:val="single" w:sz="4" w:space="0" w:color="auto"/>
              <w:right w:val="single" w:sz="4" w:space="0" w:color="auto"/>
            </w:tcBorders>
          </w:tcPr>
          <w:p w:rsidR="00D04991" w:rsidRPr="002E7C11" w:rsidRDefault="00D04991" w:rsidP="00D04991">
            <w:pPr>
              <w:jc w:val="center"/>
              <w:rPr>
                <w:rFonts w:cs="Arial"/>
                <w:sz w:val="20"/>
              </w:rPr>
            </w:pPr>
            <w:r>
              <w:rPr>
                <w:sz w:val="20"/>
              </w:rPr>
              <w:t>59.21 tons</w:t>
            </w:r>
            <w:r>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Rolling 12-month period</w:t>
            </w:r>
          </w:p>
        </w:tc>
        <w:tc>
          <w:tcPr>
            <w:tcW w:w="1599"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FGTURBINES***</w:t>
            </w:r>
          </w:p>
        </w:tc>
        <w:tc>
          <w:tcPr>
            <w:tcW w:w="1620" w:type="dxa"/>
            <w:tcBorders>
              <w:top w:val="single" w:sz="4" w:space="0" w:color="auto"/>
              <w:left w:val="single" w:sz="4" w:space="0" w:color="auto"/>
              <w:bottom w:val="single" w:sz="4" w:space="0" w:color="auto"/>
              <w:right w:val="single" w:sz="4" w:space="0" w:color="auto"/>
            </w:tcBorders>
          </w:tcPr>
          <w:p w:rsidR="00D04991" w:rsidRDefault="00D04991" w:rsidP="00D04991">
            <w:pPr>
              <w:jc w:val="center"/>
            </w:pPr>
            <w:r w:rsidRPr="00AF23DF">
              <w:rPr>
                <w:color w:val="000000"/>
                <w:sz w:val="20"/>
              </w:rPr>
              <w:t>SC VI</w:t>
            </w:r>
            <w:r>
              <w:rPr>
                <w:color w:val="000000"/>
                <w:sz w:val="20"/>
              </w:rPr>
              <w:t>.5</w:t>
            </w:r>
          </w:p>
        </w:tc>
        <w:tc>
          <w:tcPr>
            <w:tcW w:w="1730" w:type="dxa"/>
            <w:tcBorders>
              <w:top w:val="single" w:sz="4" w:space="0" w:color="auto"/>
              <w:left w:val="single" w:sz="4" w:space="0" w:color="auto"/>
              <w:bottom w:val="single" w:sz="4" w:space="0" w:color="auto"/>
              <w:right w:val="single" w:sz="4" w:space="0" w:color="auto"/>
            </w:tcBorders>
          </w:tcPr>
          <w:p w:rsidR="00D04991" w:rsidRPr="004E4069" w:rsidRDefault="00D04991" w:rsidP="00D04991">
            <w:pPr>
              <w:jc w:val="center"/>
              <w:rPr>
                <w:b/>
                <w:sz w:val="20"/>
              </w:rPr>
            </w:pPr>
            <w:r w:rsidRPr="004E4069">
              <w:rPr>
                <w:b/>
                <w:color w:val="000000"/>
                <w:sz w:val="20"/>
              </w:rPr>
              <w:t>40 CFR Part 60 Subpart GG</w:t>
            </w:r>
          </w:p>
        </w:tc>
      </w:tr>
      <w:tr w:rsidR="00D04991" w:rsidTr="0019184D">
        <w:trPr>
          <w:cantSplit/>
          <w:trHeight w:val="764"/>
        </w:trPr>
        <w:tc>
          <w:tcPr>
            <w:tcW w:w="1890" w:type="dxa"/>
            <w:tcBorders>
              <w:top w:val="single" w:sz="4" w:space="0" w:color="auto"/>
              <w:left w:val="single" w:sz="4" w:space="0" w:color="auto"/>
              <w:bottom w:val="single" w:sz="4" w:space="0" w:color="auto"/>
              <w:right w:val="single" w:sz="4" w:space="0" w:color="auto"/>
            </w:tcBorders>
          </w:tcPr>
          <w:p w:rsidR="00D04991" w:rsidRDefault="00D04991" w:rsidP="00D04991">
            <w:pPr>
              <w:rPr>
                <w:sz w:val="20"/>
              </w:rPr>
            </w:pPr>
            <w:r>
              <w:rPr>
                <w:sz w:val="20"/>
              </w:rPr>
              <w:t>6.</w:t>
            </w:r>
            <w:r w:rsidR="00EE2020">
              <w:rPr>
                <w:sz w:val="20"/>
              </w:rPr>
              <w:t xml:space="preserve"> </w:t>
            </w:r>
            <w:r>
              <w:rPr>
                <w:sz w:val="20"/>
              </w:rPr>
              <w:t xml:space="preserve"> Carbon </w:t>
            </w:r>
          </w:p>
          <w:p w:rsidR="00D04991" w:rsidRPr="00095B77" w:rsidRDefault="00D04991" w:rsidP="00D04991">
            <w:pPr>
              <w:rPr>
                <w:sz w:val="20"/>
              </w:rPr>
            </w:pPr>
            <w:r>
              <w:rPr>
                <w:sz w:val="20"/>
              </w:rPr>
              <w:t xml:space="preserve">   </w:t>
            </w:r>
            <w:r w:rsidR="00EE2020">
              <w:rPr>
                <w:sz w:val="20"/>
              </w:rPr>
              <w:t xml:space="preserve"> </w:t>
            </w:r>
            <w:r>
              <w:rPr>
                <w:sz w:val="20"/>
              </w:rPr>
              <w:t xml:space="preserve"> Monoxide (CO)*</w:t>
            </w:r>
          </w:p>
        </w:tc>
        <w:tc>
          <w:tcPr>
            <w:tcW w:w="1710" w:type="dxa"/>
            <w:tcBorders>
              <w:top w:val="single" w:sz="4" w:space="0" w:color="auto"/>
              <w:left w:val="single" w:sz="4" w:space="0" w:color="auto"/>
              <w:bottom w:val="single" w:sz="4" w:space="0" w:color="auto"/>
              <w:right w:val="single" w:sz="4" w:space="0" w:color="auto"/>
            </w:tcBorders>
          </w:tcPr>
          <w:p w:rsidR="00D04991" w:rsidRPr="002E7C11" w:rsidRDefault="00D04991" w:rsidP="00D04991">
            <w:pPr>
              <w:jc w:val="center"/>
              <w:rPr>
                <w:rFonts w:cs="Arial"/>
                <w:sz w:val="20"/>
              </w:rPr>
            </w:pPr>
            <w:r>
              <w:rPr>
                <w:sz w:val="20"/>
              </w:rPr>
              <w:t>800 pounds</w:t>
            </w:r>
            <w:r>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Hourly</w:t>
            </w:r>
          </w:p>
        </w:tc>
        <w:tc>
          <w:tcPr>
            <w:tcW w:w="1599"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FGTURBINES***</w:t>
            </w:r>
          </w:p>
        </w:tc>
        <w:tc>
          <w:tcPr>
            <w:tcW w:w="1620" w:type="dxa"/>
            <w:tcBorders>
              <w:top w:val="single" w:sz="4" w:space="0" w:color="auto"/>
              <w:left w:val="single" w:sz="4" w:space="0" w:color="auto"/>
              <w:bottom w:val="single" w:sz="4" w:space="0" w:color="auto"/>
              <w:right w:val="single" w:sz="4" w:space="0" w:color="auto"/>
            </w:tcBorders>
          </w:tcPr>
          <w:p w:rsidR="00D04991" w:rsidRDefault="00D04991" w:rsidP="00D04991">
            <w:pPr>
              <w:jc w:val="center"/>
            </w:pPr>
            <w:r w:rsidRPr="00AF23DF">
              <w:rPr>
                <w:color w:val="000000"/>
                <w:sz w:val="20"/>
              </w:rPr>
              <w:t>SC V</w:t>
            </w:r>
            <w:r>
              <w:rPr>
                <w:color w:val="000000"/>
                <w:sz w:val="20"/>
              </w:rPr>
              <w:t xml:space="preserve">.1 </w:t>
            </w:r>
            <w:r w:rsidRPr="00AF23DF">
              <w:rPr>
                <w:color w:val="000000"/>
                <w:sz w:val="20"/>
              </w:rPr>
              <w:t>and VI</w:t>
            </w:r>
            <w:r>
              <w:rPr>
                <w:color w:val="000000"/>
                <w:sz w:val="20"/>
              </w:rPr>
              <w:t>.1</w:t>
            </w:r>
          </w:p>
        </w:tc>
        <w:tc>
          <w:tcPr>
            <w:tcW w:w="1730" w:type="dxa"/>
            <w:tcBorders>
              <w:top w:val="single" w:sz="4" w:space="0" w:color="auto"/>
              <w:left w:val="single" w:sz="4" w:space="0" w:color="auto"/>
              <w:bottom w:val="single" w:sz="4" w:space="0" w:color="auto"/>
              <w:right w:val="single" w:sz="4" w:space="0" w:color="auto"/>
            </w:tcBorders>
          </w:tcPr>
          <w:p w:rsidR="00D04991" w:rsidRPr="004E4069" w:rsidRDefault="00D04991" w:rsidP="00D04991">
            <w:pPr>
              <w:jc w:val="center"/>
              <w:rPr>
                <w:b/>
                <w:sz w:val="20"/>
              </w:rPr>
            </w:pPr>
            <w:r w:rsidRPr="004E4069">
              <w:rPr>
                <w:b/>
                <w:color w:val="000000"/>
                <w:sz w:val="20"/>
              </w:rPr>
              <w:t>40 CFR Part 52.21</w:t>
            </w:r>
          </w:p>
        </w:tc>
      </w:tr>
      <w:tr w:rsidR="00D04991" w:rsidTr="0019184D">
        <w:trPr>
          <w:cantSplit/>
        </w:trPr>
        <w:tc>
          <w:tcPr>
            <w:tcW w:w="1890" w:type="dxa"/>
            <w:tcBorders>
              <w:top w:val="single" w:sz="4" w:space="0" w:color="auto"/>
              <w:left w:val="single" w:sz="4" w:space="0" w:color="auto"/>
              <w:bottom w:val="single" w:sz="4" w:space="0" w:color="auto"/>
              <w:right w:val="single" w:sz="4" w:space="0" w:color="auto"/>
            </w:tcBorders>
          </w:tcPr>
          <w:p w:rsidR="00D04991" w:rsidRDefault="00D04991" w:rsidP="00D04991">
            <w:pPr>
              <w:rPr>
                <w:sz w:val="20"/>
              </w:rPr>
            </w:pPr>
            <w:r>
              <w:rPr>
                <w:sz w:val="20"/>
              </w:rPr>
              <w:t>7.</w:t>
            </w:r>
            <w:r w:rsidR="00EE2020">
              <w:rPr>
                <w:sz w:val="20"/>
              </w:rPr>
              <w:t xml:space="preserve"> </w:t>
            </w:r>
            <w:r>
              <w:rPr>
                <w:sz w:val="20"/>
              </w:rPr>
              <w:t xml:space="preserve"> Carbon </w:t>
            </w:r>
          </w:p>
          <w:p w:rsidR="00D04991" w:rsidRPr="00095B77" w:rsidRDefault="00D04991" w:rsidP="00D04991">
            <w:pPr>
              <w:rPr>
                <w:sz w:val="20"/>
              </w:rPr>
            </w:pPr>
            <w:r>
              <w:rPr>
                <w:sz w:val="20"/>
              </w:rPr>
              <w:t xml:space="preserve">   </w:t>
            </w:r>
            <w:r w:rsidR="00EE2020">
              <w:rPr>
                <w:sz w:val="20"/>
              </w:rPr>
              <w:t xml:space="preserve"> </w:t>
            </w:r>
            <w:r>
              <w:rPr>
                <w:sz w:val="20"/>
              </w:rPr>
              <w:t xml:space="preserve"> Monoxide (CO)**</w:t>
            </w:r>
          </w:p>
        </w:tc>
        <w:tc>
          <w:tcPr>
            <w:tcW w:w="1710" w:type="dxa"/>
            <w:tcBorders>
              <w:top w:val="single" w:sz="4" w:space="0" w:color="auto"/>
              <w:left w:val="single" w:sz="4" w:space="0" w:color="auto"/>
              <w:bottom w:val="single" w:sz="4" w:space="0" w:color="auto"/>
              <w:right w:val="single" w:sz="4" w:space="0" w:color="auto"/>
            </w:tcBorders>
          </w:tcPr>
          <w:p w:rsidR="00D04991" w:rsidRPr="002E7C11" w:rsidRDefault="00D04991" w:rsidP="00D04991">
            <w:pPr>
              <w:jc w:val="center"/>
              <w:rPr>
                <w:rFonts w:cs="Arial"/>
                <w:sz w:val="20"/>
              </w:rPr>
            </w:pPr>
            <w:r>
              <w:rPr>
                <w:sz w:val="20"/>
              </w:rPr>
              <w:t>25.14 pounds</w:t>
            </w:r>
            <w:r>
              <w:rPr>
                <w:rFonts w:cs="Arial"/>
                <w:sz w:val="20"/>
                <w:vertAlign w:val="superscript"/>
              </w:rPr>
              <w:t>2</w:t>
            </w:r>
          </w:p>
        </w:tc>
        <w:tc>
          <w:tcPr>
            <w:tcW w:w="1731"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Hourly</w:t>
            </w:r>
          </w:p>
        </w:tc>
        <w:tc>
          <w:tcPr>
            <w:tcW w:w="1599" w:type="dxa"/>
            <w:tcBorders>
              <w:top w:val="single" w:sz="4" w:space="0" w:color="auto"/>
              <w:left w:val="single" w:sz="4" w:space="0" w:color="auto"/>
              <w:bottom w:val="single" w:sz="4" w:space="0" w:color="auto"/>
              <w:right w:val="single" w:sz="4" w:space="0" w:color="auto"/>
            </w:tcBorders>
          </w:tcPr>
          <w:p w:rsidR="00D04991" w:rsidRPr="00BD3DE3" w:rsidRDefault="00D04991" w:rsidP="00D04991">
            <w:pPr>
              <w:jc w:val="center"/>
              <w:rPr>
                <w:sz w:val="20"/>
              </w:rPr>
            </w:pPr>
            <w:r>
              <w:rPr>
                <w:sz w:val="20"/>
              </w:rPr>
              <w:t>FGTURBINES***</w:t>
            </w:r>
          </w:p>
        </w:tc>
        <w:tc>
          <w:tcPr>
            <w:tcW w:w="1620" w:type="dxa"/>
            <w:tcBorders>
              <w:top w:val="single" w:sz="4" w:space="0" w:color="auto"/>
              <w:left w:val="single" w:sz="4" w:space="0" w:color="auto"/>
              <w:bottom w:val="single" w:sz="4" w:space="0" w:color="auto"/>
              <w:right w:val="single" w:sz="4" w:space="0" w:color="auto"/>
            </w:tcBorders>
          </w:tcPr>
          <w:p w:rsidR="00D04991" w:rsidRDefault="00D04991" w:rsidP="00D04991">
            <w:pPr>
              <w:jc w:val="center"/>
            </w:pPr>
            <w:r w:rsidRPr="00AF23DF">
              <w:rPr>
                <w:color w:val="000000"/>
                <w:sz w:val="20"/>
              </w:rPr>
              <w:t>SC V</w:t>
            </w:r>
            <w:r>
              <w:rPr>
                <w:color w:val="000000"/>
                <w:sz w:val="20"/>
              </w:rPr>
              <w:t>.1</w:t>
            </w:r>
            <w:r w:rsidRPr="00AF23DF">
              <w:rPr>
                <w:color w:val="000000"/>
                <w:sz w:val="20"/>
              </w:rPr>
              <w:t xml:space="preserve"> and VI</w:t>
            </w:r>
            <w:r>
              <w:rPr>
                <w:color w:val="000000"/>
                <w:sz w:val="20"/>
              </w:rPr>
              <w:t>.1</w:t>
            </w:r>
          </w:p>
        </w:tc>
        <w:tc>
          <w:tcPr>
            <w:tcW w:w="1730" w:type="dxa"/>
            <w:tcBorders>
              <w:top w:val="single" w:sz="4" w:space="0" w:color="auto"/>
              <w:left w:val="single" w:sz="4" w:space="0" w:color="auto"/>
              <w:bottom w:val="single" w:sz="4" w:space="0" w:color="auto"/>
              <w:right w:val="single" w:sz="4" w:space="0" w:color="auto"/>
            </w:tcBorders>
          </w:tcPr>
          <w:p w:rsidR="00D04991" w:rsidRPr="004E4069" w:rsidRDefault="00D04991" w:rsidP="00D04991">
            <w:pPr>
              <w:jc w:val="center"/>
              <w:rPr>
                <w:b/>
                <w:sz w:val="20"/>
              </w:rPr>
            </w:pPr>
            <w:r w:rsidRPr="004E4069">
              <w:rPr>
                <w:b/>
                <w:color w:val="000000"/>
                <w:sz w:val="20"/>
              </w:rPr>
              <w:t>40 CFR Part 52.21</w:t>
            </w:r>
          </w:p>
        </w:tc>
      </w:tr>
      <w:tr w:rsidR="00D04991" w:rsidTr="00B12E93">
        <w:trPr>
          <w:cantSplit/>
          <w:trHeight w:val="710"/>
        </w:trPr>
        <w:tc>
          <w:tcPr>
            <w:tcW w:w="10280" w:type="dxa"/>
            <w:gridSpan w:val="6"/>
            <w:tcBorders>
              <w:top w:val="single" w:sz="4" w:space="0" w:color="auto"/>
              <w:left w:val="single" w:sz="4" w:space="0" w:color="auto"/>
              <w:bottom w:val="single" w:sz="4" w:space="0" w:color="auto"/>
              <w:right w:val="single" w:sz="4" w:space="0" w:color="auto"/>
            </w:tcBorders>
          </w:tcPr>
          <w:p w:rsidR="00D04991" w:rsidRPr="00C969AF" w:rsidRDefault="00D04991" w:rsidP="00D04991">
            <w:pPr>
              <w:tabs>
                <w:tab w:val="left" w:pos="360"/>
              </w:tabs>
              <w:ind w:left="360" w:hanging="360"/>
              <w:rPr>
                <w:rFonts w:cs="Arial"/>
                <w:color w:val="000000"/>
                <w:sz w:val="18"/>
                <w:szCs w:val="18"/>
              </w:rPr>
            </w:pPr>
            <w:r w:rsidRPr="00C969AF">
              <w:rPr>
                <w:rFonts w:cs="Arial"/>
                <w:color w:val="000000"/>
                <w:sz w:val="20"/>
              </w:rPr>
              <w:t>*</w:t>
            </w:r>
            <w:r w:rsidR="00445AAB">
              <w:rPr>
                <w:rFonts w:cs="Arial"/>
                <w:color w:val="000000"/>
                <w:sz w:val="20"/>
              </w:rPr>
              <w:t xml:space="preserve">    </w:t>
            </w:r>
            <w:r w:rsidRPr="00C969AF">
              <w:rPr>
                <w:rFonts w:cs="Arial"/>
                <w:color w:val="000000"/>
                <w:sz w:val="18"/>
                <w:szCs w:val="18"/>
              </w:rPr>
              <w:t>This limit is applicable at any time that the turbine is operating in the range of 86% to 92% of Natural Gas Producer Speed.</w:t>
            </w:r>
          </w:p>
          <w:p w:rsidR="00D04991" w:rsidRPr="00C969AF" w:rsidRDefault="00D04991" w:rsidP="00D04991">
            <w:pPr>
              <w:tabs>
                <w:tab w:val="left" w:pos="360"/>
              </w:tabs>
              <w:ind w:left="360" w:hanging="360"/>
              <w:jc w:val="both"/>
              <w:rPr>
                <w:rFonts w:cs="Arial"/>
                <w:color w:val="000000"/>
                <w:sz w:val="18"/>
                <w:szCs w:val="18"/>
              </w:rPr>
            </w:pPr>
            <w:r w:rsidRPr="00C969AF">
              <w:rPr>
                <w:rFonts w:cs="Arial"/>
                <w:color w:val="000000"/>
                <w:sz w:val="18"/>
                <w:szCs w:val="18"/>
              </w:rPr>
              <w:t>**</w:t>
            </w:r>
            <w:r w:rsidR="00445AAB">
              <w:rPr>
                <w:rFonts w:cs="Arial"/>
                <w:color w:val="000000"/>
                <w:sz w:val="18"/>
                <w:szCs w:val="18"/>
              </w:rPr>
              <w:t xml:space="preserve">   </w:t>
            </w:r>
            <w:r w:rsidRPr="00C969AF">
              <w:rPr>
                <w:rFonts w:cs="Arial"/>
                <w:color w:val="000000"/>
                <w:sz w:val="18"/>
                <w:szCs w:val="18"/>
              </w:rPr>
              <w:t>This limit is applicable any time the turbines are operating at or above 92% of Natural Gas Producer Speed.</w:t>
            </w:r>
          </w:p>
          <w:p w:rsidR="00D04991" w:rsidRPr="009E4068" w:rsidRDefault="00D04991" w:rsidP="00D04991">
            <w:pPr>
              <w:spacing w:after="240"/>
              <w:ind w:left="360" w:hanging="360"/>
              <w:rPr>
                <w:b/>
                <w:sz w:val="20"/>
              </w:rPr>
            </w:pPr>
            <w:r w:rsidRPr="00C969AF">
              <w:rPr>
                <w:rFonts w:cs="Arial"/>
                <w:color w:val="000000"/>
                <w:sz w:val="18"/>
                <w:szCs w:val="18"/>
              </w:rPr>
              <w:t>***</w:t>
            </w:r>
            <w:r w:rsidR="00445AAB">
              <w:rPr>
                <w:rFonts w:cs="Arial"/>
                <w:color w:val="000000"/>
                <w:sz w:val="18"/>
                <w:szCs w:val="18"/>
              </w:rPr>
              <w:t xml:space="preserve">  </w:t>
            </w:r>
            <w:r w:rsidRPr="00C969AF">
              <w:rPr>
                <w:rFonts w:cs="Arial"/>
                <w:color w:val="000000"/>
                <w:sz w:val="18"/>
                <w:szCs w:val="18"/>
              </w:rPr>
              <w:t>Represents the total emission limit for both turbines.  Individual turbine limits are one half the listed values.</w:t>
            </w:r>
          </w:p>
        </w:tc>
      </w:tr>
    </w:tbl>
    <w:p w:rsidR="008829E3" w:rsidRDefault="008829E3" w:rsidP="00F62984">
      <w:pPr>
        <w:jc w:val="both"/>
        <w:rPr>
          <w:b/>
        </w:rPr>
      </w:pPr>
    </w:p>
    <w:p w:rsidR="00AE1D84" w:rsidRDefault="00AE1D84" w:rsidP="00F62984">
      <w:pPr>
        <w:jc w:val="both"/>
        <w:rPr>
          <w:b/>
          <w:u w:val="single"/>
        </w:rPr>
      </w:pPr>
      <w:r>
        <w:rPr>
          <w:b/>
        </w:rPr>
        <w:t xml:space="preserve">II.  </w:t>
      </w:r>
      <w:r>
        <w:rPr>
          <w:b/>
          <w:u w:val="single"/>
        </w:rPr>
        <w:t>MATERIAL LIMITS</w:t>
      </w:r>
    </w:p>
    <w:p w:rsidR="00AE1D84" w:rsidRPr="00FE0AD0" w:rsidRDefault="00AE1D84" w:rsidP="00F62984">
      <w:pPr>
        <w:jc w:val="both"/>
        <w:rPr>
          <w:sz w:val="20"/>
        </w:rPr>
      </w:pPr>
    </w:p>
    <w:p w:rsidR="00AE1D84" w:rsidRPr="00982A04" w:rsidRDefault="00982A04" w:rsidP="00F62984">
      <w:pPr>
        <w:jc w:val="both"/>
        <w:rPr>
          <w:sz w:val="20"/>
        </w:rPr>
      </w:pPr>
      <w:r>
        <w:rPr>
          <w:sz w:val="20"/>
        </w:rPr>
        <w:t>NA</w:t>
      </w:r>
    </w:p>
    <w:p w:rsidR="00494D15" w:rsidRPr="00E91170" w:rsidRDefault="00494D15" w:rsidP="00F62984">
      <w:pPr>
        <w:jc w:val="both"/>
        <w:rPr>
          <w:color w:val="FF0000"/>
          <w:sz w:val="20"/>
        </w:rPr>
      </w:pPr>
    </w:p>
    <w:p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rsidR="00AE1D84" w:rsidRPr="00FB6071" w:rsidRDefault="00AE1D84" w:rsidP="00F62984">
      <w:pPr>
        <w:jc w:val="both"/>
        <w:rPr>
          <w:sz w:val="20"/>
        </w:rPr>
      </w:pPr>
    </w:p>
    <w:p w:rsidR="002E013C" w:rsidRPr="00A427C6" w:rsidRDefault="002E013C" w:rsidP="0043663A">
      <w:pPr>
        <w:numPr>
          <w:ilvl w:val="0"/>
          <w:numId w:val="35"/>
        </w:numPr>
        <w:autoSpaceDE w:val="0"/>
        <w:autoSpaceDN w:val="0"/>
        <w:adjustRightInd w:val="0"/>
        <w:spacing w:after="120"/>
        <w:ind w:left="360"/>
        <w:jc w:val="both"/>
        <w:rPr>
          <w:b/>
          <w:bCs/>
          <w:color w:val="000000"/>
          <w:sz w:val="20"/>
        </w:rPr>
      </w:pPr>
      <w:r w:rsidRPr="00A427C6">
        <w:rPr>
          <w:color w:val="000000"/>
          <w:sz w:val="20"/>
        </w:rPr>
        <w:t xml:space="preserve">Except for periods of startup and shutdown, the permittee shall not operate the turbines at loads less than 86% NGP.  NGP is defined as the rotational speed (measured in revolutions per minute </w:t>
      </w:r>
      <w:r>
        <w:rPr>
          <w:color w:val="000000"/>
          <w:sz w:val="20"/>
        </w:rPr>
        <w:t>[RPM]</w:t>
      </w:r>
      <w:r w:rsidRPr="00A427C6">
        <w:rPr>
          <w:color w:val="000000"/>
          <w:sz w:val="20"/>
        </w:rPr>
        <w:t>) of the gas producer.  The turbines produce 100% NGP at 10,405 RPM. Startup is defined as the period of time from first ignition to when the turbine reaches 86% NGP.  Shutdown is defined as that period of time from the initial lowering of turbine speeds less than 86% NGP with the intent to shut down.</w:t>
      </w:r>
      <w:r>
        <w:rPr>
          <w:sz w:val="20"/>
          <w:vertAlign w:val="superscript"/>
        </w:rPr>
        <w:t>2</w:t>
      </w:r>
      <w:r>
        <w:rPr>
          <w:sz w:val="20"/>
        </w:rPr>
        <w:t xml:space="preserve">  </w:t>
      </w:r>
      <w:r w:rsidRPr="00A427C6">
        <w:rPr>
          <w:b/>
          <w:bCs/>
          <w:color w:val="000000"/>
          <w:sz w:val="20"/>
        </w:rPr>
        <w:t>(R</w:t>
      </w:r>
      <w:r>
        <w:rPr>
          <w:b/>
          <w:bCs/>
          <w:color w:val="000000"/>
          <w:sz w:val="20"/>
        </w:rPr>
        <w:t> </w:t>
      </w:r>
      <w:r w:rsidRPr="00A427C6">
        <w:rPr>
          <w:b/>
          <w:bCs/>
          <w:color w:val="000000"/>
          <w:sz w:val="20"/>
        </w:rPr>
        <w:t>336.1205(3)</w:t>
      </w:r>
    </w:p>
    <w:p w:rsidR="002E013C" w:rsidRDefault="002E013C" w:rsidP="0043663A">
      <w:pPr>
        <w:numPr>
          <w:ilvl w:val="0"/>
          <w:numId w:val="35"/>
        </w:numPr>
        <w:autoSpaceDE w:val="0"/>
        <w:autoSpaceDN w:val="0"/>
        <w:adjustRightInd w:val="0"/>
        <w:spacing w:after="120"/>
        <w:ind w:left="360"/>
        <w:jc w:val="both"/>
        <w:rPr>
          <w:sz w:val="20"/>
        </w:rPr>
      </w:pPr>
      <w:r w:rsidRPr="006B294C">
        <w:rPr>
          <w:sz w:val="20"/>
        </w:rPr>
        <w:lastRenderedPageBreak/>
        <w:t xml:space="preserve">The permittee shall only fire </w:t>
      </w:r>
      <w:r>
        <w:rPr>
          <w:sz w:val="20"/>
        </w:rPr>
        <w:t>n</w:t>
      </w:r>
      <w:r w:rsidRPr="006B294C">
        <w:rPr>
          <w:sz w:val="20"/>
        </w:rPr>
        <w:t>atural gas</w:t>
      </w:r>
      <w:r>
        <w:rPr>
          <w:sz w:val="20"/>
        </w:rPr>
        <w:t>,</w:t>
      </w:r>
      <w:r w:rsidRPr="006B294C">
        <w:rPr>
          <w:sz w:val="20"/>
        </w:rPr>
        <w:t xml:space="preserve"> as defined in 40</w:t>
      </w:r>
      <w:r>
        <w:rPr>
          <w:sz w:val="20"/>
        </w:rPr>
        <w:t xml:space="preserve"> </w:t>
      </w:r>
      <w:r w:rsidRPr="006B294C">
        <w:rPr>
          <w:sz w:val="20"/>
        </w:rPr>
        <w:t>CFR Part 72.2</w:t>
      </w:r>
      <w:r>
        <w:rPr>
          <w:sz w:val="20"/>
        </w:rPr>
        <w:t>,</w:t>
      </w:r>
      <w:r w:rsidRPr="002046FC">
        <w:rPr>
          <w:sz w:val="20"/>
        </w:rPr>
        <w:t xml:space="preserve"> </w:t>
      </w:r>
      <w:r w:rsidRPr="006B294C">
        <w:rPr>
          <w:sz w:val="20"/>
        </w:rPr>
        <w:t>through FGTURBINES</w:t>
      </w:r>
      <w:r>
        <w:rPr>
          <w:sz w:val="20"/>
        </w:rPr>
        <w:t>.</w:t>
      </w:r>
      <w:r>
        <w:rPr>
          <w:sz w:val="20"/>
          <w:vertAlign w:val="superscript"/>
        </w:rPr>
        <w:t>2</w:t>
      </w:r>
      <w:r w:rsidR="00B12E93">
        <w:rPr>
          <w:sz w:val="20"/>
        </w:rPr>
        <w:t xml:space="preserve"> </w:t>
      </w:r>
      <w:r w:rsidRPr="006B294C">
        <w:rPr>
          <w:b/>
          <w:bCs/>
          <w:sz w:val="20"/>
        </w:rPr>
        <w:t>(R</w:t>
      </w:r>
      <w:r>
        <w:rPr>
          <w:b/>
          <w:bCs/>
          <w:sz w:val="20"/>
        </w:rPr>
        <w:t> </w:t>
      </w:r>
      <w:r w:rsidRPr="006B294C">
        <w:rPr>
          <w:b/>
          <w:bCs/>
          <w:sz w:val="20"/>
        </w:rPr>
        <w:t>336.1201(3))</w:t>
      </w:r>
    </w:p>
    <w:p w:rsidR="002E013C" w:rsidRDefault="002E013C" w:rsidP="0043663A">
      <w:pPr>
        <w:numPr>
          <w:ilvl w:val="0"/>
          <w:numId w:val="35"/>
        </w:numPr>
        <w:autoSpaceDE w:val="0"/>
        <w:autoSpaceDN w:val="0"/>
        <w:adjustRightInd w:val="0"/>
        <w:spacing w:after="120"/>
        <w:ind w:left="360"/>
        <w:jc w:val="both"/>
        <w:rPr>
          <w:sz w:val="20"/>
        </w:rPr>
      </w:pPr>
      <w:r w:rsidRPr="006B294C">
        <w:rPr>
          <w:sz w:val="20"/>
        </w:rPr>
        <w:t>The sulfur content of the natural gas shall not excee</w:t>
      </w:r>
      <w:r>
        <w:rPr>
          <w:sz w:val="20"/>
        </w:rPr>
        <w:t xml:space="preserve">d 0.8 percent by weight.  </w:t>
      </w:r>
      <w:r w:rsidRPr="006B294C">
        <w:rPr>
          <w:b/>
          <w:bCs/>
          <w:sz w:val="20"/>
        </w:rPr>
        <w:t>(40 CFR 60.333(b))</w:t>
      </w:r>
    </w:p>
    <w:p w:rsidR="00AE1D84" w:rsidRPr="002E013C" w:rsidRDefault="002E013C" w:rsidP="0043663A">
      <w:pPr>
        <w:numPr>
          <w:ilvl w:val="0"/>
          <w:numId w:val="35"/>
        </w:numPr>
        <w:autoSpaceDE w:val="0"/>
        <w:autoSpaceDN w:val="0"/>
        <w:adjustRightInd w:val="0"/>
        <w:spacing w:after="240"/>
        <w:ind w:left="360"/>
        <w:jc w:val="both"/>
        <w:rPr>
          <w:sz w:val="20"/>
        </w:rPr>
      </w:pPr>
      <w:r w:rsidRPr="006B294C">
        <w:rPr>
          <w:sz w:val="20"/>
        </w:rPr>
        <w:t xml:space="preserve">FGTURBINES shall be operated at all times within the range of gas producer speed, based on </w:t>
      </w:r>
      <w:r w:rsidRPr="00674658">
        <w:rPr>
          <w:sz w:val="20"/>
        </w:rPr>
        <w:t>an hourly</w:t>
      </w:r>
      <w:r>
        <w:rPr>
          <w:sz w:val="20"/>
        </w:rPr>
        <w:t xml:space="preserve"> </w:t>
      </w:r>
      <w:r w:rsidRPr="006B294C">
        <w:rPr>
          <w:sz w:val="20"/>
        </w:rPr>
        <w:t xml:space="preserve">average, established by the </w:t>
      </w:r>
      <w:r>
        <w:rPr>
          <w:color w:val="000000"/>
          <w:sz w:val="20"/>
        </w:rPr>
        <w:t>p</w:t>
      </w:r>
      <w:r w:rsidRPr="005636A5">
        <w:rPr>
          <w:color w:val="000000"/>
          <w:sz w:val="20"/>
        </w:rPr>
        <w:t>ermittee to assure compliance with the above applicable NOx</w:t>
      </w:r>
      <w:r w:rsidRPr="006B294C">
        <w:rPr>
          <w:sz w:val="20"/>
        </w:rPr>
        <w:t xml:space="preserve"> and CO emission limits</w:t>
      </w:r>
      <w:r w:rsidRPr="007816A2">
        <w:rPr>
          <w:color w:val="000000"/>
          <w:sz w:val="20"/>
        </w:rPr>
        <w:t>.</w:t>
      </w:r>
      <w:r w:rsidRPr="007816A2">
        <w:rPr>
          <w:color w:val="0000FF"/>
          <w:sz w:val="20"/>
        </w:rPr>
        <w:t xml:space="preserve">  </w:t>
      </w:r>
      <w:r w:rsidRPr="006B294C">
        <w:rPr>
          <w:b/>
          <w:bCs/>
          <w:sz w:val="20"/>
        </w:rPr>
        <w:t>(R</w:t>
      </w:r>
      <w:r w:rsidR="00A33090">
        <w:rPr>
          <w:b/>
          <w:bCs/>
          <w:sz w:val="20"/>
        </w:rPr>
        <w:t> </w:t>
      </w:r>
      <w:r w:rsidRPr="006B294C">
        <w:rPr>
          <w:b/>
          <w:bCs/>
          <w:sz w:val="20"/>
        </w:rPr>
        <w:t>336.1213(3)(b))</w:t>
      </w:r>
    </w:p>
    <w:p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rsidR="00AE1D84" w:rsidRPr="00C3424D" w:rsidRDefault="00AE1D84" w:rsidP="00F62984">
      <w:pPr>
        <w:jc w:val="both"/>
        <w:rPr>
          <w:sz w:val="20"/>
        </w:rPr>
      </w:pPr>
    </w:p>
    <w:p w:rsidR="00AE1D84" w:rsidRPr="002E013C" w:rsidRDefault="002E013C" w:rsidP="0043663A">
      <w:pPr>
        <w:pStyle w:val="ROPShellNumbering"/>
        <w:numPr>
          <w:ilvl w:val="0"/>
          <w:numId w:val="49"/>
        </w:numPr>
        <w:spacing w:after="240"/>
        <w:jc w:val="both"/>
      </w:pPr>
      <w:r>
        <w:t>Hourly and rolling 12-month rolling e</w:t>
      </w:r>
      <w:r w:rsidRPr="00E9664A">
        <w:t xml:space="preserve">mission limits identified above represent total emission limits for FGTURBINES.  </w:t>
      </w:r>
      <w:r>
        <w:t xml:space="preserve">Emission </w:t>
      </w:r>
      <w:r w:rsidRPr="00E9664A">
        <w:t xml:space="preserve">limits </w:t>
      </w:r>
      <w:r>
        <w:t xml:space="preserve">for EUTURBINE1 and EUTURBINE2, individually, </w:t>
      </w:r>
      <w:r w:rsidRPr="00E9664A">
        <w:t>are one-half of the listed value</w:t>
      </w:r>
      <w:r w:rsidRPr="00640D7F">
        <w:t>s.</w:t>
      </w:r>
      <w:r>
        <w:rPr>
          <w:vertAlign w:val="superscript"/>
        </w:rPr>
        <w:t>2</w:t>
      </w:r>
      <w:r>
        <w:t xml:space="preserve">  </w:t>
      </w:r>
      <w:r w:rsidRPr="00974B22">
        <w:rPr>
          <w:b/>
          <w:bCs/>
        </w:rPr>
        <w:t>(R 336.12</w:t>
      </w:r>
      <w:r>
        <w:rPr>
          <w:b/>
          <w:bCs/>
        </w:rPr>
        <w:t>01</w:t>
      </w:r>
      <w:r w:rsidRPr="00974B22">
        <w:rPr>
          <w:b/>
          <w:bCs/>
        </w:rPr>
        <w:t>(3))</w:t>
      </w:r>
    </w:p>
    <w:p w:rsidR="00AE1D84" w:rsidRDefault="00AE1D84" w:rsidP="00F62984">
      <w:pPr>
        <w:jc w:val="both"/>
        <w:rPr>
          <w:b/>
          <w:u w:val="single"/>
        </w:rPr>
      </w:pPr>
      <w:r>
        <w:rPr>
          <w:b/>
        </w:rPr>
        <w:t xml:space="preserve">V.  </w:t>
      </w:r>
      <w:r>
        <w:rPr>
          <w:b/>
          <w:u w:val="single"/>
        </w:rPr>
        <w:t>TESTING/SAMPLING</w:t>
      </w:r>
    </w:p>
    <w:p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521FFB" w:rsidRPr="00FE0AD0" w:rsidRDefault="00521FFB" w:rsidP="00F62984">
      <w:pPr>
        <w:jc w:val="both"/>
        <w:rPr>
          <w:sz w:val="20"/>
        </w:rPr>
      </w:pPr>
    </w:p>
    <w:p w:rsidR="00AE1D84" w:rsidRPr="00521FFB" w:rsidRDefault="00AE1D84" w:rsidP="0043663A">
      <w:pPr>
        <w:numPr>
          <w:ilvl w:val="0"/>
          <w:numId w:val="39"/>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521FFB" w:rsidRPr="002E013C">
        <w:rPr>
          <w:rFonts w:cs="Arial"/>
          <w:sz w:val="20"/>
        </w:rPr>
        <w:t>NOx and CO</w:t>
      </w:r>
      <w:r w:rsidR="00521FFB" w:rsidRPr="00E40673">
        <w:rPr>
          <w:rFonts w:cs="Arial"/>
          <w:color w:val="000000"/>
          <w:sz w:val="20"/>
        </w:rPr>
        <w:t xml:space="preserve"> </w:t>
      </w:r>
      <w:r w:rsidRPr="00E40673">
        <w:rPr>
          <w:rFonts w:cs="Arial"/>
          <w:color w:val="000000"/>
          <w:sz w:val="20"/>
        </w:rPr>
        <w:t xml:space="preserve">emission rates from </w:t>
      </w:r>
      <w:r w:rsidR="00521FFB" w:rsidRPr="002E013C">
        <w:rPr>
          <w:rFonts w:cs="Arial"/>
          <w:sz w:val="20"/>
        </w:rPr>
        <w:t>EUTURBINE1 and EUTURBINE2</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r w:rsidR="00521FFB">
        <w:rPr>
          <w:rFonts w:cs="Arial"/>
          <w:color w:val="000000"/>
          <w:sz w:val="20"/>
        </w:rPr>
        <w:t xml:space="preserve"> </w:t>
      </w:r>
      <w:r w:rsidR="00521FFB" w:rsidRPr="00521FFB">
        <w:rPr>
          <w:rFonts w:eastAsia="Calibri" w:cs="Arial"/>
          <w:sz w:val="20"/>
        </w:rPr>
        <w:t>40 CFR Part 60, Appendix A</w:t>
      </w:r>
      <w:r w:rsidR="00521FFB">
        <w:rPr>
          <w:rFonts w:cs="Arial"/>
          <w:color w:val="000000"/>
          <w:sz w:val="20"/>
        </w:rPr>
        <w:t xml:space="preserve">. </w:t>
      </w:r>
      <w:r w:rsidRPr="00521FFB">
        <w:rPr>
          <w:rFonts w:cs="Arial"/>
          <w:sz w:val="20"/>
        </w:rPr>
        <w:t>An alternate method, or a modification to the approved EPA Method,</w:t>
      </w:r>
      <w:r w:rsidRPr="00521FFB">
        <w:rPr>
          <w:rFonts w:cs="Arial"/>
          <w:color w:val="000000"/>
          <w:sz w:val="20"/>
        </w:rPr>
        <w:t xml:space="preserve"> may be specified in an AQD-approved Test Protocol.  No less </w:t>
      </w:r>
      <w:r w:rsidRPr="00521FFB">
        <w:rPr>
          <w:rFonts w:cs="Arial"/>
          <w:sz w:val="20"/>
        </w:rPr>
        <w:t xml:space="preserve">than 30 </w:t>
      </w:r>
      <w:r w:rsidRPr="00521FFB">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sidR="002D6F00" w:rsidRPr="00521FFB">
        <w:rPr>
          <w:rFonts w:cs="Arial"/>
          <w:color w:val="000000"/>
          <w:sz w:val="20"/>
        </w:rPr>
        <w:t>.</w:t>
      </w:r>
      <w:r w:rsidRPr="00521FFB">
        <w:rPr>
          <w:rFonts w:cs="Arial"/>
          <w:color w:val="000000"/>
          <w:sz w:val="20"/>
        </w:rPr>
        <w:t xml:space="preserve">  The permittee must submit a complete report of the test results to the AQD Technical Programs Unit and District Office within 60 days following the last date of the test.</w:t>
      </w:r>
      <w:r w:rsidR="00092B8A" w:rsidRPr="00521FFB">
        <w:rPr>
          <w:rFonts w:cs="Arial"/>
          <w:color w:val="000000"/>
          <w:sz w:val="20"/>
        </w:rPr>
        <w:t xml:space="preserve"> </w:t>
      </w:r>
      <w:r w:rsidRPr="00521FFB">
        <w:rPr>
          <w:rFonts w:cs="Arial"/>
          <w:b/>
          <w:color w:val="000000"/>
          <w:sz w:val="20"/>
        </w:rPr>
        <w:t xml:space="preserve"> (</w:t>
      </w:r>
      <w:r w:rsidRPr="00521FFB">
        <w:rPr>
          <w:b/>
          <w:sz w:val="20"/>
        </w:rPr>
        <w:t xml:space="preserve">R 336.1213(3), </w:t>
      </w:r>
      <w:r w:rsidRPr="00521FFB">
        <w:rPr>
          <w:rFonts w:cs="Arial"/>
          <w:b/>
          <w:color w:val="000000"/>
          <w:sz w:val="20"/>
        </w:rPr>
        <w:t>R 336.2001, R 336.2003, R 336.2004)</w:t>
      </w:r>
    </w:p>
    <w:p w:rsidR="00AE1D84" w:rsidRDefault="00AE1D84" w:rsidP="00F62984">
      <w:pPr>
        <w:jc w:val="both"/>
        <w:rPr>
          <w:rFonts w:cs="Arial"/>
          <w:sz w:val="20"/>
        </w:rPr>
      </w:pPr>
    </w:p>
    <w:p w:rsidR="00AE1D84" w:rsidRPr="00E7046D" w:rsidRDefault="00AE1D84" w:rsidP="0043663A">
      <w:pPr>
        <w:numPr>
          <w:ilvl w:val="0"/>
          <w:numId w:val="39"/>
        </w:numPr>
        <w:jc w:val="both"/>
        <w:rPr>
          <w:rFonts w:cs="Arial"/>
          <w:sz w:val="20"/>
        </w:rPr>
      </w:pPr>
      <w:r w:rsidRPr="00E7046D">
        <w:rPr>
          <w:rFonts w:cs="Arial"/>
          <w:sz w:val="20"/>
        </w:rPr>
        <w:t xml:space="preserve">The permittee shall verify the </w:t>
      </w:r>
      <w:r w:rsidR="004172F3">
        <w:rPr>
          <w:rFonts w:cs="Arial"/>
          <w:sz w:val="20"/>
        </w:rPr>
        <w:t>N</w:t>
      </w:r>
      <w:r w:rsidR="00BB3D0C">
        <w:rPr>
          <w:rFonts w:cs="Arial"/>
          <w:sz w:val="20"/>
        </w:rPr>
        <w:t>O</w:t>
      </w:r>
      <w:r w:rsidR="004172F3">
        <w:rPr>
          <w:rFonts w:cs="Arial"/>
          <w:sz w:val="20"/>
        </w:rPr>
        <w:t xml:space="preserve">x and </w:t>
      </w:r>
      <w:r w:rsidR="00BB3D0C">
        <w:rPr>
          <w:rFonts w:cs="Arial"/>
          <w:sz w:val="20"/>
        </w:rPr>
        <w:t>CO</w:t>
      </w:r>
      <w:r w:rsidRPr="00E7046D">
        <w:rPr>
          <w:rFonts w:cs="Arial"/>
          <w:sz w:val="20"/>
        </w:rPr>
        <w:t xml:space="preserve"> emission rates from </w:t>
      </w:r>
      <w:r w:rsidR="00BB3D0C">
        <w:rPr>
          <w:rFonts w:cs="Arial"/>
          <w:sz w:val="20"/>
        </w:rPr>
        <w:t>EUTURBINE1 and EUTURBINE2</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rsidR="00AE1D84" w:rsidRPr="00E111A8" w:rsidRDefault="00AE1D84" w:rsidP="00F62984">
      <w:pPr>
        <w:jc w:val="both"/>
        <w:rPr>
          <w:sz w:val="20"/>
        </w:rPr>
      </w:pPr>
    </w:p>
    <w:p w:rsidR="00AE1D84" w:rsidRDefault="00AE1D84" w:rsidP="0043663A">
      <w:pPr>
        <w:numPr>
          <w:ilvl w:val="0"/>
          <w:numId w:val="39"/>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rsidR="00CF4002" w:rsidRDefault="00CF4002" w:rsidP="00CF4002">
      <w:pPr>
        <w:pStyle w:val="ListParagraph"/>
        <w:rPr>
          <w:rFonts w:cs="Arial"/>
          <w:b/>
          <w:sz w:val="20"/>
        </w:rPr>
      </w:pPr>
    </w:p>
    <w:p w:rsidR="00CF4002" w:rsidRPr="00CF4002" w:rsidRDefault="00CF4002" w:rsidP="0043663A">
      <w:pPr>
        <w:numPr>
          <w:ilvl w:val="0"/>
          <w:numId w:val="39"/>
        </w:numPr>
        <w:jc w:val="both"/>
        <w:rPr>
          <w:rFonts w:cs="Arial"/>
          <w:b/>
          <w:sz w:val="20"/>
        </w:rPr>
      </w:pPr>
      <w:r w:rsidRPr="008F2BFE">
        <w:rPr>
          <w:rFonts w:cs="Arial"/>
          <w:sz w:val="20"/>
        </w:rPr>
        <w:t>Within 180 days of issuance of this Renewal ROP, the permittee shall establish those ranges of gas producer speed and percent load within which the two turbines can operate in compliance with their emission limits</w:t>
      </w:r>
      <w:r>
        <w:rPr>
          <w:rFonts w:cs="Arial"/>
          <w:sz w:val="20"/>
        </w:rPr>
        <w:t>.</w:t>
      </w:r>
      <w:r w:rsidRPr="008F2BFE">
        <w:rPr>
          <w:rFonts w:cs="Arial"/>
          <w:sz w:val="20"/>
        </w:rPr>
        <w:t xml:space="preserve"> </w:t>
      </w:r>
      <w:r w:rsidRPr="008F2BFE">
        <w:rPr>
          <w:rFonts w:cs="Arial"/>
          <w:b/>
          <w:bCs/>
          <w:sz w:val="20"/>
        </w:rPr>
        <w:t>(R</w:t>
      </w:r>
      <w:r>
        <w:rPr>
          <w:rFonts w:cs="Arial"/>
          <w:b/>
          <w:bCs/>
          <w:sz w:val="20"/>
        </w:rPr>
        <w:t> </w:t>
      </w:r>
      <w:r w:rsidRPr="008F2BFE">
        <w:rPr>
          <w:rFonts w:cs="Arial"/>
          <w:b/>
          <w:bCs/>
          <w:sz w:val="20"/>
        </w:rPr>
        <w:t>336.1213(3)(b))</w:t>
      </w:r>
    </w:p>
    <w:p w:rsidR="00CF4002" w:rsidRDefault="00CF4002" w:rsidP="00CF4002">
      <w:pPr>
        <w:pStyle w:val="ListParagraph"/>
        <w:rPr>
          <w:rFonts w:cs="Arial"/>
          <w:b/>
          <w:sz w:val="20"/>
        </w:rPr>
      </w:pPr>
    </w:p>
    <w:p w:rsidR="00CF4002" w:rsidRPr="00CF4002" w:rsidRDefault="00CF4002" w:rsidP="00CF4002">
      <w:pPr>
        <w:numPr>
          <w:ilvl w:val="0"/>
          <w:numId w:val="39"/>
        </w:numPr>
        <w:spacing w:after="120"/>
        <w:jc w:val="both"/>
        <w:rPr>
          <w:rFonts w:cs="Arial"/>
          <w:sz w:val="20"/>
        </w:rPr>
      </w:pPr>
      <w:r w:rsidRPr="00CD56B2">
        <w:rPr>
          <w:rFonts w:cs="Arial"/>
          <w:sz w:val="20"/>
        </w:rPr>
        <w:t>All testing, sampling, analytical and calibration procedures used for the NOx and CO test programs shall be performed in accordance with 40 CFR, Part 60, Subpart GG and 40 CFR 60, Appendix A, Methods 7E, 10 or other acceptable refere</w:t>
      </w:r>
      <w:r>
        <w:rPr>
          <w:rFonts w:cs="Arial"/>
          <w:sz w:val="20"/>
        </w:rPr>
        <w:t xml:space="preserve">nce methods approved by the AQD.  </w:t>
      </w:r>
      <w:r w:rsidRPr="00CD56B2">
        <w:rPr>
          <w:rFonts w:cs="Arial"/>
          <w:b/>
          <w:bCs/>
          <w:sz w:val="20"/>
        </w:rPr>
        <w:t>(R</w:t>
      </w:r>
      <w:r>
        <w:rPr>
          <w:rFonts w:cs="Arial"/>
          <w:b/>
          <w:bCs/>
          <w:sz w:val="20"/>
        </w:rPr>
        <w:t> </w:t>
      </w:r>
      <w:r w:rsidRPr="00CD56B2">
        <w:rPr>
          <w:rFonts w:cs="Arial"/>
          <w:b/>
          <w:bCs/>
          <w:sz w:val="20"/>
        </w:rPr>
        <w:t>336.1213(3))</w:t>
      </w:r>
    </w:p>
    <w:p w:rsidR="00AE1D84" w:rsidRPr="00FE0AD0" w:rsidRDefault="00AE1D84" w:rsidP="00F62984">
      <w:pPr>
        <w:jc w:val="both"/>
        <w:rPr>
          <w:sz w:val="20"/>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FE0AD0" w:rsidRDefault="00AE1D84" w:rsidP="00F62984">
      <w:pPr>
        <w:jc w:val="both"/>
        <w:rPr>
          <w:sz w:val="20"/>
        </w:rPr>
      </w:pPr>
    </w:p>
    <w:p w:rsidR="007D2CC5" w:rsidRPr="00DD23D5" w:rsidRDefault="007D2CC5" w:rsidP="007D2CC5">
      <w:pPr>
        <w:numPr>
          <w:ilvl w:val="0"/>
          <w:numId w:val="57"/>
        </w:numPr>
        <w:spacing w:after="120"/>
        <w:rPr>
          <w:rFonts w:cs="Arial"/>
          <w:color w:val="000000"/>
          <w:sz w:val="20"/>
        </w:rPr>
      </w:pPr>
      <w:r w:rsidRPr="00606131">
        <w:rPr>
          <w:rFonts w:cs="Arial"/>
          <w:color w:val="000000"/>
          <w:sz w:val="20"/>
        </w:rPr>
        <w:t>The permittee shall maintain the following records for FGTURBINES on site:</w:t>
      </w:r>
      <w:r w:rsidRPr="00606131">
        <w:rPr>
          <w:rFonts w:cs="Arial"/>
          <w:sz w:val="20"/>
          <w:vertAlign w:val="superscript"/>
        </w:rPr>
        <w:t>2</w:t>
      </w:r>
      <w:r w:rsidRPr="00606131">
        <w:rPr>
          <w:rFonts w:cs="Arial"/>
          <w:sz w:val="20"/>
        </w:rPr>
        <w:t xml:space="preserve"> </w:t>
      </w:r>
      <w:r>
        <w:rPr>
          <w:rFonts w:cs="Arial"/>
          <w:sz w:val="20"/>
        </w:rPr>
        <w:t xml:space="preserve"> </w:t>
      </w:r>
      <w:r w:rsidRPr="00DD23D5">
        <w:rPr>
          <w:rFonts w:cs="Arial"/>
          <w:b/>
          <w:bCs/>
          <w:sz w:val="20"/>
        </w:rPr>
        <w:t>(R 336.1201(3))</w:t>
      </w:r>
    </w:p>
    <w:p w:rsidR="007D2CC5" w:rsidRPr="0070706E" w:rsidRDefault="007D2CC5" w:rsidP="007D2CC5">
      <w:pPr>
        <w:pStyle w:val="NormalWeb"/>
        <w:numPr>
          <w:ilvl w:val="1"/>
          <w:numId w:val="46"/>
        </w:numPr>
        <w:jc w:val="both"/>
        <w:rPr>
          <w:rFonts w:ascii="Arial" w:hAnsi="Arial" w:cs="Arial"/>
          <w:sz w:val="20"/>
          <w:szCs w:val="20"/>
        </w:rPr>
      </w:pPr>
      <w:r w:rsidRPr="0070706E">
        <w:rPr>
          <w:rFonts w:ascii="Arial" w:hAnsi="Arial" w:cs="Arial"/>
          <w:sz w:val="20"/>
          <w:szCs w:val="20"/>
        </w:rPr>
        <w:t>Turbine Gas Producer Speed (%NGP) for each turbine, recorded on an averaging period not exceeding an hourly basis.</w:t>
      </w:r>
    </w:p>
    <w:p w:rsidR="007D2CC5" w:rsidRPr="0070706E" w:rsidRDefault="007D2CC5" w:rsidP="007D2CC5">
      <w:pPr>
        <w:pStyle w:val="NormalWeb"/>
        <w:numPr>
          <w:ilvl w:val="1"/>
          <w:numId w:val="46"/>
        </w:numPr>
        <w:jc w:val="both"/>
        <w:rPr>
          <w:rFonts w:ascii="Arial" w:hAnsi="Arial" w:cs="Arial"/>
          <w:sz w:val="20"/>
          <w:szCs w:val="20"/>
        </w:rPr>
      </w:pPr>
      <w:r w:rsidRPr="0070706E">
        <w:rPr>
          <w:rFonts w:ascii="Arial" w:hAnsi="Arial" w:cs="Arial"/>
          <w:sz w:val="20"/>
          <w:szCs w:val="20"/>
        </w:rPr>
        <w:t>An indicator as to whether or not each turbine is operating in Solonox (e.g.: “Solonox-ON”) or non-Solonox (e.g.: “Solonox-OFF”) mode.</w:t>
      </w:r>
    </w:p>
    <w:p w:rsidR="007D2CC5" w:rsidRPr="000A7144" w:rsidRDefault="007D2CC5" w:rsidP="007D2CC5">
      <w:pPr>
        <w:pStyle w:val="NormalWeb"/>
        <w:numPr>
          <w:ilvl w:val="1"/>
          <w:numId w:val="46"/>
        </w:numPr>
        <w:jc w:val="both"/>
        <w:rPr>
          <w:rFonts w:ascii="Arial" w:hAnsi="Arial" w:cs="Arial"/>
          <w:sz w:val="20"/>
          <w:szCs w:val="20"/>
        </w:rPr>
      </w:pPr>
      <w:r w:rsidRPr="000A7144">
        <w:rPr>
          <w:rFonts w:ascii="Arial" w:hAnsi="Arial" w:cs="Arial"/>
          <w:sz w:val="20"/>
          <w:szCs w:val="20"/>
        </w:rPr>
        <w:t>The carbon monoxide and NOx emission rates (</w:t>
      </w:r>
      <w:r>
        <w:rPr>
          <w:rFonts w:ascii="Arial" w:hAnsi="Arial" w:cs="Arial"/>
          <w:sz w:val="20"/>
          <w:szCs w:val="20"/>
        </w:rPr>
        <w:t>lb</w:t>
      </w:r>
      <w:r w:rsidRPr="000A7144">
        <w:rPr>
          <w:rFonts w:ascii="Arial" w:hAnsi="Arial" w:cs="Arial"/>
          <w:sz w:val="20"/>
          <w:szCs w:val="20"/>
        </w:rPr>
        <w:t>/hour) for each turbine, calculated on an hourly basis.  The carbon monoxide and NOx emission rates shall be calculated in accordance with the procedures specified in Appendix 7.</w:t>
      </w:r>
    </w:p>
    <w:p w:rsidR="007D2CC5" w:rsidRPr="000A7144" w:rsidRDefault="007D2CC5" w:rsidP="007D2CC5">
      <w:pPr>
        <w:pStyle w:val="NormalWeb"/>
        <w:numPr>
          <w:ilvl w:val="1"/>
          <w:numId w:val="46"/>
        </w:numPr>
        <w:jc w:val="both"/>
        <w:rPr>
          <w:rFonts w:ascii="Arial" w:hAnsi="Arial" w:cs="Arial"/>
          <w:sz w:val="20"/>
          <w:szCs w:val="20"/>
        </w:rPr>
      </w:pPr>
      <w:r w:rsidRPr="000A7144">
        <w:rPr>
          <w:rFonts w:ascii="Arial" w:hAnsi="Arial" w:cs="Arial"/>
          <w:sz w:val="20"/>
          <w:szCs w:val="20"/>
        </w:rPr>
        <w:lastRenderedPageBreak/>
        <w:t>Carbon monoxide and NOx emission rates (tons per year, based upon a rolling 12-month time period), calculated on a monthly basis.</w:t>
      </w:r>
    </w:p>
    <w:p w:rsidR="007D2CC5" w:rsidRPr="000A7144" w:rsidRDefault="007D2CC5" w:rsidP="007D2CC5">
      <w:pPr>
        <w:pStyle w:val="NormalWeb"/>
        <w:numPr>
          <w:ilvl w:val="1"/>
          <w:numId w:val="46"/>
        </w:numPr>
        <w:jc w:val="both"/>
        <w:rPr>
          <w:rFonts w:ascii="Arial" w:hAnsi="Arial" w:cs="Arial"/>
          <w:sz w:val="20"/>
          <w:szCs w:val="20"/>
        </w:rPr>
      </w:pPr>
      <w:r w:rsidRPr="000A7144">
        <w:rPr>
          <w:rFonts w:ascii="Arial" w:hAnsi="Arial" w:cs="Arial"/>
          <w:sz w:val="20"/>
          <w:szCs w:val="20"/>
        </w:rPr>
        <w:t>A current and valid Federal Energy Regulatory Commission Gas Tariff for the facility.</w:t>
      </w:r>
    </w:p>
    <w:p w:rsidR="007D2CC5" w:rsidRPr="006624A0" w:rsidRDefault="007D2CC5" w:rsidP="007D2CC5">
      <w:pPr>
        <w:numPr>
          <w:ilvl w:val="0"/>
          <w:numId w:val="57"/>
        </w:numPr>
        <w:spacing w:after="240"/>
        <w:jc w:val="both"/>
        <w:rPr>
          <w:rFonts w:cs="Arial"/>
          <w:b/>
          <w:bCs/>
          <w:color w:val="000000"/>
          <w:sz w:val="20"/>
        </w:rPr>
      </w:pPr>
      <w:r w:rsidRPr="006624A0">
        <w:rPr>
          <w:rFonts w:cs="Arial"/>
          <w:color w:val="000000"/>
          <w:sz w:val="20"/>
        </w:rPr>
        <w:t>Monitoring and recording of emission and operating information for EUTURBINES is required to comply with the federal Standards of Performance for New Stationary Sources as specified in 40 CFR Part 60, Subparts A and GG.  In addition, Subpart GG also requires the monitoring of the nitrogen and sulfur content in the natural gas.  The fuel monitoring procedure shall comply with the Custom Fuel Monitoring Plan (CFMP) included within Appendix 3 of the ROP.  All source emissions data and operating data shall be submitted to the District Supervisor in an acceptable format within 30 days following the end of the calendar quarter in which the data were collected.</w:t>
      </w:r>
      <w:r w:rsidRPr="006624A0">
        <w:rPr>
          <w:rFonts w:cs="Arial"/>
          <w:sz w:val="20"/>
          <w:vertAlign w:val="superscript"/>
        </w:rPr>
        <w:t>2</w:t>
      </w:r>
      <w:r w:rsidRPr="006624A0">
        <w:rPr>
          <w:rFonts w:cs="Arial"/>
          <w:color w:val="000000"/>
          <w:sz w:val="20"/>
        </w:rPr>
        <w:t xml:space="preserve">  </w:t>
      </w:r>
      <w:r w:rsidRPr="006624A0">
        <w:rPr>
          <w:rFonts w:cs="Arial"/>
          <w:b/>
          <w:color w:val="000000"/>
          <w:sz w:val="20"/>
        </w:rPr>
        <w:t>(R 336.1201(3),</w:t>
      </w:r>
      <w:r w:rsidRPr="006624A0">
        <w:rPr>
          <w:rFonts w:cs="Arial"/>
          <w:color w:val="000000"/>
          <w:sz w:val="20"/>
        </w:rPr>
        <w:t xml:space="preserve"> </w:t>
      </w:r>
      <w:r w:rsidRPr="006624A0">
        <w:rPr>
          <w:rFonts w:cs="Arial"/>
          <w:b/>
          <w:bCs/>
          <w:color w:val="000000"/>
          <w:sz w:val="20"/>
        </w:rPr>
        <w:t>40 CFR Subparts A and GG)</w:t>
      </w:r>
    </w:p>
    <w:p w:rsidR="007D2CC5" w:rsidRPr="00606131" w:rsidRDefault="007D2CC5" w:rsidP="007D2CC5">
      <w:pPr>
        <w:numPr>
          <w:ilvl w:val="0"/>
          <w:numId w:val="57"/>
        </w:numPr>
        <w:spacing w:after="200"/>
        <w:jc w:val="both"/>
        <w:rPr>
          <w:rFonts w:cs="Arial"/>
          <w:sz w:val="20"/>
        </w:rPr>
      </w:pPr>
      <w:r>
        <w:rPr>
          <w:rFonts w:cs="Arial"/>
          <w:sz w:val="20"/>
        </w:rPr>
        <w:t>The p</w:t>
      </w:r>
      <w:r w:rsidRPr="00606131">
        <w:rPr>
          <w:rFonts w:cs="Arial"/>
          <w:sz w:val="20"/>
        </w:rPr>
        <w:t>ermittee shall monitor the nitrogen and sulfur content of the natural</w:t>
      </w:r>
      <w:r w:rsidR="006624A0">
        <w:rPr>
          <w:rFonts w:cs="Arial"/>
          <w:sz w:val="20"/>
        </w:rPr>
        <w:t xml:space="preserve"> </w:t>
      </w:r>
      <w:r w:rsidRPr="00606131">
        <w:rPr>
          <w:rFonts w:cs="Arial"/>
          <w:sz w:val="20"/>
        </w:rPr>
        <w:t>gas</w:t>
      </w:r>
      <w:r w:rsidR="006624A0">
        <w:rPr>
          <w:rFonts w:cs="Arial"/>
          <w:sz w:val="20"/>
        </w:rPr>
        <w:t xml:space="preserve"> by </w:t>
      </w:r>
      <w:r w:rsidR="006624A0" w:rsidRPr="00606131">
        <w:rPr>
          <w:rFonts w:cs="Arial"/>
          <w:sz w:val="20"/>
        </w:rPr>
        <w:t xml:space="preserve">following </w:t>
      </w:r>
      <w:r w:rsidR="006624A0">
        <w:rPr>
          <w:rFonts w:cs="Arial"/>
          <w:sz w:val="20"/>
        </w:rPr>
        <w:t>the</w:t>
      </w:r>
      <w:r w:rsidR="006624A0" w:rsidRPr="00606131">
        <w:rPr>
          <w:rFonts w:cs="Arial"/>
          <w:sz w:val="20"/>
        </w:rPr>
        <w:t xml:space="preserve"> approved custom fuel monitoring plan</w:t>
      </w:r>
      <w:r w:rsidRPr="00606131">
        <w:rPr>
          <w:rFonts w:cs="Arial"/>
          <w:sz w:val="20"/>
        </w:rPr>
        <w:t xml:space="preserve"> </w:t>
      </w:r>
      <w:r>
        <w:rPr>
          <w:rFonts w:cs="Arial"/>
          <w:sz w:val="20"/>
        </w:rPr>
        <w:t>as described in Appendix 3</w:t>
      </w:r>
      <w:r w:rsidRPr="00606131">
        <w:rPr>
          <w:rFonts w:cs="Arial"/>
          <w:sz w:val="20"/>
        </w:rPr>
        <w:t>.</w:t>
      </w:r>
      <w:r>
        <w:rPr>
          <w:rFonts w:cs="Arial"/>
          <w:sz w:val="20"/>
        </w:rPr>
        <w:t xml:space="preserve">  </w:t>
      </w:r>
      <w:r w:rsidRPr="00606131">
        <w:rPr>
          <w:rFonts w:cs="Arial"/>
          <w:b/>
          <w:bCs/>
          <w:sz w:val="20"/>
        </w:rPr>
        <w:t>(40 CFR 60, Subparts A and GG)</w:t>
      </w:r>
    </w:p>
    <w:p w:rsidR="00AE1D84" w:rsidRPr="00916323" w:rsidRDefault="007D2CC5" w:rsidP="006624A0">
      <w:pPr>
        <w:numPr>
          <w:ilvl w:val="0"/>
          <w:numId w:val="57"/>
        </w:numPr>
        <w:spacing w:after="120"/>
        <w:jc w:val="both"/>
        <w:rPr>
          <w:rFonts w:cs="Arial"/>
          <w:color w:val="000000"/>
          <w:sz w:val="20"/>
        </w:rPr>
      </w:pPr>
      <w:r>
        <w:rPr>
          <w:rFonts w:cs="Arial"/>
          <w:color w:val="000000"/>
          <w:sz w:val="20"/>
        </w:rPr>
        <w:t>The p</w:t>
      </w:r>
      <w:r w:rsidRPr="00606131">
        <w:rPr>
          <w:rFonts w:cs="Arial"/>
          <w:color w:val="000000"/>
          <w:sz w:val="20"/>
        </w:rPr>
        <w:t>ermittee shall utilize FGTURBINES performance test results in the calcu</w:t>
      </w:r>
      <w:r>
        <w:rPr>
          <w:rFonts w:cs="Arial"/>
          <w:color w:val="000000"/>
          <w:sz w:val="20"/>
        </w:rPr>
        <w:t xml:space="preserve">lation of reportable emissions.  </w:t>
      </w:r>
      <w:r w:rsidRPr="0070706E">
        <w:rPr>
          <w:rFonts w:cs="Arial"/>
          <w:b/>
          <w:bCs/>
          <w:color w:val="000000"/>
          <w:sz w:val="20"/>
        </w:rPr>
        <w:t>(R 336.1213(3))(b)</w:t>
      </w:r>
    </w:p>
    <w:p w:rsidR="00916323" w:rsidRPr="006624A0" w:rsidRDefault="00A05D0D" w:rsidP="006624A0">
      <w:pPr>
        <w:numPr>
          <w:ilvl w:val="0"/>
          <w:numId w:val="57"/>
        </w:numPr>
        <w:spacing w:after="120"/>
        <w:jc w:val="both"/>
        <w:rPr>
          <w:rFonts w:cs="Arial"/>
          <w:color w:val="000000"/>
          <w:sz w:val="20"/>
        </w:rPr>
      </w:pPr>
      <w:r>
        <w:rPr>
          <w:rFonts w:cs="Arial"/>
          <w:color w:val="000000"/>
          <w:sz w:val="20"/>
        </w:rPr>
        <w:t>The permittee shall calculate the hourly and tons per year SO</w:t>
      </w:r>
      <w:r>
        <w:rPr>
          <w:rFonts w:cs="Arial"/>
          <w:color w:val="000000"/>
          <w:sz w:val="20"/>
          <w:vertAlign w:val="subscript"/>
        </w:rPr>
        <w:t>2</w:t>
      </w:r>
      <w:r>
        <w:rPr>
          <w:rFonts w:cs="Arial"/>
          <w:color w:val="000000"/>
          <w:sz w:val="20"/>
        </w:rPr>
        <w:t xml:space="preserve"> emissions.</w:t>
      </w:r>
      <w:r w:rsidR="00B12E93">
        <w:rPr>
          <w:rFonts w:cs="Arial"/>
          <w:color w:val="000000"/>
          <w:sz w:val="20"/>
        </w:rPr>
        <w:t xml:space="preserve"> </w:t>
      </w:r>
      <w:r w:rsidR="00161453">
        <w:rPr>
          <w:rFonts w:cs="Arial"/>
          <w:color w:val="000000"/>
          <w:sz w:val="20"/>
        </w:rPr>
        <w:t xml:space="preserve"> </w:t>
      </w:r>
      <w:r w:rsidR="00505F7D">
        <w:rPr>
          <w:rFonts w:cs="Arial"/>
          <w:b/>
          <w:color w:val="000000"/>
          <w:sz w:val="20"/>
        </w:rPr>
        <w:t>(R 336.1213(3))</w:t>
      </w:r>
    </w:p>
    <w:p w:rsidR="00AE1D84" w:rsidRPr="00523749" w:rsidRDefault="00AE1D84" w:rsidP="00F62984">
      <w:pPr>
        <w:jc w:val="both"/>
        <w:rPr>
          <w:b/>
          <w:sz w:val="20"/>
        </w:rPr>
      </w:pPr>
      <w:r w:rsidRPr="00FE0AD0">
        <w:rPr>
          <w:b/>
          <w:sz w:val="20"/>
        </w:rPr>
        <w:t>See Appendi</w:t>
      </w:r>
      <w:r>
        <w:rPr>
          <w:b/>
          <w:sz w:val="20"/>
        </w:rPr>
        <w:t>ces</w:t>
      </w:r>
      <w:r w:rsidRPr="00FE0AD0">
        <w:rPr>
          <w:b/>
          <w:sz w:val="20"/>
        </w:rPr>
        <w:t xml:space="preserve"> </w:t>
      </w:r>
      <w:r w:rsidR="00523749">
        <w:rPr>
          <w:b/>
          <w:sz w:val="20"/>
        </w:rPr>
        <w:t>3 and 7</w:t>
      </w:r>
    </w:p>
    <w:p w:rsidR="00AE1D84" w:rsidRPr="008B5C27" w:rsidRDefault="00AE1D84" w:rsidP="00F62984">
      <w:pPr>
        <w:jc w:val="both"/>
        <w:rPr>
          <w:sz w:val="20"/>
        </w:rPr>
      </w:pPr>
    </w:p>
    <w:p w:rsidR="00AE1D84" w:rsidRDefault="00AE1D84" w:rsidP="00F62984">
      <w:pPr>
        <w:jc w:val="both"/>
        <w:rPr>
          <w:b/>
          <w:u w:val="single"/>
        </w:rPr>
      </w:pPr>
      <w:r>
        <w:rPr>
          <w:b/>
        </w:rPr>
        <w:t xml:space="preserve">VII.  </w:t>
      </w:r>
      <w:r>
        <w:rPr>
          <w:b/>
          <w:u w:val="single"/>
        </w:rPr>
        <w:t>REPORTING</w:t>
      </w:r>
    </w:p>
    <w:p w:rsidR="00AE1D84" w:rsidRPr="008B5C27"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AE1D84" w:rsidRPr="00C0388E"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AE1D84" w:rsidRPr="00C0388E" w:rsidRDefault="00AE1D84" w:rsidP="00F62984">
      <w:pPr>
        <w:ind w:left="360" w:hanging="360"/>
        <w:jc w:val="both"/>
        <w:rPr>
          <w:sz w:val="20"/>
        </w:rPr>
      </w:pPr>
    </w:p>
    <w:p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D93901" w:rsidRPr="00D93901" w:rsidRDefault="00D93901" w:rsidP="000F479C">
      <w:pPr>
        <w:ind w:right="72"/>
        <w:jc w:val="both"/>
        <w:rPr>
          <w:rFonts w:cs="Arial"/>
          <w:color w:val="FF0000"/>
          <w:sz w:val="20"/>
        </w:rPr>
      </w:pPr>
    </w:p>
    <w:p w:rsidR="00AE1D84" w:rsidRDefault="00AE1D84" w:rsidP="0043663A">
      <w:pPr>
        <w:numPr>
          <w:ilvl w:val="0"/>
          <w:numId w:val="40"/>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rsidR="00C826FE" w:rsidRDefault="00C826FE" w:rsidP="00F62984">
      <w:pPr>
        <w:jc w:val="both"/>
        <w:rPr>
          <w:rFonts w:cs="Arial"/>
          <w:b/>
          <w:sz w:val="20"/>
        </w:rPr>
      </w:pPr>
    </w:p>
    <w:p w:rsidR="00AE1D84" w:rsidRPr="00FE0AD0" w:rsidRDefault="00AE1D84" w:rsidP="00F62984">
      <w:pPr>
        <w:jc w:val="both"/>
        <w:rPr>
          <w:rFonts w:cs="Arial"/>
          <w:b/>
          <w:sz w:val="20"/>
        </w:rPr>
      </w:pPr>
      <w:r w:rsidRPr="00FE0AD0">
        <w:rPr>
          <w:rFonts w:cs="Arial"/>
          <w:b/>
          <w:sz w:val="20"/>
        </w:rPr>
        <w:t>See Appendix 8</w:t>
      </w:r>
    </w:p>
    <w:p w:rsidR="00AE1D84" w:rsidRPr="00E111A8"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rsidTr="00E91170">
        <w:trPr>
          <w:cantSplit/>
          <w:tblHeader/>
        </w:trPr>
        <w:tc>
          <w:tcPr>
            <w:tcW w:w="3510" w:type="dxa"/>
            <w:tcBorders>
              <w:bottom w:val="single" w:sz="4" w:space="0" w:color="auto"/>
            </w:tcBorders>
          </w:tcPr>
          <w:p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rsidR="00AE1D84" w:rsidRPr="00BD3DE3" w:rsidRDefault="00AE1D84" w:rsidP="00F62984">
            <w:pPr>
              <w:jc w:val="center"/>
              <w:rPr>
                <w:b/>
                <w:sz w:val="20"/>
              </w:rPr>
            </w:pPr>
            <w:r w:rsidRPr="00BD3DE3">
              <w:rPr>
                <w:b/>
                <w:sz w:val="20"/>
              </w:rPr>
              <w:t>M</w:t>
            </w:r>
            <w:r>
              <w:rPr>
                <w:b/>
                <w:sz w:val="20"/>
              </w:rPr>
              <w:t>inimum Height Above Ground</w:t>
            </w:r>
          </w:p>
          <w:p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rsidR="00AE1D84" w:rsidRPr="00BD3DE3" w:rsidRDefault="00AE1D84" w:rsidP="00F62984">
            <w:pPr>
              <w:jc w:val="center"/>
              <w:rPr>
                <w:b/>
                <w:sz w:val="20"/>
              </w:rPr>
            </w:pPr>
            <w:r w:rsidRPr="00BD3DE3">
              <w:rPr>
                <w:b/>
                <w:sz w:val="20"/>
              </w:rPr>
              <w:t>Underlying Applicable Requirements</w:t>
            </w:r>
          </w:p>
          <w:p w:rsidR="00AE1D84" w:rsidRPr="00BD3DE3" w:rsidRDefault="00AE1D84" w:rsidP="00F62984">
            <w:pPr>
              <w:jc w:val="center"/>
              <w:rPr>
                <w:b/>
                <w:sz w:val="20"/>
              </w:rPr>
            </w:pPr>
          </w:p>
        </w:tc>
      </w:tr>
      <w:tr w:rsidR="006C7253" w:rsidTr="006C7253">
        <w:trPr>
          <w:cantSplit/>
        </w:trPr>
        <w:tc>
          <w:tcPr>
            <w:tcW w:w="3510" w:type="dxa"/>
            <w:tcBorders>
              <w:top w:val="single" w:sz="4" w:space="0" w:color="auto"/>
              <w:bottom w:val="single" w:sz="4" w:space="0" w:color="auto"/>
            </w:tcBorders>
          </w:tcPr>
          <w:p w:rsidR="006C7253" w:rsidRPr="00794966" w:rsidRDefault="006C7253" w:rsidP="006C7253">
            <w:pPr>
              <w:rPr>
                <w:sz w:val="20"/>
              </w:rPr>
            </w:pPr>
            <w:r>
              <w:rPr>
                <w:sz w:val="20"/>
              </w:rPr>
              <w:t>1.</w:t>
            </w:r>
            <w:r w:rsidR="00B12E93">
              <w:rPr>
                <w:sz w:val="20"/>
              </w:rPr>
              <w:t xml:space="preserve"> </w:t>
            </w:r>
            <w:r>
              <w:rPr>
                <w:sz w:val="20"/>
              </w:rPr>
              <w:t xml:space="preserve"> SVTURBINE1</w:t>
            </w:r>
          </w:p>
        </w:tc>
        <w:tc>
          <w:tcPr>
            <w:tcW w:w="1980" w:type="dxa"/>
            <w:tcBorders>
              <w:top w:val="single" w:sz="4" w:space="0" w:color="auto"/>
              <w:bottom w:val="single" w:sz="4" w:space="0" w:color="auto"/>
            </w:tcBorders>
          </w:tcPr>
          <w:p w:rsidR="006C7253" w:rsidRPr="00EA2DEB" w:rsidRDefault="006C7253" w:rsidP="006C7253">
            <w:pPr>
              <w:jc w:val="center"/>
              <w:rPr>
                <w:rFonts w:cs="Arial"/>
                <w:sz w:val="20"/>
              </w:rPr>
            </w:pPr>
            <w:r>
              <w:rPr>
                <w:sz w:val="20"/>
              </w:rPr>
              <w:t>144</w:t>
            </w:r>
            <w:r>
              <w:rPr>
                <w:rFonts w:cs="Arial"/>
                <w:sz w:val="20"/>
                <w:vertAlign w:val="superscript"/>
              </w:rPr>
              <w:t>2</w:t>
            </w:r>
          </w:p>
        </w:tc>
        <w:tc>
          <w:tcPr>
            <w:tcW w:w="2070" w:type="dxa"/>
            <w:tcBorders>
              <w:top w:val="single" w:sz="4" w:space="0" w:color="auto"/>
              <w:bottom w:val="single" w:sz="4" w:space="0" w:color="auto"/>
            </w:tcBorders>
          </w:tcPr>
          <w:p w:rsidR="006C7253" w:rsidRPr="00EA2DEB" w:rsidRDefault="006C7253" w:rsidP="006C7253">
            <w:pPr>
              <w:jc w:val="center"/>
              <w:rPr>
                <w:rFonts w:cs="Arial"/>
                <w:sz w:val="20"/>
              </w:rPr>
            </w:pPr>
            <w:r>
              <w:rPr>
                <w:sz w:val="20"/>
              </w:rPr>
              <w:t>59</w:t>
            </w:r>
            <w:r>
              <w:rPr>
                <w:rFonts w:cs="Arial"/>
                <w:sz w:val="20"/>
                <w:vertAlign w:val="superscript"/>
              </w:rPr>
              <w:t>2</w:t>
            </w:r>
          </w:p>
        </w:tc>
        <w:tc>
          <w:tcPr>
            <w:tcW w:w="2700" w:type="dxa"/>
            <w:tcBorders>
              <w:top w:val="single" w:sz="4" w:space="0" w:color="auto"/>
              <w:bottom w:val="single" w:sz="4" w:space="0" w:color="auto"/>
            </w:tcBorders>
          </w:tcPr>
          <w:p w:rsidR="006C7253" w:rsidRPr="009E4068" w:rsidRDefault="006C7253" w:rsidP="006C7253">
            <w:pPr>
              <w:jc w:val="center"/>
              <w:rPr>
                <w:b/>
                <w:sz w:val="20"/>
              </w:rPr>
            </w:pPr>
            <w:r>
              <w:rPr>
                <w:b/>
                <w:sz w:val="20"/>
              </w:rPr>
              <w:t>R 336.1201(3)</w:t>
            </w:r>
          </w:p>
        </w:tc>
      </w:tr>
      <w:tr w:rsidR="006C7253" w:rsidTr="00E91170">
        <w:trPr>
          <w:cantSplit/>
        </w:trPr>
        <w:tc>
          <w:tcPr>
            <w:tcW w:w="3510" w:type="dxa"/>
            <w:tcBorders>
              <w:top w:val="single" w:sz="4" w:space="0" w:color="auto"/>
            </w:tcBorders>
          </w:tcPr>
          <w:p w:rsidR="006C7253" w:rsidRDefault="006C7253" w:rsidP="006C7253">
            <w:pPr>
              <w:rPr>
                <w:sz w:val="20"/>
              </w:rPr>
            </w:pPr>
            <w:r>
              <w:rPr>
                <w:sz w:val="20"/>
              </w:rPr>
              <w:t xml:space="preserve">2. </w:t>
            </w:r>
            <w:r w:rsidR="00B12E93">
              <w:rPr>
                <w:sz w:val="20"/>
              </w:rPr>
              <w:t xml:space="preserve"> </w:t>
            </w:r>
            <w:r>
              <w:rPr>
                <w:sz w:val="20"/>
              </w:rPr>
              <w:t>SVTURBINE2</w:t>
            </w:r>
          </w:p>
        </w:tc>
        <w:tc>
          <w:tcPr>
            <w:tcW w:w="1980" w:type="dxa"/>
            <w:tcBorders>
              <w:top w:val="single" w:sz="4" w:space="0" w:color="auto"/>
            </w:tcBorders>
          </w:tcPr>
          <w:p w:rsidR="006C7253" w:rsidRPr="00EA2DEB" w:rsidRDefault="006C7253" w:rsidP="006C7253">
            <w:pPr>
              <w:jc w:val="center"/>
              <w:rPr>
                <w:rFonts w:cs="Arial"/>
                <w:sz w:val="20"/>
              </w:rPr>
            </w:pPr>
            <w:r>
              <w:rPr>
                <w:sz w:val="20"/>
              </w:rPr>
              <w:t>144</w:t>
            </w:r>
            <w:r>
              <w:rPr>
                <w:rFonts w:cs="Arial"/>
                <w:sz w:val="20"/>
                <w:vertAlign w:val="superscript"/>
              </w:rPr>
              <w:t>2</w:t>
            </w:r>
          </w:p>
        </w:tc>
        <w:tc>
          <w:tcPr>
            <w:tcW w:w="2070" w:type="dxa"/>
            <w:tcBorders>
              <w:top w:val="single" w:sz="4" w:space="0" w:color="auto"/>
            </w:tcBorders>
          </w:tcPr>
          <w:p w:rsidR="006C7253" w:rsidRPr="00EA2DEB" w:rsidRDefault="006C7253" w:rsidP="006C7253">
            <w:pPr>
              <w:jc w:val="center"/>
              <w:rPr>
                <w:rFonts w:cs="Arial"/>
                <w:sz w:val="20"/>
              </w:rPr>
            </w:pPr>
            <w:r>
              <w:rPr>
                <w:sz w:val="20"/>
              </w:rPr>
              <w:t>59</w:t>
            </w:r>
            <w:r>
              <w:rPr>
                <w:rFonts w:cs="Arial"/>
                <w:sz w:val="20"/>
                <w:vertAlign w:val="superscript"/>
              </w:rPr>
              <w:t>2</w:t>
            </w:r>
          </w:p>
        </w:tc>
        <w:tc>
          <w:tcPr>
            <w:tcW w:w="2700" w:type="dxa"/>
            <w:tcBorders>
              <w:top w:val="single" w:sz="4" w:space="0" w:color="auto"/>
            </w:tcBorders>
          </w:tcPr>
          <w:p w:rsidR="006C7253" w:rsidRDefault="006C7253" w:rsidP="006C7253">
            <w:pPr>
              <w:jc w:val="center"/>
              <w:rPr>
                <w:b/>
                <w:sz w:val="20"/>
              </w:rPr>
            </w:pPr>
            <w:r>
              <w:rPr>
                <w:b/>
                <w:sz w:val="20"/>
              </w:rPr>
              <w:t>R 336.1201(3)</w:t>
            </w:r>
          </w:p>
        </w:tc>
      </w:tr>
    </w:tbl>
    <w:p w:rsidR="004F5DF2" w:rsidRPr="00131AF7" w:rsidRDefault="004F5DF2" w:rsidP="004F5DF2">
      <w:pPr>
        <w:jc w:val="both"/>
        <w:rPr>
          <w:color w:val="FF0000"/>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6C7253" w:rsidRPr="002A7456" w:rsidRDefault="006C7253" w:rsidP="006C7253">
      <w:pPr>
        <w:numPr>
          <w:ilvl w:val="0"/>
          <w:numId w:val="59"/>
        </w:numPr>
        <w:spacing w:after="200"/>
        <w:jc w:val="both"/>
        <w:rPr>
          <w:rFonts w:cs="Arial"/>
          <w:sz w:val="20"/>
        </w:rPr>
      </w:pPr>
      <w:r w:rsidRPr="002A7456">
        <w:rPr>
          <w:rFonts w:cs="Arial"/>
          <w:sz w:val="20"/>
        </w:rPr>
        <w:t xml:space="preserve">FGTURBINES shall be operated in accordance with the requirements of 40 </w:t>
      </w:r>
      <w:smartTag w:uri="urn:schemas-microsoft-com:office:smarttags" w:element="PlaceName">
        <w:r w:rsidRPr="002A7456">
          <w:rPr>
            <w:rFonts w:cs="Arial"/>
            <w:sz w:val="20"/>
          </w:rPr>
          <w:t>CFR</w:t>
        </w:r>
      </w:smartTag>
      <w:r w:rsidRPr="002A7456">
        <w:rPr>
          <w:rFonts w:cs="Arial"/>
          <w:sz w:val="20"/>
        </w:rPr>
        <w:t xml:space="preserve"> Part 60, Subparts A and GG, unless otherwise stated.  </w:t>
      </w:r>
      <w:r w:rsidRPr="002A7456">
        <w:rPr>
          <w:rFonts w:cs="Arial"/>
          <w:b/>
          <w:bCs/>
          <w:sz w:val="20"/>
        </w:rPr>
        <w:t xml:space="preserve">(40 </w:t>
      </w:r>
      <w:smartTag w:uri="urn:schemas-microsoft-com:office:smarttags" w:element="PlaceName">
        <w:r w:rsidRPr="002A7456">
          <w:rPr>
            <w:rFonts w:cs="Arial"/>
            <w:b/>
            <w:bCs/>
            <w:sz w:val="20"/>
          </w:rPr>
          <w:t>CFR</w:t>
        </w:r>
      </w:smartTag>
      <w:r w:rsidRPr="002A7456">
        <w:rPr>
          <w:rFonts w:cs="Arial"/>
          <w:b/>
          <w:bCs/>
          <w:sz w:val="20"/>
        </w:rPr>
        <w:t xml:space="preserve"> Part 60, Subparts A and GG)</w:t>
      </w:r>
    </w:p>
    <w:p w:rsidR="006C7253" w:rsidRPr="002A7456" w:rsidRDefault="006C7253" w:rsidP="006C7253">
      <w:pPr>
        <w:numPr>
          <w:ilvl w:val="0"/>
          <w:numId w:val="59"/>
        </w:numPr>
        <w:spacing w:after="200"/>
        <w:jc w:val="both"/>
        <w:rPr>
          <w:rFonts w:cs="Arial"/>
          <w:sz w:val="20"/>
        </w:rPr>
      </w:pPr>
      <w:r>
        <w:rPr>
          <w:rFonts w:cs="Arial"/>
          <w:sz w:val="20"/>
        </w:rPr>
        <w:lastRenderedPageBreak/>
        <w:t>The p</w:t>
      </w:r>
      <w:r w:rsidRPr="002A7456">
        <w:rPr>
          <w:rFonts w:cs="Arial"/>
          <w:sz w:val="20"/>
        </w:rPr>
        <w:t xml:space="preserve">ermittee shall maintain records of the occurrence and duration of any startup, shutdown, or malfunction in the operation of FGTURBINES, any malfunction of the air pollution control equipment; or any periods during which a continuous monitoring system or monitoring device is inoperative.  </w:t>
      </w:r>
      <w:r w:rsidRPr="002A7456">
        <w:rPr>
          <w:rFonts w:cs="Arial"/>
          <w:b/>
          <w:bCs/>
          <w:sz w:val="20"/>
        </w:rPr>
        <w:t xml:space="preserve">(40 </w:t>
      </w:r>
      <w:smartTag w:uri="urn:schemas-microsoft-com:office:smarttags" w:element="PlaceName">
        <w:r w:rsidRPr="002A7456">
          <w:rPr>
            <w:rFonts w:cs="Arial"/>
            <w:b/>
            <w:bCs/>
            <w:sz w:val="20"/>
          </w:rPr>
          <w:t>CFR</w:t>
        </w:r>
      </w:smartTag>
      <w:r>
        <w:rPr>
          <w:rFonts w:cs="Arial"/>
          <w:b/>
          <w:bCs/>
          <w:sz w:val="20"/>
        </w:rPr>
        <w:t xml:space="preserve"> 60.7(b), R </w:t>
      </w:r>
      <w:r w:rsidRPr="002A7456">
        <w:rPr>
          <w:rFonts w:cs="Arial"/>
          <w:b/>
          <w:bCs/>
          <w:sz w:val="20"/>
        </w:rPr>
        <w:t>336.1213(3))</w:t>
      </w:r>
    </w:p>
    <w:p w:rsidR="00AE1D84" w:rsidRPr="006C7253" w:rsidRDefault="006C7253" w:rsidP="006C7253">
      <w:pPr>
        <w:numPr>
          <w:ilvl w:val="0"/>
          <w:numId w:val="59"/>
        </w:numPr>
        <w:overflowPunct w:val="0"/>
        <w:autoSpaceDE w:val="0"/>
        <w:autoSpaceDN w:val="0"/>
        <w:adjustRightInd w:val="0"/>
        <w:jc w:val="both"/>
        <w:textAlignment w:val="baseline"/>
        <w:rPr>
          <w:rFonts w:cs="Arial"/>
          <w:sz w:val="20"/>
        </w:rPr>
      </w:pPr>
      <w:r>
        <w:rPr>
          <w:rFonts w:cs="Arial"/>
          <w:sz w:val="20"/>
        </w:rPr>
        <w:t>The p</w:t>
      </w:r>
      <w:r w:rsidRPr="002A7456">
        <w:rPr>
          <w:rFonts w:cs="Arial"/>
          <w:sz w:val="20"/>
        </w:rPr>
        <w:t xml:space="preserve">ermittee shall maintain on site and implement a preventative maintenance plan (PMP) that ensures FGTURBINES can operate in compliance with the above emission limits.  </w:t>
      </w:r>
      <w:r w:rsidRPr="002A7456">
        <w:rPr>
          <w:rFonts w:cs="Arial"/>
          <w:b/>
          <w:bCs/>
          <w:sz w:val="20"/>
        </w:rPr>
        <w:t>(R 336.1213(3)(a))</w:t>
      </w:r>
    </w:p>
    <w:p w:rsidR="00AE1D84" w:rsidRDefault="00AE1D84" w:rsidP="00F62984">
      <w:pPr>
        <w:jc w:val="both"/>
        <w:rPr>
          <w:sz w:val="20"/>
        </w:rPr>
      </w:pPr>
    </w:p>
    <w:p w:rsidR="000662AD" w:rsidRPr="00FE0AD0" w:rsidRDefault="000662AD"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53492B" w:rsidRDefault="0053492B" w:rsidP="00F62984">
      <w:pPr>
        <w:jc w:val="both"/>
        <w:rPr>
          <w:rFonts w:cs="Arial"/>
          <w:sz w:val="20"/>
        </w:rPr>
      </w:pPr>
    </w:p>
    <w:p w:rsidR="0053492B" w:rsidRDefault="0053492B" w:rsidP="00F62984">
      <w:pPr>
        <w:jc w:val="both"/>
        <w:rPr>
          <w:rFonts w:cs="Arial"/>
          <w:sz w:val="20"/>
        </w:rPr>
      </w:pPr>
    </w:p>
    <w:p w:rsidR="0053492B" w:rsidRDefault="0053492B" w:rsidP="00F62984">
      <w:pPr>
        <w:jc w:val="both"/>
        <w:rPr>
          <w:rFonts w:cs="Arial"/>
          <w:sz w:val="20"/>
        </w:rPr>
      </w:pPr>
    </w:p>
    <w:p w:rsidR="0053492B" w:rsidRDefault="0053492B" w:rsidP="00F62984">
      <w:pPr>
        <w:jc w:val="both"/>
        <w:rPr>
          <w:rFonts w:cs="Arial"/>
          <w:sz w:val="20"/>
        </w:rPr>
      </w:pPr>
    </w:p>
    <w:p w:rsidR="00B12E93" w:rsidRDefault="00B12E93">
      <w:pPr>
        <w:rPr>
          <w:rFonts w:cs="Arial"/>
          <w:sz w:val="20"/>
        </w:rPr>
      </w:pPr>
      <w:r>
        <w:rPr>
          <w:rFonts w:cs="Arial"/>
          <w:sz w:val="20"/>
        </w:rPr>
        <w:br w:type="page"/>
      </w:r>
    </w:p>
    <w:p w:rsidR="0053492B" w:rsidRPr="00DC7CE8" w:rsidRDefault="0053492B" w:rsidP="0053492B">
      <w:pPr>
        <w:pStyle w:val="Heading2"/>
        <w:pBdr>
          <w:top w:val="single" w:sz="4" w:space="0" w:color="auto"/>
          <w:left w:val="single" w:sz="4" w:space="0" w:color="auto"/>
          <w:bottom w:val="single" w:sz="4" w:space="1" w:color="auto"/>
          <w:right w:val="single" w:sz="4" w:space="4" w:color="auto"/>
        </w:pBdr>
      </w:pPr>
      <w:bookmarkStart w:id="82" w:name="_Toc222301479"/>
      <w:bookmarkStart w:id="83" w:name="_Toc405988781"/>
      <w:bookmarkStart w:id="84" w:name="_Toc11742149"/>
      <w:r w:rsidRPr="00DC7CE8">
        <w:lastRenderedPageBreak/>
        <w:t>FG</w:t>
      </w:r>
      <w:bookmarkEnd w:id="82"/>
      <w:r w:rsidRPr="00DC7CE8">
        <w:t>RULE 285</w:t>
      </w:r>
      <w:r w:rsidR="000075CC">
        <w:t>(2)</w:t>
      </w:r>
      <w:r w:rsidRPr="00DC7CE8">
        <w:t>(mm)</w:t>
      </w:r>
      <w:bookmarkEnd w:id="83"/>
      <w:bookmarkEnd w:id="84"/>
    </w:p>
    <w:p w:rsidR="0053492B" w:rsidRPr="00DD2024" w:rsidRDefault="0053492B" w:rsidP="0053492B">
      <w:pPr>
        <w:pBdr>
          <w:top w:val="single" w:sz="4" w:space="0" w:color="auto"/>
          <w:left w:val="single" w:sz="4" w:space="0" w:color="auto"/>
          <w:bottom w:val="single" w:sz="4" w:space="1" w:color="auto"/>
          <w:right w:val="single" w:sz="4" w:space="4" w:color="auto"/>
        </w:pBdr>
        <w:jc w:val="center"/>
        <w:rPr>
          <w:sz w:val="28"/>
          <w:szCs w:val="28"/>
        </w:rPr>
      </w:pPr>
      <w:r w:rsidRPr="00DD2024">
        <w:rPr>
          <w:b/>
          <w:sz w:val="28"/>
          <w:szCs w:val="28"/>
        </w:rPr>
        <w:t>FLEXIBLE GROUP CONDITIONS</w:t>
      </w:r>
    </w:p>
    <w:p w:rsidR="0053492B" w:rsidRPr="00DD2024" w:rsidRDefault="0053492B" w:rsidP="0053492B">
      <w:pPr>
        <w:rPr>
          <w:sz w:val="20"/>
        </w:rPr>
      </w:pPr>
    </w:p>
    <w:p w:rsidR="0053492B" w:rsidRPr="00DD2024" w:rsidRDefault="0053492B" w:rsidP="0053492B">
      <w:pPr>
        <w:jc w:val="both"/>
        <w:rPr>
          <w:b/>
          <w:u w:val="single"/>
        </w:rPr>
      </w:pPr>
      <w:r w:rsidRPr="00DD2024">
        <w:rPr>
          <w:b/>
          <w:u w:val="single"/>
        </w:rPr>
        <w:t>DESCRIPTION</w:t>
      </w:r>
    </w:p>
    <w:p w:rsidR="0053492B" w:rsidRPr="00DD2024" w:rsidRDefault="0053492B" w:rsidP="0053492B">
      <w:pPr>
        <w:jc w:val="both"/>
      </w:pPr>
    </w:p>
    <w:p w:rsidR="0053492B" w:rsidRPr="00DD2024" w:rsidRDefault="0053492B" w:rsidP="0053492B">
      <w:pPr>
        <w:jc w:val="both"/>
        <w:rPr>
          <w:sz w:val="20"/>
        </w:rPr>
      </w:pPr>
      <w:r w:rsidRPr="00DD2024">
        <w:rPr>
          <w:sz w:val="20"/>
        </w:rPr>
        <w:t>Any emission unit that emits air contaminants and is exempt from the requirement</w:t>
      </w:r>
      <w:r>
        <w:rPr>
          <w:sz w:val="20"/>
        </w:rPr>
        <w:t>s of Rule 201 pursuant to Rules 278 and 285</w:t>
      </w:r>
      <w:r w:rsidR="000075CC">
        <w:rPr>
          <w:sz w:val="20"/>
        </w:rPr>
        <w:t>(2)</w:t>
      </w:r>
      <w:r>
        <w:rPr>
          <w:sz w:val="20"/>
        </w:rPr>
        <w:t>(mm)</w:t>
      </w:r>
    </w:p>
    <w:p w:rsidR="0053492B" w:rsidRPr="00DD2024" w:rsidRDefault="0053492B" w:rsidP="0053492B">
      <w:pPr>
        <w:jc w:val="both"/>
        <w:rPr>
          <w:sz w:val="20"/>
        </w:rPr>
      </w:pPr>
    </w:p>
    <w:p w:rsidR="0053492B" w:rsidRPr="005211FE" w:rsidRDefault="0053492B" w:rsidP="0053492B">
      <w:pPr>
        <w:jc w:val="both"/>
        <w:rPr>
          <w:rFonts w:cs="Arial"/>
          <w:b/>
          <w:color w:val="000000"/>
          <w:sz w:val="20"/>
        </w:rPr>
      </w:pPr>
      <w:r w:rsidRPr="00DD2024">
        <w:rPr>
          <w:b/>
          <w:sz w:val="20"/>
        </w:rPr>
        <w:t>Emission Unit:</w:t>
      </w:r>
      <w:r w:rsidRPr="00DD2024">
        <w:rPr>
          <w:rFonts w:cs="Arial"/>
          <w:b/>
          <w:color w:val="0000FF"/>
          <w:sz w:val="20"/>
        </w:rPr>
        <w:t xml:space="preserve">  </w:t>
      </w:r>
      <w:r w:rsidRPr="001A658B">
        <w:rPr>
          <w:rFonts w:cs="Arial"/>
          <w:color w:val="000000"/>
          <w:sz w:val="20"/>
        </w:rPr>
        <w:t>EURULE285</w:t>
      </w:r>
      <w:r w:rsidR="000075CC">
        <w:rPr>
          <w:rFonts w:cs="Arial"/>
          <w:color w:val="000000"/>
          <w:sz w:val="20"/>
        </w:rPr>
        <w:t>(2)</w:t>
      </w:r>
      <w:r w:rsidRPr="001A658B">
        <w:rPr>
          <w:rFonts w:cs="Arial"/>
          <w:color w:val="000000"/>
          <w:sz w:val="20"/>
        </w:rPr>
        <w:t>(mm)</w:t>
      </w:r>
    </w:p>
    <w:p w:rsidR="0053492B" w:rsidRPr="00DD2024" w:rsidRDefault="0053492B" w:rsidP="0053492B">
      <w:pPr>
        <w:jc w:val="both"/>
        <w:rPr>
          <w:b/>
          <w:sz w:val="20"/>
        </w:rPr>
      </w:pPr>
    </w:p>
    <w:p w:rsidR="0053492B" w:rsidRPr="00DD2024" w:rsidRDefault="0053492B" w:rsidP="0053492B">
      <w:pPr>
        <w:jc w:val="both"/>
        <w:rPr>
          <w:b/>
          <w:sz w:val="20"/>
          <w:u w:val="single"/>
        </w:rPr>
      </w:pPr>
      <w:r w:rsidRPr="00DD2024">
        <w:rPr>
          <w:b/>
          <w:u w:val="single"/>
        </w:rPr>
        <w:t>POLLUTION CONTROL EQUIPMENT</w:t>
      </w:r>
    </w:p>
    <w:p w:rsidR="0053492B" w:rsidRPr="00DD2024" w:rsidRDefault="0053492B" w:rsidP="0053492B">
      <w:pPr>
        <w:jc w:val="both"/>
        <w:rPr>
          <w:sz w:val="20"/>
        </w:rPr>
      </w:pPr>
    </w:p>
    <w:p w:rsidR="0053492B" w:rsidRPr="00DD2024" w:rsidRDefault="0053492B" w:rsidP="0053492B">
      <w:pPr>
        <w:jc w:val="both"/>
        <w:rPr>
          <w:sz w:val="20"/>
        </w:rPr>
      </w:pPr>
      <w:r w:rsidRPr="00DD2024">
        <w:rPr>
          <w:sz w:val="20"/>
        </w:rPr>
        <w:t>NA</w:t>
      </w:r>
    </w:p>
    <w:p w:rsidR="0053492B" w:rsidRPr="00DD2024" w:rsidRDefault="0053492B" w:rsidP="0053492B">
      <w:pPr>
        <w:jc w:val="both"/>
        <w:rPr>
          <w:sz w:val="20"/>
        </w:rPr>
      </w:pPr>
    </w:p>
    <w:p w:rsidR="0053492B" w:rsidRPr="00DD2024" w:rsidRDefault="0053492B" w:rsidP="0053492B">
      <w:pPr>
        <w:jc w:val="both"/>
        <w:rPr>
          <w:b/>
          <w:sz w:val="20"/>
          <w:u w:val="single"/>
        </w:rPr>
      </w:pPr>
      <w:r w:rsidRPr="00DD2024">
        <w:rPr>
          <w:b/>
        </w:rPr>
        <w:t xml:space="preserve">I.  </w:t>
      </w:r>
      <w:r w:rsidRPr="00DD2024">
        <w:rPr>
          <w:b/>
          <w:u w:val="single"/>
        </w:rPr>
        <w:t>EMISSION LIMITS</w:t>
      </w:r>
    </w:p>
    <w:p w:rsidR="0053492B" w:rsidRPr="00DD2024" w:rsidRDefault="0053492B" w:rsidP="0053492B">
      <w:pPr>
        <w:jc w:val="both"/>
        <w:rPr>
          <w:sz w:val="20"/>
        </w:rPr>
      </w:pPr>
    </w:p>
    <w:p w:rsidR="0053492B" w:rsidRPr="00DD2024" w:rsidRDefault="0053492B" w:rsidP="0053492B">
      <w:pPr>
        <w:jc w:val="both"/>
        <w:rPr>
          <w:sz w:val="20"/>
        </w:rPr>
      </w:pPr>
      <w:r w:rsidRPr="00DD2024">
        <w:rPr>
          <w:sz w:val="20"/>
        </w:rPr>
        <w:t>NA</w:t>
      </w:r>
    </w:p>
    <w:p w:rsidR="0053492B" w:rsidRPr="00DD2024" w:rsidRDefault="0053492B" w:rsidP="0053492B">
      <w:pPr>
        <w:jc w:val="both"/>
        <w:rPr>
          <w:sz w:val="20"/>
        </w:rPr>
      </w:pPr>
    </w:p>
    <w:p w:rsidR="0053492B" w:rsidRPr="00DD2024" w:rsidRDefault="0053492B" w:rsidP="0053492B">
      <w:pPr>
        <w:jc w:val="both"/>
        <w:rPr>
          <w:b/>
          <w:u w:val="single"/>
        </w:rPr>
      </w:pPr>
      <w:r w:rsidRPr="00DD2024">
        <w:rPr>
          <w:b/>
        </w:rPr>
        <w:t xml:space="preserve">II.  </w:t>
      </w:r>
      <w:r w:rsidRPr="00DD2024">
        <w:rPr>
          <w:b/>
          <w:u w:val="single"/>
        </w:rPr>
        <w:t>MATERIAL LIMITS</w:t>
      </w:r>
    </w:p>
    <w:p w:rsidR="0053492B" w:rsidRPr="00DD2024" w:rsidRDefault="0053492B" w:rsidP="0053492B">
      <w:pPr>
        <w:jc w:val="both"/>
        <w:rPr>
          <w:sz w:val="20"/>
        </w:rPr>
      </w:pPr>
    </w:p>
    <w:p w:rsidR="0053492B" w:rsidRDefault="0053492B" w:rsidP="0053492B">
      <w:pPr>
        <w:jc w:val="both"/>
        <w:rPr>
          <w:sz w:val="20"/>
        </w:rPr>
      </w:pPr>
      <w:r w:rsidRPr="00DD2024">
        <w:rPr>
          <w:sz w:val="20"/>
        </w:rPr>
        <w:t>NA</w:t>
      </w:r>
    </w:p>
    <w:p w:rsidR="0053492B" w:rsidRPr="00DD2024" w:rsidRDefault="0053492B" w:rsidP="0053492B">
      <w:pPr>
        <w:jc w:val="both"/>
        <w:rPr>
          <w:sz w:val="20"/>
        </w:rPr>
      </w:pPr>
    </w:p>
    <w:p w:rsidR="0053492B" w:rsidRPr="00DD2024" w:rsidRDefault="0053492B" w:rsidP="0053492B">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rsidR="0053492B" w:rsidRPr="005211FE" w:rsidRDefault="0053492B" w:rsidP="0053492B">
      <w:pPr>
        <w:jc w:val="both"/>
        <w:rPr>
          <w:color w:val="000000"/>
          <w:sz w:val="20"/>
        </w:rPr>
      </w:pPr>
    </w:p>
    <w:p w:rsidR="0053492B" w:rsidRPr="00DD2024" w:rsidRDefault="0053492B" w:rsidP="0053492B">
      <w:pPr>
        <w:numPr>
          <w:ilvl w:val="0"/>
          <w:numId w:val="54"/>
        </w:numPr>
        <w:jc w:val="both"/>
        <w:rPr>
          <w:color w:val="FF0000"/>
          <w:sz w:val="20"/>
        </w:rPr>
      </w:pPr>
      <w:r w:rsidRPr="005211FE">
        <w:rPr>
          <w:color w:val="000000"/>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0075CC">
        <w:rPr>
          <w:color w:val="000000"/>
          <w:sz w:val="20"/>
        </w:rPr>
        <w:t xml:space="preserve">  </w:t>
      </w:r>
      <w:r w:rsidRPr="005211FE">
        <w:rPr>
          <w:b/>
          <w:color w:val="000000"/>
          <w:sz w:val="20"/>
        </w:rPr>
        <w:t>(R</w:t>
      </w:r>
      <w:r w:rsidR="000075CC">
        <w:rPr>
          <w:b/>
          <w:color w:val="000000"/>
          <w:sz w:val="20"/>
        </w:rPr>
        <w:t xml:space="preserve"> </w:t>
      </w:r>
      <w:r w:rsidRPr="005211FE">
        <w:rPr>
          <w:b/>
          <w:color w:val="000000"/>
          <w:sz w:val="20"/>
        </w:rPr>
        <w:t>336.1285</w:t>
      </w:r>
      <w:r w:rsidR="000075CC">
        <w:rPr>
          <w:b/>
          <w:color w:val="000000"/>
          <w:sz w:val="20"/>
        </w:rPr>
        <w:t xml:space="preserve"> (2)</w:t>
      </w:r>
      <w:r w:rsidRPr="005211FE">
        <w:rPr>
          <w:b/>
          <w:color w:val="000000"/>
          <w:sz w:val="20"/>
        </w:rPr>
        <w:t>(mm)(ii)(B</w:t>
      </w:r>
      <w:r w:rsidRPr="001E6F5E">
        <w:rPr>
          <w:b/>
          <w:sz w:val="20"/>
        </w:rPr>
        <w:t>))</w:t>
      </w:r>
    </w:p>
    <w:p w:rsidR="0053492B" w:rsidRPr="00DD2024" w:rsidRDefault="0053492B" w:rsidP="0053492B">
      <w:pPr>
        <w:jc w:val="both"/>
        <w:rPr>
          <w:sz w:val="20"/>
        </w:rPr>
      </w:pPr>
    </w:p>
    <w:p w:rsidR="0053492B" w:rsidRPr="00DD2024" w:rsidRDefault="0053492B" w:rsidP="0053492B">
      <w:pPr>
        <w:jc w:val="both"/>
        <w:rPr>
          <w:b/>
          <w:sz w:val="20"/>
          <w:u w:val="single"/>
        </w:rPr>
      </w:pPr>
      <w:r w:rsidRPr="00DD2024">
        <w:rPr>
          <w:b/>
        </w:rPr>
        <w:t xml:space="preserve">IV.  </w:t>
      </w:r>
      <w:r w:rsidRPr="00DD2024">
        <w:rPr>
          <w:b/>
          <w:u w:val="single"/>
        </w:rPr>
        <w:t>DESIGN/EQUIPMENT PARAMETERS</w:t>
      </w:r>
    </w:p>
    <w:p w:rsidR="0053492B" w:rsidRPr="00DD2024" w:rsidRDefault="0053492B" w:rsidP="0053492B">
      <w:pPr>
        <w:jc w:val="both"/>
        <w:rPr>
          <w:b/>
          <w:sz w:val="20"/>
          <w:u w:val="single"/>
        </w:rPr>
      </w:pPr>
    </w:p>
    <w:p w:rsidR="0053492B" w:rsidRPr="00DD2024" w:rsidRDefault="0053492B" w:rsidP="0053492B">
      <w:pPr>
        <w:jc w:val="both"/>
        <w:rPr>
          <w:sz w:val="20"/>
        </w:rPr>
      </w:pPr>
      <w:r w:rsidRPr="00DD2024">
        <w:rPr>
          <w:sz w:val="20"/>
        </w:rPr>
        <w:t>NA</w:t>
      </w:r>
    </w:p>
    <w:p w:rsidR="0053492B" w:rsidRPr="00DD2024" w:rsidRDefault="0053492B" w:rsidP="0053492B">
      <w:pPr>
        <w:jc w:val="both"/>
        <w:rPr>
          <w:sz w:val="20"/>
        </w:rPr>
      </w:pPr>
    </w:p>
    <w:p w:rsidR="0053492B" w:rsidRPr="00DD2024" w:rsidRDefault="0053492B" w:rsidP="0053492B">
      <w:pPr>
        <w:jc w:val="both"/>
        <w:rPr>
          <w:b/>
          <w:sz w:val="20"/>
          <w:u w:val="single"/>
        </w:rPr>
      </w:pPr>
      <w:r w:rsidRPr="00DD2024">
        <w:rPr>
          <w:b/>
        </w:rPr>
        <w:t xml:space="preserve">V.  </w:t>
      </w:r>
      <w:r w:rsidRPr="00DD2024">
        <w:rPr>
          <w:b/>
          <w:u w:val="single"/>
        </w:rPr>
        <w:t>TESTING/SAMPLING</w:t>
      </w:r>
    </w:p>
    <w:p w:rsidR="0053492B" w:rsidRDefault="0053492B" w:rsidP="0053492B">
      <w:pPr>
        <w:jc w:val="both"/>
        <w:rPr>
          <w:sz w:val="20"/>
        </w:rPr>
      </w:pPr>
    </w:p>
    <w:p w:rsidR="0053492B" w:rsidRPr="00DD2024" w:rsidRDefault="0053492B" w:rsidP="0053492B">
      <w:pPr>
        <w:jc w:val="both"/>
        <w:rPr>
          <w:sz w:val="20"/>
        </w:rPr>
      </w:pPr>
      <w:r w:rsidRPr="00DD2024">
        <w:rPr>
          <w:sz w:val="20"/>
        </w:rPr>
        <w:t xml:space="preserve">Records shall be maintained on file for a period of five years.  </w:t>
      </w:r>
      <w:r w:rsidRPr="00DD2024">
        <w:rPr>
          <w:b/>
          <w:sz w:val="20"/>
        </w:rPr>
        <w:t>(R 336.1213(3)(b)(ii))</w:t>
      </w:r>
    </w:p>
    <w:p w:rsidR="0053492B" w:rsidRPr="00DD2024" w:rsidRDefault="0053492B" w:rsidP="0053492B">
      <w:pPr>
        <w:jc w:val="both"/>
        <w:rPr>
          <w:sz w:val="20"/>
        </w:rPr>
      </w:pPr>
    </w:p>
    <w:p w:rsidR="0053492B" w:rsidRPr="00DD2024" w:rsidRDefault="0053492B" w:rsidP="0053492B">
      <w:pPr>
        <w:jc w:val="both"/>
        <w:rPr>
          <w:sz w:val="20"/>
        </w:rPr>
      </w:pPr>
      <w:r w:rsidRPr="00DD2024">
        <w:rPr>
          <w:sz w:val="20"/>
        </w:rPr>
        <w:t>NA</w:t>
      </w:r>
    </w:p>
    <w:p w:rsidR="0053492B" w:rsidRPr="00DD2024" w:rsidRDefault="0053492B" w:rsidP="0053492B">
      <w:pPr>
        <w:jc w:val="both"/>
      </w:pPr>
    </w:p>
    <w:p w:rsidR="0053492B" w:rsidRPr="00DD2024" w:rsidRDefault="0053492B" w:rsidP="0053492B">
      <w:pPr>
        <w:jc w:val="both"/>
        <w:rPr>
          <w:b/>
          <w:u w:val="single"/>
        </w:rPr>
      </w:pPr>
      <w:r w:rsidRPr="00DD2024">
        <w:rPr>
          <w:b/>
        </w:rPr>
        <w:t xml:space="preserve">VI.  </w:t>
      </w:r>
      <w:r w:rsidRPr="00DD2024">
        <w:rPr>
          <w:b/>
          <w:u w:val="single"/>
        </w:rPr>
        <w:t>MONITORING/RECORDKEEPING</w:t>
      </w:r>
    </w:p>
    <w:p w:rsidR="0053492B" w:rsidRPr="00DD2024" w:rsidRDefault="0053492B" w:rsidP="0053492B">
      <w:pPr>
        <w:jc w:val="both"/>
        <w:rPr>
          <w:sz w:val="20"/>
        </w:rPr>
      </w:pPr>
    </w:p>
    <w:p w:rsidR="0053492B" w:rsidRPr="00DD2024" w:rsidRDefault="0053492B" w:rsidP="0053492B">
      <w:pPr>
        <w:jc w:val="both"/>
        <w:rPr>
          <w:sz w:val="20"/>
        </w:rPr>
      </w:pPr>
      <w:r w:rsidRPr="00DD2024">
        <w:rPr>
          <w:sz w:val="20"/>
        </w:rPr>
        <w:t xml:space="preserve">Records shall be maintained on file for a period of five years.  </w:t>
      </w:r>
      <w:r w:rsidRPr="00DD2024">
        <w:rPr>
          <w:b/>
          <w:sz w:val="20"/>
        </w:rPr>
        <w:t>(R 336.1213(3)(b)(ii))</w:t>
      </w:r>
    </w:p>
    <w:p w:rsidR="0053492B" w:rsidRPr="00DD2024" w:rsidRDefault="0053492B" w:rsidP="0053492B">
      <w:pPr>
        <w:jc w:val="both"/>
        <w:rPr>
          <w:sz w:val="20"/>
        </w:rPr>
      </w:pPr>
    </w:p>
    <w:p w:rsidR="0053492B" w:rsidRPr="00DD2024" w:rsidRDefault="0053492B" w:rsidP="0053492B">
      <w:pPr>
        <w:jc w:val="both"/>
        <w:rPr>
          <w:sz w:val="20"/>
        </w:rPr>
      </w:pPr>
      <w:r w:rsidRPr="00DD2024">
        <w:rPr>
          <w:sz w:val="20"/>
        </w:rPr>
        <w:t>NA</w:t>
      </w:r>
    </w:p>
    <w:p w:rsidR="0053492B" w:rsidRPr="00DD2024" w:rsidRDefault="0053492B" w:rsidP="0053492B">
      <w:pPr>
        <w:jc w:val="both"/>
        <w:rPr>
          <w:b/>
        </w:rPr>
      </w:pPr>
    </w:p>
    <w:p w:rsidR="0053492B" w:rsidRPr="00DD2024" w:rsidRDefault="0053492B" w:rsidP="0053492B">
      <w:pPr>
        <w:jc w:val="both"/>
        <w:rPr>
          <w:b/>
          <w:sz w:val="20"/>
          <w:u w:val="single"/>
        </w:rPr>
      </w:pPr>
      <w:r w:rsidRPr="00DD2024">
        <w:rPr>
          <w:b/>
        </w:rPr>
        <w:t xml:space="preserve">VII.  </w:t>
      </w:r>
      <w:r w:rsidRPr="00DD2024">
        <w:rPr>
          <w:b/>
          <w:u w:val="single"/>
        </w:rPr>
        <w:t>REPORTING</w:t>
      </w:r>
    </w:p>
    <w:p w:rsidR="0053492B" w:rsidRPr="00DD2024" w:rsidRDefault="0053492B" w:rsidP="0053492B">
      <w:pPr>
        <w:jc w:val="both"/>
        <w:rPr>
          <w:sz w:val="20"/>
        </w:rPr>
      </w:pPr>
    </w:p>
    <w:p w:rsidR="0053492B" w:rsidRPr="00DD2024" w:rsidRDefault="0053492B" w:rsidP="0053492B">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rsidR="0053492B" w:rsidRPr="00DD2024" w:rsidRDefault="0053492B" w:rsidP="0053492B">
      <w:pPr>
        <w:ind w:left="360" w:hanging="360"/>
        <w:jc w:val="both"/>
        <w:rPr>
          <w:sz w:val="20"/>
        </w:rPr>
      </w:pPr>
    </w:p>
    <w:p w:rsidR="0053492B" w:rsidRDefault="0053492B" w:rsidP="0053492B">
      <w:pPr>
        <w:numPr>
          <w:ilvl w:val="0"/>
          <w:numId w:val="53"/>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rsidR="0053492B" w:rsidRDefault="0053492B" w:rsidP="0053492B">
      <w:pPr>
        <w:pStyle w:val="ListParagraph"/>
        <w:rPr>
          <w:sz w:val="20"/>
        </w:rPr>
      </w:pPr>
    </w:p>
    <w:p w:rsidR="0053492B" w:rsidRDefault="0053492B" w:rsidP="0053492B">
      <w:pPr>
        <w:pStyle w:val="ListParagraph"/>
        <w:rPr>
          <w:sz w:val="20"/>
        </w:rPr>
      </w:pPr>
    </w:p>
    <w:p w:rsidR="0053492B" w:rsidRPr="00DD2024" w:rsidRDefault="0053492B" w:rsidP="0053492B">
      <w:pPr>
        <w:numPr>
          <w:ilvl w:val="0"/>
          <w:numId w:val="53"/>
        </w:numPr>
        <w:jc w:val="both"/>
        <w:rPr>
          <w:b/>
          <w:sz w:val="20"/>
        </w:rPr>
      </w:pPr>
      <w:r w:rsidRPr="00DD2024">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rsidR="0053492B" w:rsidRPr="00DD2024" w:rsidRDefault="0053492B" w:rsidP="0053492B">
      <w:pPr>
        <w:jc w:val="both"/>
        <w:rPr>
          <w:b/>
          <w:sz w:val="20"/>
        </w:rPr>
      </w:pPr>
    </w:p>
    <w:p w:rsidR="0053492B" w:rsidRPr="005211FE" w:rsidRDefault="0053492B" w:rsidP="0053492B">
      <w:pPr>
        <w:numPr>
          <w:ilvl w:val="0"/>
          <w:numId w:val="53"/>
        </w:numPr>
        <w:jc w:val="both"/>
        <w:rPr>
          <w:color w:val="000000"/>
          <w:sz w:val="20"/>
        </w:rPr>
      </w:pPr>
      <w:r w:rsidRPr="005211FE">
        <w:rPr>
          <w:color w:val="000000"/>
          <w:sz w:val="20"/>
        </w:rPr>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0017653C">
        <w:rPr>
          <w:color w:val="000000"/>
          <w:sz w:val="20"/>
        </w:rPr>
        <w:t xml:space="preserve"> </w:t>
      </w:r>
      <w:r w:rsidRPr="005211FE">
        <w:rPr>
          <w:b/>
          <w:color w:val="000000"/>
          <w:sz w:val="20"/>
        </w:rPr>
        <w:t>(R 336.1285</w:t>
      </w:r>
      <w:r w:rsidR="00CF395A">
        <w:rPr>
          <w:b/>
          <w:color w:val="000000"/>
          <w:sz w:val="20"/>
        </w:rPr>
        <w:t>(2)</w:t>
      </w:r>
      <w:r w:rsidRPr="005211FE">
        <w:rPr>
          <w:b/>
          <w:color w:val="000000"/>
          <w:sz w:val="20"/>
        </w:rPr>
        <w:t>(mm)(ii)(A))</w:t>
      </w:r>
    </w:p>
    <w:p w:rsidR="0053492B" w:rsidRPr="005211FE" w:rsidRDefault="0053492B" w:rsidP="0053492B">
      <w:pPr>
        <w:jc w:val="both"/>
        <w:rPr>
          <w:color w:val="000000"/>
          <w:sz w:val="20"/>
        </w:rPr>
      </w:pPr>
    </w:p>
    <w:p w:rsidR="0053492B" w:rsidRPr="005211FE" w:rsidRDefault="0053492B" w:rsidP="0053492B">
      <w:pPr>
        <w:numPr>
          <w:ilvl w:val="0"/>
          <w:numId w:val="53"/>
        </w:numPr>
        <w:jc w:val="both"/>
        <w:rPr>
          <w:color w:val="000000"/>
          <w:sz w:val="20"/>
        </w:rPr>
      </w:pPr>
      <w:r w:rsidRPr="005211FE">
        <w:rPr>
          <w:color w:val="000000"/>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5211FE">
        <w:rPr>
          <w:b/>
          <w:color w:val="000000"/>
          <w:sz w:val="20"/>
        </w:rPr>
        <w:t>(R 336.1285</w:t>
      </w:r>
      <w:r w:rsidR="00CF395A">
        <w:rPr>
          <w:b/>
          <w:color w:val="000000"/>
          <w:sz w:val="20"/>
        </w:rPr>
        <w:t>(2)</w:t>
      </w:r>
      <w:r w:rsidRPr="005211FE">
        <w:rPr>
          <w:b/>
          <w:color w:val="000000"/>
          <w:sz w:val="20"/>
        </w:rPr>
        <w:t>(mm)(ii)(B))</w:t>
      </w:r>
    </w:p>
    <w:p w:rsidR="0053492B" w:rsidRPr="00DD2024" w:rsidRDefault="0053492B" w:rsidP="0053492B">
      <w:pPr>
        <w:jc w:val="both"/>
        <w:rPr>
          <w:sz w:val="20"/>
        </w:rPr>
      </w:pPr>
    </w:p>
    <w:p w:rsidR="0053492B" w:rsidRPr="00DD2024" w:rsidRDefault="0053492B" w:rsidP="0053492B">
      <w:pPr>
        <w:numPr>
          <w:ilvl w:val="0"/>
          <w:numId w:val="53"/>
        </w:numPr>
        <w:jc w:val="both"/>
        <w:rPr>
          <w:sz w:val="20"/>
        </w:rPr>
      </w:pPr>
      <w:r w:rsidRPr="00DD2024">
        <w:rPr>
          <w:sz w:val="20"/>
        </w:rPr>
        <w:t xml:space="preserve">For emergency </w:t>
      </w:r>
      <w:r w:rsidRPr="005211FE">
        <w:rPr>
          <w:color w:val="000000"/>
          <w:sz w:val="20"/>
        </w:rPr>
        <w:t>venting of natural gas in</w:t>
      </w:r>
      <w:r w:rsidRPr="00DD2024">
        <w:rPr>
          <w:sz w:val="20"/>
        </w:rPr>
        <w:t xml:space="preserve">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0017653C">
        <w:rPr>
          <w:sz w:val="20"/>
        </w:rPr>
        <w:t xml:space="preserve"> </w:t>
      </w:r>
      <w:r w:rsidRPr="00DD2024">
        <w:rPr>
          <w:b/>
          <w:sz w:val="20"/>
        </w:rPr>
        <w:t>(R 336.1285</w:t>
      </w:r>
      <w:r w:rsidR="00CF395A">
        <w:rPr>
          <w:b/>
          <w:sz w:val="20"/>
        </w:rPr>
        <w:t>(2)</w:t>
      </w:r>
      <w:r w:rsidRPr="00DD2024">
        <w:rPr>
          <w:b/>
          <w:sz w:val="20"/>
        </w:rPr>
        <w:t>(mm)(iv))</w:t>
      </w:r>
    </w:p>
    <w:p w:rsidR="0053492B" w:rsidRDefault="0053492B" w:rsidP="0053492B">
      <w:pPr>
        <w:ind w:firstLine="360"/>
        <w:jc w:val="both"/>
        <w:rPr>
          <w:rFonts w:cs="Arial"/>
          <w:sz w:val="20"/>
        </w:rPr>
      </w:pPr>
    </w:p>
    <w:p w:rsidR="0053492B" w:rsidRPr="00DD2024" w:rsidRDefault="0053492B" w:rsidP="0053492B">
      <w:pPr>
        <w:jc w:val="both"/>
        <w:rPr>
          <w:rFonts w:cs="Arial"/>
          <w:b/>
          <w:sz w:val="20"/>
        </w:rPr>
      </w:pPr>
      <w:r w:rsidRPr="00DD2024">
        <w:rPr>
          <w:rFonts w:cs="Arial"/>
          <w:b/>
          <w:sz w:val="20"/>
        </w:rPr>
        <w:t>See Appendix 8</w:t>
      </w:r>
    </w:p>
    <w:p w:rsidR="0053492B" w:rsidRPr="00DD2024" w:rsidRDefault="0053492B" w:rsidP="0053492B">
      <w:pPr>
        <w:rPr>
          <w:b/>
        </w:rPr>
      </w:pPr>
    </w:p>
    <w:p w:rsidR="0053492B" w:rsidRPr="00DD2024" w:rsidRDefault="0053492B" w:rsidP="0053492B">
      <w:pPr>
        <w:rPr>
          <w:sz w:val="20"/>
        </w:rPr>
      </w:pPr>
      <w:r w:rsidRPr="00DD2024">
        <w:rPr>
          <w:b/>
        </w:rPr>
        <w:t xml:space="preserve">VIII.  </w:t>
      </w:r>
      <w:r w:rsidRPr="00DD2024">
        <w:rPr>
          <w:b/>
          <w:u w:val="single"/>
        </w:rPr>
        <w:t>STACK/VENT RESTRICTIONS</w:t>
      </w:r>
    </w:p>
    <w:p w:rsidR="0053492B" w:rsidRPr="00DD2024" w:rsidRDefault="0053492B" w:rsidP="0053492B">
      <w:pPr>
        <w:rPr>
          <w:sz w:val="20"/>
        </w:rPr>
      </w:pPr>
    </w:p>
    <w:p w:rsidR="0053492B" w:rsidRPr="00DD2024" w:rsidRDefault="0053492B" w:rsidP="0053492B">
      <w:pPr>
        <w:jc w:val="both"/>
        <w:rPr>
          <w:sz w:val="20"/>
        </w:rPr>
      </w:pPr>
      <w:r w:rsidRPr="00DD2024">
        <w:rPr>
          <w:sz w:val="20"/>
        </w:rPr>
        <w:t>The exhaust gases from the stacks listed in the table below shall be discharged unobstructed vertically upwards to the ambient air unless otherwise noted:</w:t>
      </w:r>
    </w:p>
    <w:p w:rsidR="0053492B" w:rsidRPr="00DD2024" w:rsidRDefault="0053492B" w:rsidP="0053492B">
      <w:pPr>
        <w:jc w:val="both"/>
        <w:rPr>
          <w:sz w:val="20"/>
        </w:rPr>
      </w:pPr>
    </w:p>
    <w:p w:rsidR="0053492B" w:rsidRDefault="00C23F10" w:rsidP="0053492B">
      <w:pPr>
        <w:jc w:val="both"/>
        <w:rPr>
          <w:sz w:val="20"/>
        </w:rPr>
      </w:pPr>
      <w:r>
        <w:rPr>
          <w:sz w:val="20"/>
        </w:rPr>
        <w:t>NA</w:t>
      </w:r>
    </w:p>
    <w:p w:rsidR="00C23F10" w:rsidRPr="00DD2024" w:rsidRDefault="00C23F10" w:rsidP="0053492B">
      <w:pPr>
        <w:jc w:val="both"/>
        <w:rPr>
          <w:sz w:val="20"/>
        </w:rPr>
      </w:pPr>
    </w:p>
    <w:p w:rsidR="0053492B" w:rsidRPr="00DD2024" w:rsidRDefault="0053492B" w:rsidP="0053492B">
      <w:pPr>
        <w:jc w:val="both"/>
        <w:rPr>
          <w:sz w:val="20"/>
        </w:rPr>
      </w:pPr>
      <w:r w:rsidRPr="00DD2024">
        <w:rPr>
          <w:b/>
        </w:rPr>
        <w:t xml:space="preserve">IX.  </w:t>
      </w:r>
      <w:r w:rsidRPr="00DD2024">
        <w:rPr>
          <w:b/>
          <w:u w:val="single"/>
        </w:rPr>
        <w:t>OTHER REQUIREMENTS</w:t>
      </w:r>
    </w:p>
    <w:p w:rsidR="0053492B" w:rsidRPr="00DD2024" w:rsidRDefault="0053492B" w:rsidP="0053492B">
      <w:pPr>
        <w:jc w:val="both"/>
        <w:rPr>
          <w:sz w:val="20"/>
        </w:rPr>
      </w:pPr>
    </w:p>
    <w:p w:rsidR="0053492B" w:rsidRPr="00DD2024" w:rsidRDefault="0053492B" w:rsidP="0053492B">
      <w:pPr>
        <w:jc w:val="both"/>
        <w:rPr>
          <w:sz w:val="20"/>
        </w:rPr>
      </w:pPr>
      <w:r w:rsidRPr="00DD2024">
        <w:rPr>
          <w:sz w:val="20"/>
        </w:rPr>
        <w:t>NA</w:t>
      </w:r>
    </w:p>
    <w:p w:rsidR="0053492B" w:rsidRPr="00DD2024" w:rsidRDefault="0053492B" w:rsidP="0053492B">
      <w:pPr>
        <w:jc w:val="both"/>
        <w:rPr>
          <w:sz w:val="20"/>
        </w:rPr>
      </w:pPr>
    </w:p>
    <w:p w:rsidR="0053492B" w:rsidRPr="00DD2024" w:rsidRDefault="0053492B" w:rsidP="0053492B">
      <w:pPr>
        <w:jc w:val="both"/>
        <w:rPr>
          <w:sz w:val="20"/>
        </w:rPr>
      </w:pPr>
    </w:p>
    <w:p w:rsidR="0053492B" w:rsidRPr="00DD2024" w:rsidRDefault="0053492B" w:rsidP="0053492B">
      <w:pPr>
        <w:jc w:val="both"/>
        <w:rPr>
          <w:b/>
          <w:sz w:val="20"/>
        </w:rPr>
      </w:pPr>
      <w:r w:rsidRPr="00DD2024">
        <w:rPr>
          <w:b/>
          <w:sz w:val="20"/>
          <w:u w:val="single"/>
        </w:rPr>
        <w:t>Footnotes</w:t>
      </w:r>
      <w:r w:rsidRPr="00DD2024">
        <w:rPr>
          <w:b/>
          <w:sz w:val="20"/>
        </w:rPr>
        <w:t>:</w:t>
      </w:r>
    </w:p>
    <w:p w:rsidR="0053492B" w:rsidRPr="00DD2024" w:rsidRDefault="0053492B" w:rsidP="0053492B">
      <w:pPr>
        <w:jc w:val="both"/>
        <w:rPr>
          <w:sz w:val="20"/>
        </w:rPr>
      </w:pPr>
      <w:r w:rsidRPr="00DD2024">
        <w:rPr>
          <w:sz w:val="20"/>
          <w:vertAlign w:val="superscript"/>
        </w:rPr>
        <w:t>1</w:t>
      </w:r>
      <w:r w:rsidRPr="00DD2024">
        <w:rPr>
          <w:sz w:val="20"/>
        </w:rPr>
        <w:t>This condition is state only enforceable and was established pursuant to Rule 201(1)(b).</w:t>
      </w:r>
    </w:p>
    <w:p w:rsidR="0053492B" w:rsidRPr="00DD2024" w:rsidRDefault="0053492B" w:rsidP="0053492B">
      <w:pPr>
        <w:jc w:val="both"/>
        <w:rPr>
          <w:sz w:val="20"/>
        </w:rPr>
      </w:pPr>
      <w:r w:rsidRPr="00DD2024">
        <w:rPr>
          <w:sz w:val="20"/>
          <w:vertAlign w:val="superscript"/>
        </w:rPr>
        <w:t>2</w:t>
      </w:r>
      <w:r w:rsidRPr="00DD2024">
        <w:rPr>
          <w:sz w:val="20"/>
        </w:rPr>
        <w:t>This condition is federally enforceable and was established pursuant to Rule 201(1)(a).</w:t>
      </w:r>
    </w:p>
    <w:p w:rsidR="0053492B" w:rsidRPr="003A4A19" w:rsidRDefault="0053492B" w:rsidP="00F62984">
      <w:pPr>
        <w:jc w:val="both"/>
        <w:rPr>
          <w:rFonts w:cs="Arial"/>
          <w:sz w:val="20"/>
        </w:rPr>
      </w:pPr>
    </w:p>
    <w:p w:rsidR="008427BE" w:rsidRPr="003A327D" w:rsidRDefault="008427BE" w:rsidP="008427BE">
      <w:pPr>
        <w:jc w:val="both"/>
        <w:rPr>
          <w:sz w:val="20"/>
        </w:rPr>
      </w:pPr>
    </w:p>
    <w:p w:rsidR="007014BE" w:rsidRPr="007014BE" w:rsidRDefault="00E14632" w:rsidP="007014BE">
      <w:pPr>
        <w:rPr>
          <w:sz w:val="20"/>
        </w:rPr>
      </w:pPr>
      <w:r w:rsidRPr="00FE0AD0">
        <w:br w:type="page"/>
      </w:r>
      <w:bookmarkStart w:id="85" w:name="_Toc1453518"/>
      <w:bookmarkEnd w:id="63"/>
      <w:bookmarkEnd w:id="64"/>
      <w:bookmarkEnd w:id="65"/>
    </w:p>
    <w:p w:rsidR="005E5399" w:rsidRPr="00440957" w:rsidRDefault="00FE2A0A" w:rsidP="001B5E34">
      <w:pPr>
        <w:pStyle w:val="Heading1"/>
        <w:rPr>
          <w:sz w:val="20"/>
          <w:szCs w:val="20"/>
        </w:rPr>
      </w:pPr>
      <w:bookmarkStart w:id="86" w:name="_Toc11742150"/>
      <w:r w:rsidRPr="001B5E34">
        <w:lastRenderedPageBreak/>
        <w:t>E</w:t>
      </w:r>
      <w:r w:rsidR="005E5399" w:rsidRPr="001B5E34">
        <w:t>.  NON-APPLICABLE REQUIREMENTS</w:t>
      </w:r>
      <w:bookmarkEnd w:id="85"/>
      <w:bookmarkEnd w:id="86"/>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447D64" w:rsidP="00D10803">
      <w:pPr>
        <w:jc w:val="both"/>
      </w:pPr>
    </w:p>
    <w:p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9F147E" w:rsidRPr="00253A7B" w:rsidTr="00A958AE">
        <w:trPr>
          <w:cantSplit/>
          <w:trHeight w:val="226"/>
        </w:trPr>
        <w:tc>
          <w:tcPr>
            <w:tcW w:w="10271" w:type="dxa"/>
          </w:tcPr>
          <w:p w:rsidR="009F147E" w:rsidRPr="00253A7B" w:rsidRDefault="009F147E" w:rsidP="00A958AE">
            <w:pPr>
              <w:keepNext/>
              <w:jc w:val="center"/>
              <w:outlineLvl w:val="0"/>
              <w:rPr>
                <w:b/>
                <w:kern w:val="28"/>
                <w:sz w:val="16"/>
                <w:szCs w:val="28"/>
              </w:rPr>
            </w:pPr>
            <w:bookmarkStart w:id="87" w:name="_Hlk522788426"/>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8" w:name="_Toc367698521"/>
            <w:bookmarkStart w:id="89" w:name="_Toc522874202"/>
            <w:bookmarkStart w:id="90" w:name="_Toc11742151"/>
            <w:r w:rsidRPr="00253A7B">
              <w:rPr>
                <w:b/>
                <w:kern w:val="28"/>
                <w:sz w:val="28"/>
                <w:szCs w:val="28"/>
              </w:rPr>
              <w:t>APPENDICES</w:t>
            </w:r>
            <w:bookmarkEnd w:id="88"/>
            <w:bookmarkEnd w:id="89"/>
            <w:bookmarkEnd w:id="90"/>
          </w:p>
        </w:tc>
      </w:tr>
    </w:tbl>
    <w:p w:rsidR="009F147E" w:rsidRPr="00FC1F2C" w:rsidRDefault="009F147E" w:rsidP="009F147E">
      <w:pPr>
        <w:pStyle w:val="Heading2"/>
        <w:numPr>
          <w:ilvl w:val="0"/>
          <w:numId w:val="0"/>
        </w:numPr>
        <w:spacing w:before="0" w:after="0"/>
        <w:jc w:val="left"/>
        <w:rPr>
          <w:b w:val="0"/>
          <w:sz w:val="22"/>
          <w:szCs w:val="22"/>
        </w:rPr>
      </w:pPr>
      <w:bookmarkStart w:id="91" w:name="_Toc522874203"/>
      <w:bookmarkStart w:id="92" w:name="_Toc11742152"/>
      <w:r w:rsidRPr="005C07D8">
        <w:rPr>
          <w:sz w:val="22"/>
          <w:szCs w:val="22"/>
        </w:rPr>
        <w:t xml:space="preserve">Appendix 1.  </w:t>
      </w:r>
      <w:r>
        <w:rPr>
          <w:sz w:val="22"/>
          <w:szCs w:val="22"/>
        </w:rPr>
        <w:t xml:space="preserve">Acronyms and </w:t>
      </w:r>
      <w:r w:rsidRPr="005C07D8">
        <w:rPr>
          <w:sz w:val="22"/>
          <w:szCs w:val="22"/>
        </w:rPr>
        <w:t>Abbreviations</w:t>
      </w:r>
      <w:bookmarkEnd w:id="91"/>
      <w:bookmarkEnd w:id="92"/>
    </w:p>
    <w:tbl>
      <w:tblPr>
        <w:tblW w:w="5000" w:type="pct"/>
        <w:jc w:val="center"/>
        <w:tblLook w:val="0000" w:firstRow="0" w:lastRow="0" w:firstColumn="0" w:lastColumn="0" w:noHBand="0" w:noVBand="0"/>
      </w:tblPr>
      <w:tblGrid>
        <w:gridCol w:w="1344"/>
        <w:gridCol w:w="3845"/>
        <w:gridCol w:w="803"/>
        <w:gridCol w:w="4202"/>
      </w:tblGrid>
      <w:tr w:rsidR="009F147E" w:rsidRPr="000B6AFE" w:rsidTr="00A958A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rsidR="009F147E" w:rsidRPr="000B6AFE" w:rsidRDefault="009F147E" w:rsidP="00A958AE">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rsidR="009F147E" w:rsidRPr="000B6AFE" w:rsidRDefault="009F147E" w:rsidP="00A958AE">
            <w:pPr>
              <w:jc w:val="center"/>
              <w:rPr>
                <w:rFonts w:cs="Arial"/>
                <w:b/>
                <w:sz w:val="19"/>
                <w:szCs w:val="19"/>
              </w:rPr>
            </w:pPr>
            <w:r w:rsidRPr="000B6AFE">
              <w:rPr>
                <w:rFonts w:cs="Arial"/>
                <w:b/>
                <w:sz w:val="19"/>
                <w:szCs w:val="19"/>
              </w:rPr>
              <w:t>Pollutant / Measurement Abbreviations</w:t>
            </w:r>
          </w:p>
        </w:tc>
      </w:tr>
      <w:tr w:rsidR="009F147E" w:rsidRPr="000B6AFE" w:rsidTr="00A958AE">
        <w:trPr>
          <w:cantSplit/>
          <w:trHeight w:val="245"/>
          <w:jc w:val="center"/>
        </w:trPr>
        <w:tc>
          <w:tcPr>
            <w:tcW w:w="659" w:type="pct"/>
            <w:tcBorders>
              <w:top w:val="single" w:sz="4" w:space="0" w:color="auto"/>
              <w:left w:val="double" w:sz="4" w:space="0" w:color="auto"/>
            </w:tcBorders>
          </w:tcPr>
          <w:p w:rsidR="009F147E" w:rsidRPr="000B6AFE" w:rsidRDefault="009F147E" w:rsidP="00A958AE">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rsidR="009F147E" w:rsidRPr="000B6AFE" w:rsidRDefault="009F147E" w:rsidP="00A958AE">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rsidR="009F147E" w:rsidRPr="000B6AFE" w:rsidRDefault="009F147E" w:rsidP="00A958AE">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rsidR="009F147E" w:rsidRPr="000B6AFE" w:rsidRDefault="009F147E" w:rsidP="00A958AE">
            <w:pPr>
              <w:rPr>
                <w:rFonts w:cs="Arial"/>
                <w:sz w:val="19"/>
                <w:szCs w:val="19"/>
              </w:rPr>
            </w:pPr>
            <w:r w:rsidRPr="000B6AFE">
              <w:rPr>
                <w:rFonts w:cs="Arial"/>
                <w:sz w:val="19"/>
                <w:szCs w:val="19"/>
              </w:rPr>
              <w:t>Actual cubic feet per minute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BACT</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BTU</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British Thermal Unit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CAA</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Clean Air Act</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°C</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Degrees Celsius</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CAM</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CO</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Carbon Monoxide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CEM</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Carbon Dioxide Equivalent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Pr>
                <w:rFonts w:cs="Arial"/>
                <w:sz w:val="19"/>
                <w:szCs w:val="19"/>
              </w:rPr>
              <w:t>CEMS</w:t>
            </w:r>
          </w:p>
        </w:tc>
        <w:tc>
          <w:tcPr>
            <w:tcW w:w="1886" w:type="pct"/>
            <w:tcBorders>
              <w:right w:val="single" w:sz="4" w:space="0" w:color="auto"/>
            </w:tcBorders>
          </w:tcPr>
          <w:p w:rsidR="009F147E" w:rsidRPr="000B6AFE" w:rsidRDefault="009F147E" w:rsidP="00A958AE">
            <w:pPr>
              <w:rPr>
                <w:rFonts w:cs="Arial"/>
                <w:sz w:val="19"/>
                <w:szCs w:val="19"/>
              </w:rPr>
            </w:pPr>
            <w:r>
              <w:rPr>
                <w:rFonts w:cs="Arial"/>
                <w:sz w:val="19"/>
                <w:szCs w:val="19"/>
              </w:rPr>
              <w:t>Continuous Emission Monitoring System</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dscf</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Dry standard cubic foot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CFR</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dscm</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Dry standard cubic meter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COM</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°F</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Degrees Fahrenheit</w:t>
            </w:r>
          </w:p>
        </w:tc>
      </w:tr>
      <w:tr w:rsidR="009F147E" w:rsidRPr="000B6AFE" w:rsidTr="00A958AE">
        <w:trPr>
          <w:cantSplit/>
          <w:trHeight w:val="218"/>
          <w:jc w:val="center"/>
        </w:trPr>
        <w:tc>
          <w:tcPr>
            <w:tcW w:w="659" w:type="pct"/>
            <w:vMerge w:val="restart"/>
            <w:tcBorders>
              <w:left w:val="double" w:sz="4" w:space="0" w:color="auto"/>
            </w:tcBorders>
          </w:tcPr>
          <w:p w:rsidR="009F147E" w:rsidRPr="000B6AFE" w:rsidRDefault="009F147E" w:rsidP="00A958AE">
            <w:pPr>
              <w:rPr>
                <w:rFonts w:cs="Arial"/>
                <w:sz w:val="19"/>
                <w:szCs w:val="19"/>
              </w:rPr>
            </w:pPr>
            <w:r w:rsidRPr="000B6AFE">
              <w:rPr>
                <w:rFonts w:cs="Arial"/>
                <w:sz w:val="19"/>
                <w:szCs w:val="19"/>
              </w:rPr>
              <w:t>Department/</w:t>
            </w:r>
          </w:p>
          <w:p w:rsidR="009F147E" w:rsidRPr="000B6AFE" w:rsidRDefault="009F147E" w:rsidP="00A958AE">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rsidR="009F147E" w:rsidRPr="000B6AFE" w:rsidRDefault="009F147E" w:rsidP="00A958A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gr</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Grains</w:t>
            </w:r>
          </w:p>
        </w:tc>
      </w:tr>
      <w:tr w:rsidR="009F147E" w:rsidRPr="000B6AFE" w:rsidTr="00A958AE">
        <w:trPr>
          <w:cantSplit/>
          <w:trHeight w:val="217"/>
          <w:jc w:val="center"/>
        </w:trPr>
        <w:tc>
          <w:tcPr>
            <w:tcW w:w="659" w:type="pct"/>
            <w:vMerge/>
            <w:tcBorders>
              <w:left w:val="double" w:sz="4" w:space="0" w:color="auto"/>
            </w:tcBorders>
          </w:tcPr>
          <w:p w:rsidR="009F147E" w:rsidRPr="000B6AFE" w:rsidRDefault="009F147E" w:rsidP="00A958AE">
            <w:pPr>
              <w:rPr>
                <w:rFonts w:cs="Arial"/>
                <w:sz w:val="19"/>
                <w:szCs w:val="19"/>
              </w:rPr>
            </w:pPr>
          </w:p>
        </w:tc>
        <w:tc>
          <w:tcPr>
            <w:tcW w:w="1886" w:type="pct"/>
            <w:vMerge/>
            <w:tcBorders>
              <w:right w:val="single" w:sz="4" w:space="0" w:color="auto"/>
            </w:tcBorders>
          </w:tcPr>
          <w:p w:rsidR="009F147E" w:rsidRPr="000B6AFE" w:rsidRDefault="009F147E" w:rsidP="00A958AE">
            <w:pPr>
              <w:rPr>
                <w:rFonts w:cs="Arial"/>
                <w:sz w:val="19"/>
                <w:szCs w:val="19"/>
              </w:rPr>
            </w:pP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HAP</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Hazardous Air Pollutant</w:t>
            </w:r>
          </w:p>
        </w:tc>
      </w:tr>
      <w:tr w:rsidR="009F147E" w:rsidRPr="000B6AFE" w:rsidTr="00A958AE">
        <w:trPr>
          <w:cantSplit/>
          <w:trHeight w:val="245"/>
          <w:jc w:val="center"/>
        </w:trPr>
        <w:tc>
          <w:tcPr>
            <w:tcW w:w="659" w:type="pct"/>
            <w:vMerge w:val="restart"/>
            <w:tcBorders>
              <w:left w:val="double" w:sz="4" w:space="0" w:color="auto"/>
            </w:tcBorders>
          </w:tcPr>
          <w:p w:rsidR="009F147E" w:rsidRPr="000B6AFE" w:rsidRDefault="009F147E" w:rsidP="00A958AE">
            <w:pPr>
              <w:rPr>
                <w:rFonts w:cs="Arial"/>
                <w:sz w:val="19"/>
                <w:szCs w:val="19"/>
              </w:rPr>
            </w:pPr>
            <w:r>
              <w:rPr>
                <w:rFonts w:cs="Arial"/>
                <w:sz w:val="19"/>
                <w:szCs w:val="19"/>
              </w:rPr>
              <w:t>EGLE</w:t>
            </w:r>
          </w:p>
        </w:tc>
        <w:tc>
          <w:tcPr>
            <w:tcW w:w="1886" w:type="pct"/>
            <w:vMerge w:val="restart"/>
            <w:tcBorders>
              <w:right w:val="single" w:sz="4" w:space="0" w:color="auto"/>
            </w:tcBorders>
          </w:tcPr>
          <w:p w:rsidR="009F147E" w:rsidRPr="000B6AFE" w:rsidRDefault="009F147E" w:rsidP="00A958A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Hg</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Mercury</w:t>
            </w:r>
          </w:p>
        </w:tc>
      </w:tr>
      <w:tr w:rsidR="009F147E" w:rsidRPr="000B6AFE" w:rsidTr="00A958AE">
        <w:trPr>
          <w:cantSplit/>
          <w:trHeight w:val="245"/>
          <w:jc w:val="center"/>
        </w:trPr>
        <w:tc>
          <w:tcPr>
            <w:tcW w:w="659" w:type="pct"/>
            <w:vMerge/>
            <w:tcBorders>
              <w:left w:val="double" w:sz="4" w:space="0" w:color="auto"/>
            </w:tcBorders>
          </w:tcPr>
          <w:p w:rsidR="009F147E" w:rsidRDefault="009F147E" w:rsidP="00A958AE">
            <w:pPr>
              <w:rPr>
                <w:rFonts w:cs="Arial"/>
                <w:sz w:val="19"/>
                <w:szCs w:val="19"/>
              </w:rPr>
            </w:pPr>
          </w:p>
        </w:tc>
        <w:tc>
          <w:tcPr>
            <w:tcW w:w="1886" w:type="pct"/>
            <w:vMerge/>
            <w:tcBorders>
              <w:right w:val="single" w:sz="4" w:space="0" w:color="auto"/>
            </w:tcBorders>
          </w:tcPr>
          <w:p w:rsidR="009F147E" w:rsidRPr="000B6AFE" w:rsidRDefault="009F147E" w:rsidP="00A958AE">
            <w:pPr>
              <w:rPr>
                <w:rFonts w:cs="Arial"/>
                <w:sz w:val="19"/>
                <w:szCs w:val="19"/>
              </w:rPr>
            </w:pP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hr</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Hour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EU</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Emission Unit</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HP</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Horsepower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FG</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Flexible Group</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Hydrogen Sulfide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GACS</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kW</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Kilowatt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GC</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General Condition</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lb</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Pound</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GHGs</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Greenhouse Gases</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m</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Meter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HVLP</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mg</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Milligram</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ID</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mm</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Millimeter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IRSL</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MM</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Million</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ITSL</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MW</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Megawatts</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LAER</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NMOC</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Non-methane Organic Compounds</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MACT</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9F147E" w:rsidRPr="000B6AFE" w:rsidRDefault="009F147E" w:rsidP="00A958A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Oxides of Nitrogen</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MAERS</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ng</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Nanogram</w:t>
            </w:r>
          </w:p>
        </w:tc>
      </w:tr>
      <w:tr w:rsidR="009F147E" w:rsidRPr="000B6AFE" w:rsidTr="00A958AE">
        <w:trPr>
          <w:cantSplit/>
          <w:trHeight w:val="218"/>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MAP</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PM</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Particulate Matter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MSDS</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rsidR="009F147E" w:rsidRPr="000B6AFE" w:rsidRDefault="009F147E" w:rsidP="00A958AE">
            <w:pPr>
              <w:rPr>
                <w:rFonts w:cs="Arial"/>
                <w:sz w:val="19"/>
                <w:szCs w:val="19"/>
              </w:rPr>
            </w:pPr>
            <w:r w:rsidRPr="000B6AFE">
              <w:rPr>
                <w:rFonts w:cs="Arial"/>
                <w:sz w:val="19"/>
                <w:szCs w:val="19"/>
              </w:rPr>
              <w:t>PM10</w:t>
            </w:r>
          </w:p>
        </w:tc>
        <w:tc>
          <w:tcPr>
            <w:tcW w:w="2061" w:type="pct"/>
            <w:vMerge w:val="restart"/>
            <w:tcBorders>
              <w:right w:val="double" w:sz="4" w:space="0" w:color="auto"/>
            </w:tcBorders>
          </w:tcPr>
          <w:p w:rsidR="009F147E" w:rsidRPr="000B6AFE" w:rsidRDefault="009F147E" w:rsidP="00A958AE">
            <w:pPr>
              <w:rPr>
                <w:rFonts w:cs="Arial"/>
                <w:sz w:val="19"/>
                <w:szCs w:val="19"/>
              </w:rPr>
            </w:pPr>
            <w:r w:rsidRPr="000B6AFE">
              <w:rPr>
                <w:rFonts w:cs="Arial"/>
                <w:sz w:val="19"/>
                <w:szCs w:val="19"/>
              </w:rPr>
              <w:t>Particulate Matter equal to or less than 10 microns in diameter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NA</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Not Applicable</w:t>
            </w:r>
          </w:p>
        </w:tc>
        <w:tc>
          <w:tcPr>
            <w:tcW w:w="394" w:type="pct"/>
            <w:vMerge/>
            <w:tcBorders>
              <w:left w:val="single" w:sz="4" w:space="0" w:color="auto"/>
            </w:tcBorders>
          </w:tcPr>
          <w:p w:rsidR="009F147E" w:rsidRPr="000B6AFE" w:rsidRDefault="009F147E" w:rsidP="00A958AE">
            <w:pPr>
              <w:rPr>
                <w:rFonts w:cs="Arial"/>
                <w:sz w:val="19"/>
                <w:szCs w:val="19"/>
              </w:rPr>
            </w:pPr>
          </w:p>
        </w:tc>
        <w:tc>
          <w:tcPr>
            <w:tcW w:w="2061" w:type="pct"/>
            <w:vMerge/>
            <w:tcBorders>
              <w:right w:val="double" w:sz="4" w:space="0" w:color="auto"/>
            </w:tcBorders>
          </w:tcPr>
          <w:p w:rsidR="009F147E" w:rsidRPr="000B6AFE" w:rsidRDefault="009F147E" w:rsidP="00A958AE">
            <w:pPr>
              <w:rPr>
                <w:rFonts w:cs="Arial"/>
                <w:sz w:val="19"/>
                <w:szCs w:val="19"/>
              </w:rPr>
            </w:pPr>
          </w:p>
        </w:tc>
      </w:tr>
      <w:tr w:rsidR="009F147E" w:rsidRPr="000B6AFE" w:rsidTr="00A958AE">
        <w:trPr>
          <w:cantSplit/>
          <w:trHeight w:val="218"/>
          <w:jc w:val="center"/>
        </w:trPr>
        <w:tc>
          <w:tcPr>
            <w:tcW w:w="659" w:type="pct"/>
            <w:tcBorders>
              <w:left w:val="double" w:sz="4" w:space="0" w:color="auto"/>
              <w:bottom w:val="nil"/>
            </w:tcBorders>
          </w:tcPr>
          <w:p w:rsidR="009F147E" w:rsidRPr="000B6AFE" w:rsidRDefault="009F147E" w:rsidP="00A958AE">
            <w:pPr>
              <w:rPr>
                <w:rFonts w:cs="Arial"/>
                <w:sz w:val="19"/>
                <w:szCs w:val="19"/>
              </w:rPr>
            </w:pPr>
            <w:r w:rsidRPr="000B6AFE">
              <w:rPr>
                <w:rFonts w:cs="Arial"/>
                <w:sz w:val="19"/>
                <w:szCs w:val="19"/>
              </w:rPr>
              <w:t>NAAQS</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PM2.5</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Particulate Matter equal to or less than 2.5</w:t>
            </w:r>
          </w:p>
          <w:p w:rsidR="009F147E" w:rsidRPr="000B6AFE" w:rsidRDefault="009F147E" w:rsidP="00A958AE">
            <w:pPr>
              <w:rPr>
                <w:rFonts w:cs="Arial"/>
                <w:sz w:val="19"/>
                <w:szCs w:val="19"/>
              </w:rPr>
            </w:pPr>
            <w:r w:rsidRPr="000B6AFE">
              <w:rPr>
                <w:rFonts w:cs="Arial"/>
                <w:sz w:val="19"/>
                <w:szCs w:val="19"/>
              </w:rPr>
              <w:t>microns in diameter</w:t>
            </w:r>
          </w:p>
        </w:tc>
      </w:tr>
      <w:tr w:rsidR="009F147E" w:rsidRPr="000B6AFE" w:rsidTr="00A958AE">
        <w:trPr>
          <w:cantSplit/>
          <w:trHeight w:val="218"/>
          <w:jc w:val="center"/>
        </w:trPr>
        <w:tc>
          <w:tcPr>
            <w:tcW w:w="659" w:type="pct"/>
            <w:vMerge w:val="restart"/>
            <w:tcBorders>
              <w:left w:val="double" w:sz="4" w:space="0" w:color="auto"/>
            </w:tcBorders>
          </w:tcPr>
          <w:p w:rsidR="009F147E" w:rsidRPr="000B6AFE" w:rsidRDefault="009F147E" w:rsidP="00A958AE">
            <w:pPr>
              <w:rPr>
                <w:rFonts w:cs="Arial"/>
                <w:sz w:val="19"/>
                <w:szCs w:val="19"/>
              </w:rPr>
            </w:pPr>
            <w:r w:rsidRPr="000B6AFE">
              <w:rPr>
                <w:rFonts w:cs="Arial"/>
                <w:sz w:val="19"/>
                <w:szCs w:val="19"/>
              </w:rPr>
              <w:t>NESHAP</w:t>
            </w:r>
          </w:p>
        </w:tc>
        <w:tc>
          <w:tcPr>
            <w:tcW w:w="1886" w:type="pct"/>
            <w:vMerge w:val="restart"/>
            <w:tcBorders>
              <w:right w:val="single" w:sz="4" w:space="0" w:color="auto"/>
            </w:tcBorders>
          </w:tcPr>
          <w:p w:rsidR="009F147E" w:rsidRPr="000B6AFE" w:rsidRDefault="009F147E" w:rsidP="00A958AE">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9F147E" w:rsidRPr="000B6AFE" w:rsidRDefault="009F147E" w:rsidP="00A958AE">
            <w:pPr>
              <w:rPr>
                <w:rFonts w:cs="Arial"/>
                <w:sz w:val="19"/>
                <w:szCs w:val="19"/>
              </w:rPr>
            </w:pPr>
            <w:r w:rsidRPr="000B6AFE">
              <w:rPr>
                <w:rFonts w:cs="Arial"/>
                <w:sz w:val="19"/>
                <w:szCs w:val="19"/>
              </w:rPr>
              <w:t>pph</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Pounds per hour</w:t>
            </w:r>
          </w:p>
        </w:tc>
      </w:tr>
      <w:tr w:rsidR="009F147E" w:rsidRPr="000B6AFE" w:rsidTr="00A958AE">
        <w:trPr>
          <w:cantSplit/>
          <w:trHeight w:val="217"/>
          <w:jc w:val="center"/>
        </w:trPr>
        <w:tc>
          <w:tcPr>
            <w:tcW w:w="659" w:type="pct"/>
            <w:vMerge/>
            <w:tcBorders>
              <w:left w:val="double" w:sz="4" w:space="0" w:color="auto"/>
              <w:bottom w:val="nil"/>
            </w:tcBorders>
          </w:tcPr>
          <w:p w:rsidR="009F147E" w:rsidRPr="000B6AFE" w:rsidRDefault="009F147E" w:rsidP="00A958AE">
            <w:pPr>
              <w:rPr>
                <w:rFonts w:cs="Arial"/>
                <w:sz w:val="19"/>
                <w:szCs w:val="19"/>
              </w:rPr>
            </w:pPr>
          </w:p>
        </w:tc>
        <w:tc>
          <w:tcPr>
            <w:tcW w:w="1886" w:type="pct"/>
            <w:vMerge/>
            <w:tcBorders>
              <w:right w:val="single" w:sz="4" w:space="0" w:color="auto"/>
            </w:tcBorders>
          </w:tcPr>
          <w:p w:rsidR="009F147E" w:rsidRPr="000B6AFE" w:rsidRDefault="009F147E" w:rsidP="00A958AE">
            <w:pPr>
              <w:rPr>
                <w:rFonts w:cs="Arial"/>
                <w:sz w:val="19"/>
                <w:szCs w:val="19"/>
              </w:rPr>
            </w:pPr>
          </w:p>
        </w:tc>
        <w:tc>
          <w:tcPr>
            <w:tcW w:w="394" w:type="pct"/>
            <w:tcBorders>
              <w:left w:val="single" w:sz="4" w:space="0" w:color="auto"/>
              <w:bottom w:val="nil"/>
            </w:tcBorders>
          </w:tcPr>
          <w:p w:rsidR="009F147E" w:rsidRPr="000B6AFE" w:rsidRDefault="009F147E" w:rsidP="00A958AE">
            <w:pPr>
              <w:rPr>
                <w:rFonts w:cs="Arial"/>
                <w:sz w:val="19"/>
                <w:szCs w:val="19"/>
              </w:rPr>
            </w:pPr>
            <w:r w:rsidRPr="000B6AFE">
              <w:rPr>
                <w:rFonts w:cs="Arial"/>
                <w:sz w:val="19"/>
                <w:szCs w:val="19"/>
              </w:rPr>
              <w:t>ppm</w:t>
            </w:r>
          </w:p>
        </w:tc>
        <w:tc>
          <w:tcPr>
            <w:tcW w:w="2061" w:type="pct"/>
            <w:tcBorders>
              <w:bottom w:val="nil"/>
              <w:right w:val="double" w:sz="4" w:space="0" w:color="auto"/>
            </w:tcBorders>
          </w:tcPr>
          <w:p w:rsidR="009F147E" w:rsidRPr="000B6AFE" w:rsidRDefault="009F147E" w:rsidP="00A958AE">
            <w:pPr>
              <w:rPr>
                <w:rFonts w:cs="Arial"/>
                <w:sz w:val="19"/>
                <w:szCs w:val="19"/>
              </w:rPr>
            </w:pPr>
            <w:r w:rsidRPr="000B6AFE">
              <w:rPr>
                <w:rFonts w:cs="Arial"/>
                <w:sz w:val="19"/>
                <w:szCs w:val="19"/>
              </w:rPr>
              <w:t>Parts per million</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NSPS</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ppmv</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Parts per million by volume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NSR</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New Source Review</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ppmw</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Parts per million by weight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PS</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9F147E" w:rsidRPr="000B6AFE" w:rsidRDefault="009F147E" w:rsidP="00A958AE">
            <w:pPr>
              <w:rPr>
                <w:rFonts w:cs="Arial"/>
                <w:sz w:val="19"/>
                <w:szCs w:val="19"/>
              </w:rPr>
            </w:pPr>
            <w:r>
              <w:rPr>
                <w:rFonts w:cs="Arial"/>
                <w:sz w:val="19"/>
                <w:szCs w:val="19"/>
              </w:rPr>
              <w:t>%</w:t>
            </w:r>
          </w:p>
        </w:tc>
        <w:tc>
          <w:tcPr>
            <w:tcW w:w="2061" w:type="pct"/>
            <w:tcBorders>
              <w:right w:val="double" w:sz="4" w:space="0" w:color="auto"/>
            </w:tcBorders>
          </w:tcPr>
          <w:p w:rsidR="009F147E" w:rsidRPr="000B6AFE" w:rsidRDefault="009F147E" w:rsidP="00A958AE">
            <w:pPr>
              <w:rPr>
                <w:rFonts w:cs="Arial"/>
                <w:sz w:val="19"/>
                <w:szCs w:val="19"/>
              </w:rPr>
            </w:pPr>
            <w:r>
              <w:rPr>
                <w:rFonts w:cs="Arial"/>
                <w:sz w:val="19"/>
                <w:szCs w:val="19"/>
              </w:rPr>
              <w:t>Percent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PSD</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psia</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Pounds per square inch absolute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PTE</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psig</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Pounds per square inch gauge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PTI</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Permit to Install</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scf</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Standard cubic feet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RACT</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sec</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Seconds</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ROP</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9F147E" w:rsidRPr="000B6AFE" w:rsidRDefault="009F147E" w:rsidP="00A958A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Sulfur Dioxide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SC</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Special Condition</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TAC</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Toxic Air Contaminant</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SCR</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Temp</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Temperature</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SNCR</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THC</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Total Hydrocarbons</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SRN</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tpy</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Tons per year</w:t>
            </w:r>
          </w:p>
        </w:tc>
      </w:tr>
      <w:tr w:rsidR="009F147E" w:rsidRPr="000B6AFE" w:rsidTr="00A958AE">
        <w:trPr>
          <w:cantSplit/>
          <w:trHeight w:val="245"/>
          <w:jc w:val="center"/>
        </w:trPr>
        <w:tc>
          <w:tcPr>
            <w:tcW w:w="659" w:type="pct"/>
            <w:tcBorders>
              <w:left w:val="double" w:sz="4" w:space="0" w:color="auto"/>
            </w:tcBorders>
          </w:tcPr>
          <w:p w:rsidR="009F147E" w:rsidRPr="000B6AFE" w:rsidRDefault="009F147E" w:rsidP="00A958AE">
            <w:pPr>
              <w:rPr>
                <w:rFonts w:cs="Arial"/>
                <w:sz w:val="19"/>
                <w:szCs w:val="19"/>
              </w:rPr>
            </w:pPr>
            <w:r w:rsidRPr="000B6AFE">
              <w:rPr>
                <w:rFonts w:cs="Arial"/>
                <w:sz w:val="19"/>
                <w:szCs w:val="19"/>
              </w:rPr>
              <w:t>TEQ</w:t>
            </w:r>
          </w:p>
        </w:tc>
        <w:tc>
          <w:tcPr>
            <w:tcW w:w="1886" w:type="pct"/>
            <w:tcBorders>
              <w:right w:val="single" w:sz="4" w:space="0" w:color="auto"/>
            </w:tcBorders>
          </w:tcPr>
          <w:p w:rsidR="009F147E" w:rsidRPr="000B6AFE" w:rsidRDefault="009F147E" w:rsidP="00A958AE">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µg</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Microgram</w:t>
            </w:r>
          </w:p>
        </w:tc>
      </w:tr>
      <w:tr w:rsidR="009F147E" w:rsidRPr="000B6AFE" w:rsidTr="00A958AE">
        <w:trPr>
          <w:cantSplit/>
          <w:trHeight w:val="245"/>
          <w:jc w:val="center"/>
        </w:trPr>
        <w:tc>
          <w:tcPr>
            <w:tcW w:w="659" w:type="pct"/>
            <w:vMerge w:val="restart"/>
            <w:tcBorders>
              <w:left w:val="double" w:sz="4" w:space="0" w:color="auto"/>
            </w:tcBorders>
          </w:tcPr>
          <w:p w:rsidR="009F147E" w:rsidRPr="000B6AFE" w:rsidRDefault="009F147E" w:rsidP="00A958A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9F147E" w:rsidRPr="000B6AFE" w:rsidRDefault="009F147E" w:rsidP="00A958AE">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µm</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Micrometer or Micron</w:t>
            </w:r>
          </w:p>
        </w:tc>
      </w:tr>
      <w:tr w:rsidR="009F147E" w:rsidRPr="000B6AFE" w:rsidTr="00A958AE">
        <w:trPr>
          <w:cantSplit/>
          <w:trHeight w:val="245"/>
          <w:jc w:val="center"/>
        </w:trPr>
        <w:tc>
          <w:tcPr>
            <w:tcW w:w="659" w:type="pct"/>
            <w:vMerge/>
            <w:tcBorders>
              <w:left w:val="double" w:sz="4" w:space="0" w:color="auto"/>
            </w:tcBorders>
          </w:tcPr>
          <w:p w:rsidR="009F147E" w:rsidRPr="000B6AFE" w:rsidRDefault="009F147E" w:rsidP="00A958AE">
            <w:pPr>
              <w:rPr>
                <w:rFonts w:cs="Arial"/>
                <w:sz w:val="19"/>
                <w:szCs w:val="19"/>
              </w:rPr>
            </w:pPr>
          </w:p>
        </w:tc>
        <w:tc>
          <w:tcPr>
            <w:tcW w:w="1886" w:type="pct"/>
            <w:vMerge/>
            <w:tcBorders>
              <w:right w:val="single" w:sz="4" w:space="0" w:color="auto"/>
            </w:tcBorders>
          </w:tcPr>
          <w:p w:rsidR="009F147E" w:rsidRPr="000B6AFE" w:rsidRDefault="009F147E" w:rsidP="00A958AE">
            <w:pPr>
              <w:rPr>
                <w:rFonts w:cs="Arial"/>
                <w:sz w:val="19"/>
                <w:szCs w:val="19"/>
              </w:rPr>
            </w:pPr>
          </w:p>
        </w:tc>
        <w:tc>
          <w:tcPr>
            <w:tcW w:w="394" w:type="pct"/>
            <w:tcBorders>
              <w:left w:val="single" w:sz="4" w:space="0" w:color="auto"/>
            </w:tcBorders>
          </w:tcPr>
          <w:p w:rsidR="009F147E" w:rsidRPr="000B6AFE" w:rsidRDefault="009F147E" w:rsidP="00A958AE">
            <w:pPr>
              <w:rPr>
                <w:rFonts w:cs="Arial"/>
                <w:sz w:val="19"/>
                <w:szCs w:val="19"/>
              </w:rPr>
            </w:pPr>
            <w:r w:rsidRPr="000B6AFE">
              <w:rPr>
                <w:rFonts w:cs="Arial"/>
                <w:sz w:val="19"/>
                <w:szCs w:val="19"/>
              </w:rPr>
              <w:t>VOC</w:t>
            </w:r>
          </w:p>
        </w:tc>
        <w:tc>
          <w:tcPr>
            <w:tcW w:w="2061" w:type="pct"/>
            <w:tcBorders>
              <w:right w:val="double" w:sz="4" w:space="0" w:color="auto"/>
            </w:tcBorders>
          </w:tcPr>
          <w:p w:rsidR="009F147E" w:rsidRPr="000B6AFE" w:rsidRDefault="009F147E" w:rsidP="00A958AE">
            <w:pPr>
              <w:rPr>
                <w:rFonts w:cs="Arial"/>
                <w:sz w:val="19"/>
                <w:szCs w:val="19"/>
              </w:rPr>
            </w:pPr>
            <w:r w:rsidRPr="000B6AFE">
              <w:rPr>
                <w:rFonts w:cs="Arial"/>
                <w:sz w:val="19"/>
                <w:szCs w:val="19"/>
              </w:rPr>
              <w:t>Volatile Organic Compounds</w:t>
            </w:r>
          </w:p>
        </w:tc>
      </w:tr>
      <w:tr w:rsidR="009F147E" w:rsidRPr="000B6AFE" w:rsidTr="00A958AE">
        <w:trPr>
          <w:cantSplit/>
          <w:trHeight w:val="245"/>
          <w:jc w:val="center"/>
        </w:trPr>
        <w:tc>
          <w:tcPr>
            <w:tcW w:w="659" w:type="pct"/>
            <w:tcBorders>
              <w:left w:val="double" w:sz="4" w:space="0" w:color="auto"/>
              <w:bottom w:val="double" w:sz="4" w:space="0" w:color="auto"/>
            </w:tcBorders>
          </w:tcPr>
          <w:p w:rsidR="009F147E" w:rsidRPr="000B6AFE" w:rsidRDefault="009F147E" w:rsidP="00A958AE">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rsidR="009F147E" w:rsidRPr="000B6AFE" w:rsidRDefault="009F147E" w:rsidP="00A958AE">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rsidR="009F147E" w:rsidRPr="000B6AFE" w:rsidRDefault="009F147E" w:rsidP="00A958AE">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rsidR="009F147E" w:rsidRPr="000B6AFE" w:rsidRDefault="009F147E" w:rsidP="00A958AE">
            <w:pPr>
              <w:rPr>
                <w:rFonts w:cs="Arial"/>
                <w:sz w:val="19"/>
                <w:szCs w:val="19"/>
              </w:rPr>
            </w:pPr>
            <w:r w:rsidRPr="000B6AFE">
              <w:rPr>
                <w:rFonts w:cs="Arial"/>
                <w:sz w:val="19"/>
                <w:szCs w:val="19"/>
              </w:rPr>
              <w:t>Year</w:t>
            </w:r>
          </w:p>
        </w:tc>
      </w:tr>
    </w:tbl>
    <w:p w:rsidR="009F147E" w:rsidRDefault="009F147E" w:rsidP="009F147E">
      <w:pPr>
        <w:rPr>
          <w:sz w:val="20"/>
        </w:rPr>
      </w:pPr>
      <w:r w:rsidRPr="000B6AFE">
        <w:rPr>
          <w:rFonts w:cs="Arial"/>
          <w:sz w:val="19"/>
          <w:szCs w:val="19"/>
        </w:rPr>
        <w:t>*For HVLP applicators, the pressure measured at the gun air cap shall not exceed 10 psig.</w:t>
      </w:r>
    </w:p>
    <w:p w:rsidR="00926547" w:rsidRDefault="00926547" w:rsidP="004F09CF">
      <w:pPr>
        <w:jc w:val="both"/>
        <w:rPr>
          <w:sz w:val="20"/>
        </w:rPr>
      </w:pPr>
    </w:p>
    <w:p w:rsidR="00C60E84" w:rsidRPr="00461D22" w:rsidRDefault="00C60E84" w:rsidP="00461D22">
      <w:pPr>
        <w:pStyle w:val="Heading2"/>
        <w:numPr>
          <w:ilvl w:val="0"/>
          <w:numId w:val="0"/>
        </w:numPr>
        <w:jc w:val="left"/>
        <w:rPr>
          <w:bCs/>
          <w:sz w:val="22"/>
          <w:szCs w:val="22"/>
        </w:rPr>
      </w:pPr>
      <w:bookmarkStart w:id="93" w:name="_Toc11742153"/>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bookmarkEnd w:id="87"/>
      <w:r w:rsidRPr="00461D22">
        <w:rPr>
          <w:bCs/>
          <w:sz w:val="22"/>
          <w:szCs w:val="22"/>
        </w:rPr>
        <w:lastRenderedPageBreak/>
        <w:t>Appendix 2.  Schedule of Compliance</w:t>
      </w:r>
      <w:bookmarkEnd w:id="93"/>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102" w:name="_Toc11742154"/>
      <w:r w:rsidRPr="00461D22">
        <w:rPr>
          <w:sz w:val="22"/>
          <w:szCs w:val="22"/>
        </w:rPr>
        <w:t>Appendix 3.  Monitoring Requirements</w:t>
      </w:r>
      <w:bookmarkEnd w:id="102"/>
    </w:p>
    <w:p w:rsidR="004B57A4" w:rsidRDefault="004B57A4" w:rsidP="004B57A4">
      <w:pPr>
        <w:jc w:val="both"/>
        <w:rPr>
          <w:sz w:val="20"/>
        </w:rPr>
      </w:pPr>
    </w:p>
    <w:p w:rsidR="004B57A4" w:rsidRPr="00B77C68" w:rsidRDefault="004B57A4" w:rsidP="004B57A4">
      <w:pPr>
        <w:jc w:val="both"/>
        <w:rPr>
          <w:sz w:val="20"/>
        </w:rPr>
      </w:pPr>
      <w:r w:rsidRPr="00B77C68">
        <w:rPr>
          <w:sz w:val="20"/>
        </w:rPr>
        <w:t xml:space="preserve">The following monitoring procedures, methods, or specifications are the details to the monitoring requirements identified and referenced in </w:t>
      </w:r>
      <w:r>
        <w:rPr>
          <w:sz w:val="20"/>
        </w:rPr>
        <w:t>FGTURBINES.</w:t>
      </w:r>
    </w:p>
    <w:p w:rsidR="004B57A4" w:rsidRPr="00B77C68" w:rsidRDefault="004B57A4" w:rsidP="004B57A4">
      <w:pPr>
        <w:jc w:val="both"/>
        <w:rPr>
          <w:b/>
          <w:sz w:val="20"/>
        </w:rPr>
      </w:pPr>
    </w:p>
    <w:p w:rsidR="004B57A4" w:rsidRPr="00EA2DEB" w:rsidRDefault="004B57A4" w:rsidP="004B57A4">
      <w:pPr>
        <w:jc w:val="center"/>
        <w:rPr>
          <w:rFonts w:cs="Arial"/>
          <w:b/>
          <w:bCs/>
          <w:color w:val="000000"/>
          <w:szCs w:val="22"/>
        </w:rPr>
      </w:pPr>
      <w:r>
        <w:rPr>
          <w:b/>
          <w:color w:val="FF0000"/>
          <w:sz w:val="20"/>
        </w:rPr>
        <w:t xml:space="preserve"> </w:t>
      </w:r>
      <w:r w:rsidRPr="00EA2DEB">
        <w:rPr>
          <w:rFonts w:cs="Arial"/>
          <w:b/>
          <w:bCs/>
          <w:color w:val="000000"/>
          <w:szCs w:val="22"/>
        </w:rPr>
        <w:t xml:space="preserve">Custom Fuel Monitoring Program (CFMP) </w:t>
      </w:r>
    </w:p>
    <w:p w:rsidR="004B57A4" w:rsidRPr="00EA2DEB" w:rsidRDefault="004B57A4" w:rsidP="004B57A4">
      <w:pPr>
        <w:jc w:val="center"/>
        <w:rPr>
          <w:rFonts w:cs="Arial"/>
          <w:b/>
          <w:bCs/>
          <w:color w:val="000000"/>
          <w:szCs w:val="22"/>
        </w:rPr>
      </w:pPr>
      <w:r w:rsidRPr="00EA2DEB">
        <w:rPr>
          <w:rFonts w:cs="Arial"/>
          <w:b/>
          <w:bCs/>
          <w:color w:val="000000"/>
          <w:szCs w:val="22"/>
        </w:rPr>
        <w:t>Developed Pursuant to the Custom Fuel Monitoring Requirements of</w:t>
      </w:r>
    </w:p>
    <w:p w:rsidR="004B57A4" w:rsidRPr="00EA2DEB" w:rsidRDefault="004B57A4" w:rsidP="004B57A4">
      <w:pPr>
        <w:spacing w:after="240"/>
        <w:jc w:val="center"/>
        <w:rPr>
          <w:rFonts w:cs="Arial"/>
          <w:b/>
          <w:bCs/>
          <w:color w:val="000000"/>
          <w:szCs w:val="22"/>
        </w:rPr>
      </w:pPr>
      <w:r w:rsidRPr="00EA2DEB">
        <w:rPr>
          <w:rFonts w:cs="Arial"/>
          <w:b/>
          <w:bCs/>
          <w:color w:val="000000"/>
          <w:szCs w:val="22"/>
        </w:rPr>
        <w:t>40 CFR Part 60 Subpart GG</w:t>
      </w:r>
    </w:p>
    <w:p w:rsidR="004B57A4" w:rsidRPr="00EA2DEB" w:rsidRDefault="004B57A4" w:rsidP="004B57A4">
      <w:pPr>
        <w:numPr>
          <w:ilvl w:val="0"/>
          <w:numId w:val="55"/>
        </w:numPr>
        <w:spacing w:after="120"/>
        <w:rPr>
          <w:rFonts w:cs="Arial"/>
          <w:i/>
          <w:iCs/>
          <w:color w:val="000000"/>
          <w:sz w:val="20"/>
        </w:rPr>
      </w:pPr>
      <w:r w:rsidRPr="00EA2DEB">
        <w:rPr>
          <w:rFonts w:cs="Arial"/>
          <w:b/>
          <w:bCs/>
          <w:i/>
          <w:iCs/>
          <w:color w:val="000000"/>
          <w:sz w:val="20"/>
        </w:rPr>
        <w:t>Nitrogen Content Monitoring</w:t>
      </w:r>
      <w:r w:rsidRPr="00EA2DEB">
        <w:rPr>
          <w:rFonts w:cs="Arial"/>
          <w:i/>
          <w:iCs/>
          <w:color w:val="000000"/>
          <w:sz w:val="20"/>
        </w:rPr>
        <w:t>:</w:t>
      </w:r>
    </w:p>
    <w:p w:rsidR="004B57A4" w:rsidRPr="00EA2DEB" w:rsidRDefault="004B57A4" w:rsidP="004B57A4">
      <w:pPr>
        <w:spacing w:after="240"/>
        <w:jc w:val="both"/>
        <w:rPr>
          <w:rFonts w:cs="Arial"/>
          <w:color w:val="000000"/>
          <w:sz w:val="20"/>
        </w:rPr>
      </w:pPr>
      <w:r w:rsidRPr="00EA2DEB">
        <w:rPr>
          <w:rFonts w:cs="Arial"/>
          <w:color w:val="000000"/>
          <w:sz w:val="20"/>
        </w:rPr>
        <w:t xml:space="preserve">Monitoring of fuel nitrogen content required by 40 CFR Part 60 Subpart GG </w:t>
      </w:r>
      <w:r w:rsidRPr="00EA2DEB">
        <w:rPr>
          <w:rFonts w:cs="Arial"/>
          <w:b/>
          <w:bCs/>
          <w:color w:val="000000"/>
          <w:sz w:val="20"/>
        </w:rPr>
        <w:t>will not be performed</w:t>
      </w:r>
      <w:r w:rsidRPr="00EA2DEB">
        <w:rPr>
          <w:rFonts w:cs="Arial"/>
          <w:color w:val="000000"/>
          <w:sz w:val="20"/>
        </w:rPr>
        <w:t xml:space="preserve"> while natural gas, as defined in 40 CFR 60.331, is the only fuel fired in the two natural gas turbines covered by this Permit, and while Vector Pipeline L.P. does not claim an allowance for fuel bound nitrogen.</w:t>
      </w:r>
    </w:p>
    <w:p w:rsidR="004B57A4" w:rsidRPr="00EA2DEB" w:rsidRDefault="004B57A4" w:rsidP="004B57A4">
      <w:pPr>
        <w:numPr>
          <w:ilvl w:val="0"/>
          <w:numId w:val="55"/>
        </w:numPr>
        <w:spacing w:after="120"/>
        <w:rPr>
          <w:rFonts w:cs="Arial"/>
          <w:i/>
          <w:iCs/>
          <w:color w:val="000000"/>
          <w:sz w:val="20"/>
        </w:rPr>
      </w:pPr>
      <w:r w:rsidRPr="00EA2DEB">
        <w:rPr>
          <w:rFonts w:cs="Arial"/>
          <w:b/>
          <w:bCs/>
          <w:i/>
          <w:iCs/>
          <w:color w:val="000000"/>
          <w:sz w:val="20"/>
        </w:rPr>
        <w:t>Sulfur Content Monitoring</w:t>
      </w:r>
      <w:r w:rsidRPr="00EA2DEB">
        <w:rPr>
          <w:rFonts w:cs="Arial"/>
          <w:i/>
          <w:iCs/>
          <w:color w:val="000000"/>
          <w:sz w:val="20"/>
        </w:rPr>
        <w:t>:</w:t>
      </w:r>
    </w:p>
    <w:p w:rsidR="004B57A4" w:rsidRPr="00EA2DEB" w:rsidRDefault="004B57A4" w:rsidP="004B57A4">
      <w:pPr>
        <w:spacing w:after="240"/>
        <w:jc w:val="both"/>
        <w:rPr>
          <w:rFonts w:cs="Arial"/>
          <w:color w:val="000000"/>
          <w:sz w:val="20"/>
        </w:rPr>
      </w:pPr>
      <w:r w:rsidRPr="00EA2DEB">
        <w:rPr>
          <w:rFonts w:cs="Arial"/>
          <w:color w:val="000000"/>
          <w:sz w:val="20"/>
        </w:rPr>
        <w:t xml:space="preserve">Sulfur content monitoring required by 40 CFR Part 60 Subpart GG </w:t>
      </w:r>
      <w:r w:rsidRPr="00EA2DEB">
        <w:rPr>
          <w:rFonts w:cs="Arial"/>
          <w:b/>
          <w:bCs/>
          <w:color w:val="000000"/>
          <w:sz w:val="20"/>
        </w:rPr>
        <w:t>will not be performed</w:t>
      </w:r>
      <w:r w:rsidRPr="00EA2DEB">
        <w:rPr>
          <w:rFonts w:cs="Arial"/>
          <w:color w:val="000000"/>
          <w:sz w:val="20"/>
        </w:rPr>
        <w:t>, 1) during the period of time that Vector Pipeline L.P. maintains valid tariffs in place with the Federal Energy Regulatory Commission (FERC) that limit the sulfur content of natural gas combusted within the two gas turbines covered by this Permit to not more than 20 grains of total sulfur per 100 standard cubic feet of natural gas or, in the absence of such tariffs being in place, 2) Vector Pipeline L.P. performs representative fuel sampling consistent with the requirements of Sections 2.3.1.4 or 2.3.2.4 of appendix D of 40 CFR Part 75, the data from which showing that the sulfur content of the gaseous fuel does not exceed 20.0 grains of total sulfur per 100 standard cubic feet of natural gas.</w:t>
      </w:r>
    </w:p>
    <w:p w:rsidR="004B57A4" w:rsidRPr="00EA2DEB" w:rsidRDefault="004B57A4" w:rsidP="004B57A4">
      <w:pPr>
        <w:spacing w:after="240"/>
        <w:jc w:val="both"/>
        <w:rPr>
          <w:rFonts w:cs="Arial"/>
          <w:b/>
          <w:bCs/>
          <w:color w:val="000000"/>
          <w:sz w:val="20"/>
        </w:rPr>
      </w:pPr>
      <w:r w:rsidRPr="00EA2DEB">
        <w:rPr>
          <w:rFonts w:cs="Arial"/>
          <w:b/>
          <w:bCs/>
          <w:color w:val="000000"/>
          <w:sz w:val="20"/>
        </w:rPr>
        <w:t>Reinstatement of the Requirement for Vector Pipeline L.P. to Monitor Nitrogen and Sulfur Content of Natural Gas Combusted at the Highland Compressor Station Facility, Highland Township, Michigan:</w:t>
      </w:r>
    </w:p>
    <w:p w:rsidR="00C60E84" w:rsidRPr="00072168" w:rsidRDefault="004B57A4" w:rsidP="00072168">
      <w:pPr>
        <w:spacing w:after="240"/>
        <w:jc w:val="both"/>
        <w:rPr>
          <w:rFonts w:cs="Arial"/>
          <w:color w:val="000000"/>
          <w:sz w:val="20"/>
        </w:rPr>
      </w:pPr>
      <w:r w:rsidRPr="00EA2DEB">
        <w:rPr>
          <w:rFonts w:cs="Arial"/>
          <w:color w:val="000000"/>
          <w:sz w:val="20"/>
        </w:rPr>
        <w:t>In the event the above provisions cannot be met that allow Vector Pipeline L.P. to forego nitrogen and/or sulfur content monitoring called for within 40 CFR Part 60.334(h) at the Highland Compressor Station facility, Vector Pipeline L.P. shall immediately initiate nitrogen and/or sulfur content monitoring, as appropriate, on a frequency consistent with 40 CFR Part 60.334(i), with reports of periods of excess emissions and monitor downtime being submitted in accordance with and at a frequency established within 40 CFR Part 60.334(j)</w:t>
      </w:r>
      <w:r w:rsidR="00072168">
        <w:rPr>
          <w:rFonts w:cs="Arial"/>
          <w:color w:val="000000"/>
          <w:sz w:val="20"/>
        </w:rPr>
        <w:t>.</w:t>
      </w:r>
    </w:p>
    <w:p w:rsidR="00C60E84" w:rsidRPr="00461D22" w:rsidRDefault="00C60E84" w:rsidP="004F09CF">
      <w:pPr>
        <w:pStyle w:val="Heading2"/>
        <w:numPr>
          <w:ilvl w:val="0"/>
          <w:numId w:val="0"/>
        </w:numPr>
        <w:jc w:val="both"/>
        <w:rPr>
          <w:sz w:val="22"/>
          <w:szCs w:val="22"/>
        </w:rPr>
      </w:pPr>
      <w:bookmarkStart w:id="103" w:name="_Toc11742155"/>
      <w:r w:rsidRPr="00461D22">
        <w:rPr>
          <w:sz w:val="22"/>
          <w:szCs w:val="22"/>
        </w:rPr>
        <w:t>Appendix 4.  Recordkeeping</w:t>
      </w:r>
      <w:bookmarkEnd w:id="103"/>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04" w:name="_Toc11742156"/>
      <w:r w:rsidRPr="00461D22">
        <w:rPr>
          <w:sz w:val="22"/>
          <w:szCs w:val="22"/>
        </w:rPr>
        <w:t>Appendix 5.  Testing Procedures</w:t>
      </w:r>
      <w:bookmarkEnd w:id="104"/>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rsidR="00C826FE" w:rsidRDefault="00C826FE">
      <w:pPr>
        <w:rPr>
          <w:sz w:val="20"/>
        </w:rPr>
      </w:pPr>
      <w:r>
        <w:rPr>
          <w:sz w:val="20"/>
        </w:rPr>
        <w:br w:type="page"/>
      </w:r>
    </w:p>
    <w:p w:rsidR="00EC07BA" w:rsidRDefault="00EC07BA" w:rsidP="001838ED">
      <w:pPr>
        <w:pStyle w:val="Heading2"/>
        <w:numPr>
          <w:ilvl w:val="0"/>
          <w:numId w:val="0"/>
        </w:numPr>
        <w:jc w:val="both"/>
        <w:rPr>
          <w:sz w:val="22"/>
          <w:szCs w:val="22"/>
        </w:rPr>
      </w:pPr>
      <w:bookmarkStart w:id="105" w:name="_Toc11742157"/>
      <w:r w:rsidRPr="00461D22">
        <w:rPr>
          <w:sz w:val="22"/>
          <w:szCs w:val="22"/>
        </w:rPr>
        <w:lastRenderedPageBreak/>
        <w:t>Appendix 6.  Permits to Install</w:t>
      </w:r>
      <w:bookmarkEnd w:id="105"/>
    </w:p>
    <w:p w:rsidR="00C826FE" w:rsidRPr="00C826FE" w:rsidRDefault="00C826FE" w:rsidP="00C826FE"/>
    <w:p w:rsidR="009119C8" w:rsidRPr="00B9348B" w:rsidRDefault="009119C8" w:rsidP="009119C8">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w:t>
      </w:r>
      <w:r>
        <w:rPr>
          <w:rFonts w:cs="Arial"/>
          <w:sz w:val="20"/>
        </w:rPr>
        <w:t>f the previously issued ROP No.</w:t>
      </w:r>
      <w:r w:rsidRPr="00903ACF">
        <w:rPr>
          <w:rFonts w:cs="Arial"/>
          <w:sz w:val="20"/>
        </w:rPr>
        <w:t>MI-</w:t>
      </w:r>
      <w:r w:rsidRPr="00E07100">
        <w:rPr>
          <w:rFonts w:cs="Arial"/>
          <w:sz w:val="20"/>
        </w:rPr>
        <w:t>ROP-N6838-20</w:t>
      </w:r>
      <w:r w:rsidR="00FB16CC">
        <w:rPr>
          <w:rFonts w:cs="Arial"/>
          <w:sz w:val="20"/>
        </w:rPr>
        <w:t>08</w:t>
      </w:r>
      <w:r w:rsidRPr="00E07100">
        <w:rPr>
          <w:rFonts w:cs="Arial"/>
          <w:sz w:val="20"/>
        </w:rPr>
        <w:t>.</w:t>
      </w:r>
      <w:r>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9119C8" w:rsidRPr="00903ACF" w:rsidRDefault="009119C8" w:rsidP="009119C8">
      <w:pPr>
        <w:jc w:val="both"/>
        <w:rPr>
          <w:rFonts w:cs="Arial"/>
          <w:color w:val="FF0000"/>
          <w:sz w:val="20"/>
        </w:rPr>
      </w:pPr>
    </w:p>
    <w:p w:rsidR="009119C8" w:rsidRPr="00E07100" w:rsidRDefault="009119C8" w:rsidP="009119C8">
      <w:pPr>
        <w:jc w:val="both"/>
        <w:rPr>
          <w:rFonts w:cs="Arial"/>
          <w:sz w:val="20"/>
        </w:rPr>
      </w:pPr>
      <w:r w:rsidRPr="00903ACF">
        <w:rPr>
          <w:rFonts w:cs="Arial"/>
          <w:sz w:val="20"/>
        </w:rPr>
        <w:t>Source-Wide PTI No MI-</w:t>
      </w:r>
      <w:r w:rsidRPr="00E07100">
        <w:rPr>
          <w:rFonts w:cs="Arial"/>
          <w:sz w:val="20"/>
        </w:rPr>
        <w:t>PTI-N6838-20</w:t>
      </w:r>
      <w:r>
        <w:rPr>
          <w:rFonts w:cs="Arial"/>
          <w:sz w:val="20"/>
        </w:rPr>
        <w:t xml:space="preserve">14a </w:t>
      </w:r>
      <w:r w:rsidRPr="00903ACF">
        <w:rPr>
          <w:rFonts w:cs="Arial"/>
          <w:sz w:val="20"/>
        </w:rPr>
        <w:t>is being reissued as Source-Wide PTI No. MI-</w:t>
      </w:r>
      <w:r w:rsidRPr="00E07100">
        <w:rPr>
          <w:rFonts w:cs="Arial"/>
          <w:sz w:val="20"/>
        </w:rPr>
        <w:t>PTI-</w:t>
      </w:r>
      <w:r w:rsidRPr="00B52808">
        <w:rPr>
          <w:rFonts w:cs="Arial"/>
          <w:sz w:val="20"/>
        </w:rPr>
        <w:t>N6838-20</w:t>
      </w:r>
      <w:r w:rsidR="00B52808" w:rsidRPr="00B52808">
        <w:rPr>
          <w:rFonts w:cs="Arial"/>
          <w:sz w:val="20"/>
        </w:rPr>
        <w:t>19.</w:t>
      </w:r>
    </w:p>
    <w:p w:rsidR="009119C8" w:rsidRPr="00B9348B" w:rsidRDefault="009119C8" w:rsidP="009119C8">
      <w:pPr>
        <w:jc w:val="both"/>
        <w:rPr>
          <w:rFonts w:cs="Arial"/>
          <w:color w:val="FF0000"/>
          <w:sz w:val="20"/>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540"/>
        <w:gridCol w:w="3937"/>
        <w:gridCol w:w="2121"/>
      </w:tblGrid>
      <w:tr w:rsidR="009119C8" w:rsidRPr="001D53D9" w:rsidTr="0087025C">
        <w:tc>
          <w:tcPr>
            <w:tcW w:w="702" w:type="pct"/>
            <w:tcBorders>
              <w:top w:val="double" w:sz="6" w:space="0" w:color="auto"/>
              <w:left w:val="double" w:sz="6" w:space="0" w:color="auto"/>
              <w:bottom w:val="double" w:sz="6" w:space="0" w:color="auto"/>
            </w:tcBorders>
            <w:shd w:val="clear" w:color="auto" w:fill="E0E0E0"/>
          </w:tcPr>
          <w:p w:rsidR="009119C8" w:rsidRPr="001D53D9" w:rsidRDefault="009119C8" w:rsidP="0087025C">
            <w:pPr>
              <w:jc w:val="center"/>
              <w:rPr>
                <w:rFonts w:cs="Arial"/>
                <w:b/>
                <w:sz w:val="20"/>
              </w:rPr>
            </w:pPr>
            <w:r w:rsidRPr="001D53D9">
              <w:rPr>
                <w:rFonts w:cs="Arial"/>
                <w:b/>
                <w:sz w:val="20"/>
              </w:rPr>
              <w:t>Permit to Install Number</w:t>
            </w:r>
          </w:p>
        </w:tc>
        <w:tc>
          <w:tcPr>
            <w:tcW w:w="1269" w:type="pct"/>
            <w:tcBorders>
              <w:top w:val="double" w:sz="6" w:space="0" w:color="auto"/>
              <w:bottom w:val="double" w:sz="6" w:space="0" w:color="auto"/>
            </w:tcBorders>
            <w:shd w:val="clear" w:color="auto" w:fill="E0E0E0"/>
          </w:tcPr>
          <w:p w:rsidR="009119C8" w:rsidRPr="001D53D9" w:rsidRDefault="009119C8" w:rsidP="0087025C">
            <w:pPr>
              <w:jc w:val="center"/>
              <w:rPr>
                <w:rFonts w:cs="Arial"/>
                <w:b/>
                <w:sz w:val="20"/>
              </w:rPr>
            </w:pPr>
            <w:r w:rsidRPr="001D53D9">
              <w:rPr>
                <w:rFonts w:cs="Arial"/>
                <w:b/>
                <w:sz w:val="20"/>
              </w:rPr>
              <w:t>ROP Revision</w:t>
            </w:r>
          </w:p>
          <w:p w:rsidR="009119C8" w:rsidRPr="001D53D9" w:rsidRDefault="009119C8" w:rsidP="0087025C">
            <w:pPr>
              <w:jc w:val="center"/>
              <w:rPr>
                <w:rFonts w:cs="Arial"/>
                <w:b/>
                <w:sz w:val="20"/>
              </w:rPr>
            </w:pPr>
            <w:r w:rsidRPr="001D53D9">
              <w:rPr>
                <w:rFonts w:cs="Arial"/>
                <w:b/>
                <w:sz w:val="20"/>
              </w:rPr>
              <w:t>Application Number</w:t>
            </w:r>
          </w:p>
        </w:tc>
        <w:tc>
          <w:tcPr>
            <w:tcW w:w="1968" w:type="pct"/>
            <w:tcBorders>
              <w:top w:val="double" w:sz="6" w:space="0" w:color="auto"/>
              <w:bottom w:val="double" w:sz="6" w:space="0" w:color="auto"/>
            </w:tcBorders>
            <w:shd w:val="clear" w:color="auto" w:fill="E0E0E0"/>
          </w:tcPr>
          <w:p w:rsidR="009119C8" w:rsidRPr="001D53D9" w:rsidRDefault="009119C8" w:rsidP="0087025C">
            <w:pPr>
              <w:jc w:val="center"/>
              <w:rPr>
                <w:rFonts w:cs="Arial"/>
                <w:b/>
                <w:sz w:val="20"/>
              </w:rPr>
            </w:pPr>
          </w:p>
          <w:p w:rsidR="009119C8" w:rsidRPr="001D53D9" w:rsidRDefault="009119C8" w:rsidP="0087025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60" w:type="pct"/>
            <w:tcBorders>
              <w:top w:val="double" w:sz="6" w:space="0" w:color="auto"/>
              <w:bottom w:val="double" w:sz="6" w:space="0" w:color="auto"/>
              <w:right w:val="double" w:sz="6" w:space="0" w:color="auto"/>
            </w:tcBorders>
            <w:shd w:val="clear" w:color="auto" w:fill="E0E0E0"/>
          </w:tcPr>
          <w:p w:rsidR="009119C8" w:rsidRPr="001D53D9" w:rsidRDefault="009119C8" w:rsidP="0087025C">
            <w:pPr>
              <w:jc w:val="center"/>
              <w:rPr>
                <w:rFonts w:cs="Arial"/>
                <w:b/>
                <w:sz w:val="20"/>
              </w:rPr>
            </w:pPr>
            <w:r w:rsidRPr="001D53D9">
              <w:rPr>
                <w:rFonts w:cs="Arial"/>
                <w:b/>
                <w:sz w:val="20"/>
              </w:rPr>
              <w:t>Corresponding Emission Unit(s) or</w:t>
            </w:r>
          </w:p>
          <w:p w:rsidR="009119C8" w:rsidRPr="001D53D9" w:rsidRDefault="009119C8" w:rsidP="0087025C">
            <w:pPr>
              <w:jc w:val="center"/>
              <w:rPr>
                <w:rFonts w:cs="Arial"/>
                <w:b/>
                <w:sz w:val="20"/>
              </w:rPr>
            </w:pPr>
            <w:r w:rsidRPr="001D53D9">
              <w:rPr>
                <w:rFonts w:cs="Arial"/>
                <w:b/>
                <w:sz w:val="20"/>
              </w:rPr>
              <w:t>Flexible Group(s)</w:t>
            </w:r>
          </w:p>
        </w:tc>
      </w:tr>
      <w:tr w:rsidR="009119C8" w:rsidRPr="001D53D9" w:rsidTr="0087025C">
        <w:tc>
          <w:tcPr>
            <w:tcW w:w="702" w:type="pct"/>
            <w:tcBorders>
              <w:top w:val="double" w:sz="6" w:space="0" w:color="auto"/>
              <w:left w:val="double" w:sz="6" w:space="0" w:color="auto"/>
              <w:bottom w:val="double" w:sz="6" w:space="0" w:color="auto"/>
            </w:tcBorders>
            <w:shd w:val="clear" w:color="auto" w:fill="auto"/>
          </w:tcPr>
          <w:p w:rsidR="009119C8" w:rsidRPr="001D53D9" w:rsidRDefault="009119C8" w:rsidP="0087025C">
            <w:pPr>
              <w:jc w:val="center"/>
              <w:rPr>
                <w:rFonts w:cs="Arial"/>
                <w:sz w:val="20"/>
              </w:rPr>
            </w:pPr>
            <w:r>
              <w:rPr>
                <w:rFonts w:cs="Arial"/>
                <w:sz w:val="20"/>
              </w:rPr>
              <w:t>NA</w:t>
            </w:r>
          </w:p>
        </w:tc>
        <w:tc>
          <w:tcPr>
            <w:tcW w:w="1269" w:type="pct"/>
            <w:tcBorders>
              <w:top w:val="double" w:sz="6" w:space="0" w:color="auto"/>
              <w:bottom w:val="double" w:sz="6" w:space="0" w:color="auto"/>
            </w:tcBorders>
            <w:shd w:val="clear" w:color="auto" w:fill="auto"/>
          </w:tcPr>
          <w:p w:rsidR="009119C8" w:rsidRPr="001D53D9" w:rsidRDefault="009119C8" w:rsidP="0087025C">
            <w:pPr>
              <w:rPr>
                <w:rFonts w:cs="Arial"/>
                <w:sz w:val="20"/>
              </w:rPr>
            </w:pPr>
          </w:p>
        </w:tc>
        <w:tc>
          <w:tcPr>
            <w:tcW w:w="1968" w:type="pct"/>
            <w:tcBorders>
              <w:top w:val="double" w:sz="6" w:space="0" w:color="auto"/>
              <w:bottom w:val="double" w:sz="6" w:space="0" w:color="auto"/>
            </w:tcBorders>
            <w:shd w:val="clear" w:color="auto" w:fill="auto"/>
          </w:tcPr>
          <w:p w:rsidR="009119C8" w:rsidRPr="001D53D9" w:rsidRDefault="009119C8" w:rsidP="0087025C">
            <w:pPr>
              <w:rPr>
                <w:rFonts w:cs="Arial"/>
                <w:sz w:val="20"/>
              </w:rPr>
            </w:pPr>
          </w:p>
        </w:tc>
        <w:tc>
          <w:tcPr>
            <w:tcW w:w="1060" w:type="pct"/>
            <w:tcBorders>
              <w:top w:val="double" w:sz="6" w:space="0" w:color="auto"/>
              <w:bottom w:val="double" w:sz="6" w:space="0" w:color="auto"/>
              <w:right w:val="double" w:sz="6" w:space="0" w:color="auto"/>
            </w:tcBorders>
            <w:shd w:val="clear" w:color="auto" w:fill="auto"/>
          </w:tcPr>
          <w:p w:rsidR="009119C8" w:rsidRPr="001D53D9" w:rsidRDefault="009119C8" w:rsidP="0087025C">
            <w:pPr>
              <w:rPr>
                <w:rFonts w:cs="Arial"/>
                <w:sz w:val="20"/>
              </w:rPr>
            </w:pPr>
          </w:p>
        </w:tc>
      </w:tr>
    </w:tbl>
    <w:p w:rsidR="00C60E84" w:rsidRPr="00440957" w:rsidRDefault="00C60E84" w:rsidP="004F09CF">
      <w:pPr>
        <w:pStyle w:val="Heading2"/>
        <w:numPr>
          <w:ilvl w:val="0"/>
          <w:numId w:val="0"/>
        </w:numPr>
        <w:jc w:val="both"/>
        <w:rPr>
          <w:sz w:val="20"/>
        </w:rPr>
      </w:pPr>
      <w:bookmarkStart w:id="106" w:name="_Toc11742158"/>
      <w:r w:rsidRPr="00461D22">
        <w:rPr>
          <w:sz w:val="22"/>
          <w:szCs w:val="22"/>
        </w:rPr>
        <w:t>Appendix 7.  Emission Calculations</w:t>
      </w:r>
      <w:bookmarkEnd w:id="106"/>
      <w:r w:rsidRPr="00461D22">
        <w:rPr>
          <w:sz w:val="22"/>
          <w:szCs w:val="22"/>
        </w:rPr>
        <w:t xml:space="preserve"> </w:t>
      </w:r>
    </w:p>
    <w:p w:rsidR="00C60E84" w:rsidRPr="0080590E" w:rsidRDefault="00C60E84" w:rsidP="004F09CF">
      <w:pPr>
        <w:jc w:val="both"/>
        <w:rPr>
          <w:sz w:val="20"/>
        </w:rPr>
      </w:pPr>
    </w:p>
    <w:p w:rsidR="009119C8" w:rsidRPr="00B77C68" w:rsidRDefault="009119C8" w:rsidP="009119C8">
      <w:pPr>
        <w:jc w:val="both"/>
        <w:rPr>
          <w:sz w:val="20"/>
        </w:rPr>
      </w:pPr>
      <w:bookmarkStart w:id="107" w:name="_Toc377276143"/>
      <w:bookmarkStart w:id="108" w:name="_Toc377877183"/>
      <w:bookmarkStart w:id="109" w:name="_Toc382035381"/>
      <w:bookmarkStart w:id="110" w:name="_Toc382726630"/>
      <w:bookmarkStart w:id="111" w:name="_Toc382726705"/>
      <w:bookmarkStart w:id="112" w:name="_Toc382726784"/>
      <w:bookmarkStart w:id="113" w:name="_Toc387818190"/>
      <w:bookmarkStart w:id="114" w:name="_Toc390499900"/>
      <w:bookmarkStart w:id="115" w:name="_Toc390500329"/>
      <w:bookmarkStart w:id="116" w:name="_Toc390504382"/>
      <w:bookmarkStart w:id="117" w:name="_Toc390570172"/>
      <w:bookmarkStart w:id="118" w:name="_Toc391182906"/>
      <w:bookmarkStart w:id="119" w:name="_Toc437238970"/>
      <w:bookmarkStart w:id="120" w:name="_Toc451333047"/>
      <w:r w:rsidRPr="00B77C68">
        <w:rPr>
          <w:sz w:val="20"/>
        </w:rPr>
        <w:t xml:space="preserve">The permittee shall use the following calculations in conjunction with monitoring, testing or recordkeeping data to determine compliance with the applicable requirements referenced in </w:t>
      </w:r>
      <w:r>
        <w:rPr>
          <w:sz w:val="20"/>
        </w:rPr>
        <w:t>FGTURBINES</w:t>
      </w:r>
      <w:r w:rsidRPr="00B77C68">
        <w:rPr>
          <w:sz w:val="20"/>
        </w:rPr>
        <w:t>.</w:t>
      </w:r>
    </w:p>
    <w:p w:rsidR="009119C8" w:rsidRPr="00B77C68" w:rsidRDefault="009119C8" w:rsidP="009119C8">
      <w:pPr>
        <w:jc w:val="both"/>
        <w:rPr>
          <w:b/>
          <w:sz w:val="20"/>
        </w:rPr>
      </w:pPr>
    </w:p>
    <w:p w:rsidR="009119C8" w:rsidRPr="00EA2DEB" w:rsidRDefault="009119C8" w:rsidP="009119C8">
      <w:pPr>
        <w:spacing w:after="120"/>
        <w:jc w:val="center"/>
        <w:rPr>
          <w:rFonts w:cs="Arial"/>
          <w:b/>
          <w:bCs/>
          <w:color w:val="000000"/>
          <w:sz w:val="20"/>
        </w:rPr>
      </w:pPr>
      <w:r w:rsidRPr="00EA2DEB">
        <w:rPr>
          <w:rFonts w:cs="Arial"/>
          <w:b/>
          <w:bCs/>
          <w:color w:val="000000"/>
          <w:sz w:val="20"/>
        </w:rPr>
        <w:t>Determination of Hourly and 12-Monthly Rolling Time Period Emissions, Based on Stack Test Data</w:t>
      </w:r>
    </w:p>
    <w:p w:rsidR="009119C8" w:rsidRPr="00EA2DEB" w:rsidRDefault="009119C8" w:rsidP="009119C8">
      <w:pPr>
        <w:spacing w:after="120"/>
        <w:jc w:val="both"/>
        <w:rPr>
          <w:rFonts w:cs="Arial"/>
          <w:color w:val="000000"/>
          <w:sz w:val="20"/>
        </w:rPr>
      </w:pPr>
      <w:r w:rsidRPr="00EA2DEB">
        <w:rPr>
          <w:rFonts w:cs="Arial"/>
          <w:color w:val="000000"/>
          <w:sz w:val="20"/>
        </w:rPr>
        <w:t>Compliance with the carbon monoxide (CO) hourly as well as the CO and NOx rolling 12-month rolling time period emission limits shall be demonstrated as follows:</w:t>
      </w:r>
    </w:p>
    <w:p w:rsidR="009119C8" w:rsidRDefault="009119C8" w:rsidP="009119C8">
      <w:pPr>
        <w:numPr>
          <w:ilvl w:val="0"/>
          <w:numId w:val="56"/>
        </w:numPr>
        <w:spacing w:after="120"/>
        <w:rPr>
          <w:rFonts w:cs="Arial"/>
          <w:color w:val="000000"/>
          <w:sz w:val="20"/>
        </w:rPr>
      </w:pPr>
      <w:r w:rsidRPr="00EA2DEB">
        <w:rPr>
          <w:rFonts w:cs="Arial"/>
          <w:color w:val="000000"/>
          <w:sz w:val="20"/>
        </w:rPr>
        <w:t>Monitoring System</w:t>
      </w:r>
    </w:p>
    <w:p w:rsidR="009119C8" w:rsidRPr="00EA2DEB" w:rsidRDefault="009119C8" w:rsidP="009119C8">
      <w:pPr>
        <w:numPr>
          <w:ilvl w:val="1"/>
          <w:numId w:val="56"/>
        </w:numPr>
        <w:spacing w:after="120"/>
        <w:jc w:val="both"/>
        <w:rPr>
          <w:rFonts w:cs="Arial"/>
          <w:color w:val="000000"/>
          <w:sz w:val="20"/>
        </w:rPr>
      </w:pPr>
      <w:r>
        <w:rPr>
          <w:rFonts w:cs="Arial"/>
          <w:color w:val="000000"/>
          <w:sz w:val="20"/>
        </w:rPr>
        <w:t>The p</w:t>
      </w:r>
      <w:r w:rsidRPr="00EA2DEB">
        <w:rPr>
          <w:rFonts w:cs="Arial"/>
          <w:color w:val="000000"/>
          <w:sz w:val="20"/>
        </w:rPr>
        <w:t>ermittee shall utilize an automated data acquisition system (ADAS) to track natural gas producer speed (NGP) as a percentage of maximum design producer speed at the Highland Compressor Station for each of the natural gas turbines (EUTURBINE1 and EUTURBINE2), and will track operating hours of the backup generator (EUSPU3).  NGP of the gas turbines will be logged on an averaging period not exceeding an hourly basis within the ADAS.  Maximum design gas producer speed (100%) of EUTURBINE1 and EUTURBINE2 will be defined as the operation of each of the two (2) gas producer turbines at a rotational speed of 10,405 revolutions per minute (RPM).</w:t>
      </w:r>
    </w:p>
    <w:p w:rsidR="009119C8" w:rsidRPr="00EA2DEB" w:rsidRDefault="009119C8" w:rsidP="009119C8">
      <w:pPr>
        <w:numPr>
          <w:ilvl w:val="0"/>
          <w:numId w:val="56"/>
        </w:numPr>
        <w:spacing w:after="120"/>
        <w:rPr>
          <w:rFonts w:cs="Arial"/>
          <w:color w:val="000000"/>
          <w:sz w:val="20"/>
        </w:rPr>
      </w:pPr>
      <w:r w:rsidRPr="00EA2DEB">
        <w:rPr>
          <w:rFonts w:cs="Arial"/>
          <w:color w:val="000000"/>
          <w:sz w:val="20"/>
        </w:rPr>
        <w:t>Method of calculation</w:t>
      </w:r>
    </w:p>
    <w:p w:rsidR="009119C8" w:rsidRPr="00EA2DEB" w:rsidRDefault="009119C8" w:rsidP="009119C8">
      <w:pPr>
        <w:numPr>
          <w:ilvl w:val="1"/>
          <w:numId w:val="56"/>
        </w:numPr>
        <w:spacing w:after="120"/>
        <w:jc w:val="both"/>
        <w:rPr>
          <w:rFonts w:cs="Arial"/>
          <w:color w:val="000000"/>
          <w:sz w:val="20"/>
        </w:rPr>
      </w:pPr>
      <w:r w:rsidRPr="00EA2DEB">
        <w:rPr>
          <w:rFonts w:cs="Arial"/>
          <w:color w:val="000000"/>
          <w:sz w:val="20"/>
        </w:rPr>
        <w:t>Hourly CO and NOx emissions associated with EUTURBINE1 and EUTURBINE2 will be calculated based on recorded NGP of each of the operating turbines and assigned emission factors based on previous or future stack test data.  Hourly CO emissions associated with EUSPU3 will be based on the recorded operating hours and an appropriate emission factor (e.g. stack test data, AP-42 emissions factor or the 3.06 pounds per hour emission limit within the ROP).</w:t>
      </w:r>
    </w:p>
    <w:p w:rsidR="009119C8" w:rsidRDefault="009119C8" w:rsidP="009119C8">
      <w:pPr>
        <w:numPr>
          <w:ilvl w:val="1"/>
          <w:numId w:val="56"/>
        </w:numPr>
        <w:spacing w:after="120"/>
        <w:jc w:val="both"/>
        <w:rPr>
          <w:rFonts w:cs="Arial"/>
          <w:color w:val="000000"/>
          <w:sz w:val="20"/>
        </w:rPr>
      </w:pPr>
      <w:r w:rsidRPr="00EA2DEB">
        <w:rPr>
          <w:rFonts w:cs="Arial"/>
          <w:color w:val="000000"/>
          <w:sz w:val="20"/>
        </w:rPr>
        <w:t>The 12-month rolling time period CO emissions associated with SOURCE-WIDE CONDITIONS will be calculated cumulatively for EUTURBINE1, EUTURBINE2, and EUSPU3.  The 12-month rolling time period sum also includes those emissions associated with startup and shutdown of the turbines, as defined in the ROP.</w:t>
      </w:r>
    </w:p>
    <w:p w:rsidR="009119C8" w:rsidRDefault="009119C8" w:rsidP="009119C8">
      <w:pPr>
        <w:spacing w:after="120"/>
        <w:jc w:val="both"/>
        <w:rPr>
          <w:rFonts w:cs="Arial"/>
          <w:color w:val="000000"/>
          <w:sz w:val="20"/>
        </w:rPr>
      </w:pPr>
    </w:p>
    <w:p w:rsidR="009119C8" w:rsidRPr="002A5F57" w:rsidRDefault="009119C8" w:rsidP="009119C8">
      <w:pPr>
        <w:numPr>
          <w:ilvl w:val="1"/>
          <w:numId w:val="56"/>
        </w:numPr>
        <w:spacing w:after="120"/>
        <w:jc w:val="both"/>
        <w:rPr>
          <w:rFonts w:cs="Arial"/>
          <w:color w:val="000000"/>
          <w:sz w:val="20"/>
        </w:rPr>
      </w:pPr>
      <w:r w:rsidRPr="002A5F57">
        <w:rPr>
          <w:rFonts w:cs="Arial"/>
          <w:color w:val="000000"/>
          <w:sz w:val="20"/>
        </w:rPr>
        <w:t xml:space="preserve">For each gas producer turbine, two modes of operation are defined by the turbine manufacturer.  These modes of operation are designated as “Solonox-ON” and “Solonox-OFF” modes.  The “Solonox-ON” mode is defined as those gas producer operating ranges, as defined by NGP in which NOx emissions are controlled by the lean burn natural gas combustion process within the combustor of the turbines and, coincidentally, CO emissions in the effluent do not exceed the 12.57 pounds per hour emission factor and NOx emissions in the effluent do not exceed 18.95 pounds per hour emission factor assigned to each turbine, as determined by the hourly NGP and previous stack testing of the gas producer turbines.  Conversely, “Solonox-OFF” mode refers to those periods of time, as determined by NGP, in which NOx emissions are not controlled by the lean burn natural gas combustion process within the combustor of the turbines and, coincidentally, CO emission in the effluent exceed the 12.57 pound per hourly emission factor, but not the 400 pounds per hour </w:t>
      </w:r>
      <w:r w:rsidRPr="002A5F57">
        <w:rPr>
          <w:rFonts w:cs="Arial"/>
          <w:color w:val="000000"/>
          <w:sz w:val="20"/>
        </w:rPr>
        <w:lastRenderedPageBreak/>
        <w:t>and the NOx emissions in the effluent do not exceed the 18.95 pounds per hour emission factor assigned to each turbine, again as determined by the hourly NGP and previous stack testing of the gas producer turbines.</w:t>
      </w:r>
    </w:p>
    <w:p w:rsidR="009119C8" w:rsidRPr="00EA2DEB" w:rsidRDefault="009119C8" w:rsidP="009119C8">
      <w:pPr>
        <w:numPr>
          <w:ilvl w:val="1"/>
          <w:numId w:val="56"/>
        </w:numPr>
        <w:spacing w:after="120"/>
        <w:jc w:val="both"/>
        <w:rPr>
          <w:rFonts w:cs="Arial"/>
          <w:color w:val="000000"/>
          <w:sz w:val="20"/>
        </w:rPr>
      </w:pPr>
      <w:r w:rsidRPr="00EA2DEB">
        <w:rPr>
          <w:rFonts w:cs="Arial"/>
          <w:color w:val="000000"/>
          <w:sz w:val="20"/>
        </w:rPr>
        <w:t xml:space="preserve">Stack testing over a range of turbine loads (as measured by NGP) has been performed by the </w:t>
      </w:r>
      <w:r>
        <w:rPr>
          <w:rFonts w:cs="Arial"/>
          <w:color w:val="000000"/>
          <w:sz w:val="20"/>
        </w:rPr>
        <w:t>p</w:t>
      </w:r>
      <w:r w:rsidRPr="00EA2DEB">
        <w:rPr>
          <w:rFonts w:cs="Arial"/>
          <w:color w:val="000000"/>
          <w:sz w:val="20"/>
        </w:rPr>
        <w:t>ermittee to differentiate between “Solonox-ON” mode and “Solonox-OFF” mode for EUTURBINE1 and EUTURBINE2.  Based on this testing EUTURBINE1 and EUTURBINE2 are assumed to be in “Solonox-ON” mode at turbine speeds of 92% or greater NGP.  At NGP of less than 92%, the turbines are assumed to be in “Solonox-OFF” mode.  In the event that additional stack testing is performed, the results of that stack testing shall be used to establish new emission factors for step 2c above, upon review and approval of the AQD District Staff.</w:t>
      </w:r>
    </w:p>
    <w:p w:rsidR="009119C8" w:rsidRPr="00EA2DEB" w:rsidRDefault="009119C8" w:rsidP="009119C8">
      <w:pPr>
        <w:numPr>
          <w:ilvl w:val="1"/>
          <w:numId w:val="56"/>
        </w:numPr>
        <w:spacing w:after="120"/>
        <w:jc w:val="both"/>
        <w:rPr>
          <w:rFonts w:cs="Arial"/>
          <w:color w:val="000000"/>
          <w:sz w:val="20"/>
        </w:rPr>
      </w:pPr>
      <w:r w:rsidRPr="00EA2DEB">
        <w:rPr>
          <w:rFonts w:cs="Arial"/>
          <w:color w:val="000000"/>
          <w:sz w:val="20"/>
        </w:rPr>
        <w:t xml:space="preserve">The </w:t>
      </w:r>
      <w:r>
        <w:rPr>
          <w:rFonts w:cs="Arial"/>
          <w:color w:val="000000"/>
          <w:sz w:val="20"/>
        </w:rPr>
        <w:t>p</w:t>
      </w:r>
      <w:r w:rsidRPr="00EA2DEB">
        <w:rPr>
          <w:rFonts w:cs="Arial"/>
          <w:color w:val="000000"/>
          <w:sz w:val="20"/>
        </w:rPr>
        <w:t xml:space="preserve">ermittee shall record total calculated emissions from the operation of FGTURBINES (EUTURBINE1 and EUTURBINE2) for each hourly time period.  The </w:t>
      </w:r>
      <w:r>
        <w:rPr>
          <w:rFonts w:cs="Arial"/>
          <w:color w:val="000000"/>
          <w:sz w:val="20"/>
        </w:rPr>
        <w:t>p</w:t>
      </w:r>
      <w:r w:rsidRPr="00EA2DEB">
        <w:rPr>
          <w:rFonts w:cs="Arial"/>
          <w:color w:val="000000"/>
          <w:sz w:val="20"/>
        </w:rPr>
        <w:t xml:space="preserve">ermittee shall record, hourly, NGP for each gas producer within the ADAS, identifying whether EUTURBINE1 and EUTURBINE2 are operating within Solonox-ON or Solonox-OFF mode for the recorded hour.  The </w:t>
      </w:r>
      <w:r>
        <w:rPr>
          <w:rFonts w:cs="Arial"/>
          <w:color w:val="000000"/>
          <w:sz w:val="20"/>
        </w:rPr>
        <w:t>p</w:t>
      </w:r>
      <w:r w:rsidRPr="00EA2DEB">
        <w:rPr>
          <w:rFonts w:cs="Arial"/>
          <w:color w:val="000000"/>
          <w:sz w:val="20"/>
        </w:rPr>
        <w:t>ermittee shall assign a CO emission rate of 12.57 pounds per hour per turbine for Solonox-ON mode (92% NGP and above), and a CO emission rate of 400 pounds per hour per turbine for Solonox-OFF mode (less than 92% NGP).  T</w:t>
      </w:r>
      <w:r>
        <w:rPr>
          <w:rFonts w:cs="Arial"/>
          <w:color w:val="000000"/>
          <w:sz w:val="20"/>
        </w:rPr>
        <w:t>he p</w:t>
      </w:r>
      <w:r w:rsidRPr="00EA2DEB">
        <w:rPr>
          <w:rFonts w:cs="Arial"/>
          <w:color w:val="000000"/>
          <w:sz w:val="20"/>
        </w:rPr>
        <w:t>ermittee shall record those times that EUSPU3 is in operation, and multiply hours of operation by an appropriate carbon monoxide emission rate (e.g. stack test data, AP-42 emission factor, or the 3.06 pounds per hour emission limit within the ROP) and NOx emission rate (e.g. stack test data, AP-42 emission factor, or the 39.4 pounds per hour emission limit within the ROP).</w:t>
      </w:r>
    </w:p>
    <w:p w:rsidR="009119C8" w:rsidRPr="00EA2DEB" w:rsidRDefault="009119C8" w:rsidP="009119C8">
      <w:pPr>
        <w:numPr>
          <w:ilvl w:val="0"/>
          <w:numId w:val="56"/>
        </w:numPr>
        <w:spacing w:after="120"/>
        <w:ind w:left="446"/>
        <w:rPr>
          <w:rFonts w:cs="Arial"/>
          <w:color w:val="000000"/>
          <w:sz w:val="20"/>
        </w:rPr>
      </w:pPr>
      <w:r w:rsidRPr="00EA2DEB">
        <w:rPr>
          <w:rFonts w:cs="Arial"/>
          <w:color w:val="000000"/>
          <w:sz w:val="20"/>
        </w:rPr>
        <w:t>Schedule</w:t>
      </w:r>
    </w:p>
    <w:p w:rsidR="009119C8" w:rsidRPr="00EA2DEB" w:rsidRDefault="009119C8" w:rsidP="009119C8">
      <w:pPr>
        <w:spacing w:after="240"/>
        <w:ind w:left="720" w:hanging="360"/>
        <w:jc w:val="both"/>
        <w:rPr>
          <w:rFonts w:cs="Arial"/>
          <w:color w:val="000000"/>
          <w:sz w:val="20"/>
        </w:rPr>
      </w:pPr>
      <w:r w:rsidRPr="00EA2DEB">
        <w:rPr>
          <w:rFonts w:cs="Arial"/>
          <w:color w:val="000000"/>
          <w:sz w:val="20"/>
        </w:rPr>
        <w:t>a.</w:t>
      </w:r>
      <w:r w:rsidRPr="00EA2DEB">
        <w:rPr>
          <w:rFonts w:cs="Arial"/>
          <w:color w:val="000000"/>
          <w:sz w:val="20"/>
        </w:rPr>
        <w:tab/>
        <w:t xml:space="preserve">The </w:t>
      </w:r>
      <w:r>
        <w:rPr>
          <w:rFonts w:cs="Arial"/>
          <w:color w:val="000000"/>
          <w:sz w:val="20"/>
        </w:rPr>
        <w:t>p</w:t>
      </w:r>
      <w:r w:rsidRPr="00EA2DEB">
        <w:rPr>
          <w:rFonts w:cs="Arial"/>
          <w:color w:val="000000"/>
          <w:sz w:val="20"/>
        </w:rPr>
        <w:t>ermittee shall maintain a 12-month rolling time period sum of CO emissions for SOURCE-WIDE CONDITIONS calculated at the end of each calendar month.  The 12-month rolling time period CO emissions for SOURCE-WIDE CONDITIONS will be calculated by the 15</w:t>
      </w:r>
      <w:r w:rsidRPr="00EA3013">
        <w:rPr>
          <w:rFonts w:cs="Arial"/>
          <w:color w:val="000000"/>
          <w:sz w:val="20"/>
        </w:rPr>
        <w:t>th</w:t>
      </w:r>
      <w:r w:rsidRPr="00EA2DEB">
        <w:rPr>
          <w:rFonts w:cs="Arial"/>
          <w:color w:val="000000"/>
          <w:sz w:val="20"/>
        </w:rPr>
        <w:t xml:space="preserve"> day of each month for the p</w:t>
      </w:r>
      <w:r>
        <w:rPr>
          <w:rFonts w:cs="Arial"/>
          <w:color w:val="000000"/>
          <w:sz w:val="20"/>
        </w:rPr>
        <w:t>r</w:t>
      </w:r>
      <w:r w:rsidRPr="00EA2DEB">
        <w:rPr>
          <w:rFonts w:cs="Arial"/>
          <w:color w:val="000000"/>
          <w:sz w:val="20"/>
        </w:rPr>
        <w:t>evious 12-month period ending with the previous month.</w:t>
      </w:r>
    </w:p>
    <w:p w:rsidR="00C60E84" w:rsidRPr="00461D22" w:rsidRDefault="00C60E84" w:rsidP="004F09CF">
      <w:pPr>
        <w:pStyle w:val="Heading2"/>
        <w:numPr>
          <w:ilvl w:val="0"/>
          <w:numId w:val="0"/>
        </w:numPr>
        <w:jc w:val="both"/>
        <w:rPr>
          <w:sz w:val="22"/>
          <w:szCs w:val="22"/>
        </w:rPr>
      </w:pPr>
      <w:bookmarkStart w:id="121" w:name="_Toc11742159"/>
      <w:r w:rsidRPr="00461D22">
        <w:rPr>
          <w:sz w:val="22"/>
          <w:szCs w:val="22"/>
        </w:rPr>
        <w:t>Appendix 8.  Reporting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80590E" w:rsidRDefault="00C60E84" w:rsidP="004F09CF">
      <w:pPr>
        <w:jc w:val="both"/>
        <w:rPr>
          <w:sz w:val="20"/>
        </w:rPr>
      </w:pPr>
    </w:p>
    <w:p w:rsidR="00875BF8" w:rsidRPr="00B77C68" w:rsidRDefault="00875BF8" w:rsidP="00875BF8">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rsidR="00C60E84" w:rsidRPr="0080590E"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C60E84" w:rsidRPr="0080590E"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4"/>
      <w:bookmarkEnd w:id="95"/>
      <w:bookmarkEnd w:id="96"/>
      <w:bookmarkEnd w:id="97"/>
      <w:bookmarkEnd w:id="98"/>
      <w:bookmarkEnd w:id="99"/>
      <w:bookmarkEnd w:id="100"/>
      <w:bookmarkEnd w:id="101"/>
    </w:p>
    <w:p w:rsidR="005207F9" w:rsidRDefault="005207F9" w:rsidP="004F09CF">
      <w:pPr>
        <w:jc w:val="both"/>
        <w:rPr>
          <w:sz w:val="20"/>
        </w:rPr>
      </w:pPr>
    </w:p>
    <w:p w:rsidR="005207F9" w:rsidRDefault="005207F9" w:rsidP="004F09CF">
      <w:pPr>
        <w:jc w:val="both"/>
        <w:rPr>
          <w:sz w:val="20"/>
        </w:rPr>
      </w:pPr>
    </w:p>
    <w:sectPr w:rsidR="005207F9" w:rsidSect="00723C92">
      <w:headerReference w:type="default" r:id="rId8"/>
      <w:footerReference w:type="even" r:id="rId9"/>
      <w:footerReference w:type="default" r:id="rId10"/>
      <w:head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DB0" w:rsidRDefault="00D67DB0">
      <w:r>
        <w:separator/>
      </w:r>
    </w:p>
  </w:endnote>
  <w:endnote w:type="continuationSeparator" w:id="0">
    <w:p w:rsidR="00D67DB0" w:rsidRDefault="00D6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B0" w:rsidRDefault="00D67DB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DB0" w:rsidRDefault="00D67DB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B0" w:rsidRPr="001F649E" w:rsidRDefault="00D67DB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DB0" w:rsidRDefault="00D67DB0">
      <w:r>
        <w:separator/>
      </w:r>
    </w:p>
  </w:footnote>
  <w:footnote w:type="continuationSeparator" w:id="0">
    <w:p w:rsidR="00D67DB0" w:rsidRDefault="00D6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B0" w:rsidRPr="002339A7" w:rsidRDefault="00D67DB0" w:rsidP="006460B9">
    <w:pPr>
      <w:pStyle w:val="Header"/>
      <w:tabs>
        <w:tab w:val="clear" w:pos="8640"/>
        <w:tab w:val="left" w:pos="7200"/>
      </w:tabs>
      <w:rPr>
        <w:rFonts w:cs="Arial"/>
        <w:sz w:val="20"/>
      </w:rPr>
    </w:pPr>
    <w:r>
      <w:rPr>
        <w:b/>
        <w:color w:val="FF0000"/>
        <w:sz w:val="28"/>
      </w:rPr>
      <w:tab/>
      <w:t xml:space="preserve">                    </w:t>
    </w:r>
    <w:r>
      <w:rPr>
        <w:b/>
        <w:sz w:val="28"/>
      </w:rPr>
      <w:tab/>
    </w:r>
    <w:r w:rsidRPr="002339A7">
      <w:rPr>
        <w:rFonts w:cs="Arial"/>
        <w:sz w:val="20"/>
      </w:rPr>
      <w:t>ROP No:  MI-ROP-</w:t>
    </w:r>
    <w:bookmarkStart w:id="122" w:name="bSRN4"/>
    <w:bookmarkEnd w:id="122"/>
    <w:r>
      <w:rPr>
        <w:rFonts w:cs="Arial"/>
        <w:sz w:val="20"/>
      </w:rPr>
      <w:t>N6838-</w:t>
    </w:r>
    <w:bookmarkStart w:id="123" w:name="bIssueYear3"/>
    <w:bookmarkEnd w:id="123"/>
    <w:r>
      <w:rPr>
        <w:rFonts w:cs="Arial"/>
        <w:sz w:val="20"/>
      </w:rPr>
      <w:t>20</w:t>
    </w:r>
    <w:r w:rsidR="00B52808">
      <w:rPr>
        <w:rFonts w:cs="Arial"/>
        <w:sz w:val="20"/>
      </w:rPr>
      <w:t>19</w:t>
    </w:r>
  </w:p>
  <w:p w:rsidR="00D67DB0" w:rsidRPr="005C1928" w:rsidRDefault="00D67DB0" w:rsidP="006460B9">
    <w:pPr>
      <w:pStyle w:val="Header"/>
      <w:tabs>
        <w:tab w:val="clear" w:pos="4320"/>
        <w:tab w:val="clear" w:pos="8640"/>
        <w:tab w:val="left" w:pos="7200"/>
      </w:tabs>
      <w:rPr>
        <w:rFonts w:cs="Arial"/>
        <w:sz w:val="20"/>
      </w:rPr>
    </w:pPr>
    <w:r w:rsidRPr="002339A7">
      <w:rPr>
        <w:rFonts w:cs="Arial"/>
        <w:sz w:val="20"/>
      </w:rPr>
      <w:tab/>
      <w:t>Ex</w:t>
    </w:r>
    <w:r w:rsidRPr="005C1928">
      <w:rPr>
        <w:rFonts w:cs="Arial"/>
        <w:sz w:val="20"/>
      </w:rPr>
      <w:t xml:space="preserve">piration Date:  </w:t>
    </w:r>
    <w:bookmarkStart w:id="124" w:name="bExpireDate2"/>
    <w:bookmarkEnd w:id="124"/>
    <w:r w:rsidR="00B52808">
      <w:rPr>
        <w:rFonts w:cs="Arial"/>
        <w:sz w:val="20"/>
      </w:rPr>
      <w:t>June 18, 2024</w:t>
    </w:r>
  </w:p>
  <w:p w:rsidR="00D67DB0" w:rsidRDefault="00D67DB0" w:rsidP="006460B9">
    <w:pPr>
      <w:pStyle w:val="Header"/>
      <w:tabs>
        <w:tab w:val="left" w:pos="7200"/>
      </w:tabs>
      <w:rPr>
        <w:sz w:val="20"/>
      </w:rPr>
    </w:pPr>
    <w:r w:rsidRPr="005C1928">
      <w:rPr>
        <w:sz w:val="20"/>
      </w:rPr>
      <w:tab/>
    </w:r>
    <w:r w:rsidRPr="005C1928">
      <w:rPr>
        <w:sz w:val="20"/>
      </w:rPr>
      <w:tab/>
      <w:t>PTI</w:t>
    </w:r>
    <w:r>
      <w:rPr>
        <w:sz w:val="20"/>
      </w:rPr>
      <w:t xml:space="preserve"> No:  MI-PTI-</w:t>
    </w:r>
    <w:bookmarkStart w:id="125" w:name="bSRN5"/>
    <w:bookmarkEnd w:id="125"/>
    <w:r>
      <w:rPr>
        <w:sz w:val="20"/>
      </w:rPr>
      <w:t>N6838-</w:t>
    </w:r>
    <w:bookmarkStart w:id="126" w:name="bIssueYear4"/>
    <w:bookmarkEnd w:id="126"/>
    <w:r>
      <w:rPr>
        <w:sz w:val="20"/>
      </w:rPr>
      <w:t>20</w:t>
    </w:r>
    <w:r w:rsidR="00B52808">
      <w:rPr>
        <w:sz w:val="20"/>
      </w:rPr>
      <w:t>19</w:t>
    </w:r>
  </w:p>
  <w:p w:rsidR="00D67DB0" w:rsidRDefault="00D67DB0" w:rsidP="006460B9">
    <w:pPr>
      <w:pStyle w:val="Header"/>
      <w:tabs>
        <w:tab w:val="left" w:pos="720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B0" w:rsidRPr="00883E9A" w:rsidRDefault="00D67DB0" w:rsidP="00723C92">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180"/>
        </w:tabs>
        <w:ind w:left="18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FFE338E"/>
    <w:multiLevelType w:val="hybridMultilevel"/>
    <w:tmpl w:val="F6B2AC24"/>
    <w:lvl w:ilvl="0" w:tplc="4D2E6A9A">
      <w:start w:val="1"/>
      <w:numFmt w:val="decimal"/>
      <w:lvlText w:val="%1."/>
      <w:lvlJc w:val="left"/>
      <w:pPr>
        <w:tabs>
          <w:tab w:val="num" w:pos="360"/>
        </w:tabs>
        <w:ind w:left="360" w:hanging="360"/>
      </w:pPr>
      <w:rPr>
        <w:rFonts w:cs="Times New Roman" w:hint="default"/>
        <w:b w:val="0"/>
        <w:bCs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7D68A6"/>
    <w:multiLevelType w:val="hybridMultilevel"/>
    <w:tmpl w:val="2DBC0D24"/>
    <w:lvl w:ilvl="0" w:tplc="C032C2F0">
      <w:start w:val="1"/>
      <w:numFmt w:val="decimal"/>
      <w:lvlText w:val="%1."/>
      <w:lvlJc w:val="left"/>
      <w:pPr>
        <w:ind w:left="360" w:hanging="360"/>
      </w:pPr>
      <w:rPr>
        <w:rFonts w:hint="default"/>
      </w:rPr>
    </w:lvl>
    <w:lvl w:ilvl="1" w:tplc="B6B034A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F63A29"/>
    <w:multiLevelType w:val="hybridMultilevel"/>
    <w:tmpl w:val="E836F234"/>
    <w:lvl w:ilvl="0" w:tplc="5B5068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D66E8"/>
    <w:multiLevelType w:val="multilevel"/>
    <w:tmpl w:val="0B3A2DC4"/>
    <w:lvl w:ilvl="0">
      <w:start w:val="1"/>
      <w:numFmt w:val="decimal"/>
      <w:lvlRestart w:val="0"/>
      <w:isLg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E702BC1"/>
    <w:multiLevelType w:val="hybridMultilevel"/>
    <w:tmpl w:val="43D00F90"/>
    <w:lvl w:ilvl="0" w:tplc="4F9C7E42">
      <w:start w:val="1"/>
      <w:numFmt w:val="lowerLetter"/>
      <w:lvlText w:val="%1."/>
      <w:lvlJc w:val="left"/>
      <w:pPr>
        <w:ind w:left="7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0A6136"/>
    <w:multiLevelType w:val="hybridMultilevel"/>
    <w:tmpl w:val="CCBA705C"/>
    <w:lvl w:ilvl="0" w:tplc="51583786">
      <w:start w:val="1"/>
      <w:numFmt w:val="lowerLetter"/>
      <w:lvlText w:val="%1."/>
      <w:lvlJc w:val="left"/>
      <w:pPr>
        <w:ind w:left="720" w:hanging="360"/>
      </w:pPr>
      <w:rPr>
        <w:rFonts w:hint="default"/>
        <w:b w:val="0"/>
      </w:rPr>
    </w:lvl>
    <w:lvl w:ilvl="1" w:tplc="08421626">
      <w:start w:val="1"/>
      <w:numFmt w:val="lowerLetter"/>
      <w:lvlText w:val="%2."/>
      <w:lvlJc w:val="left"/>
      <w:pPr>
        <w:ind w:left="720" w:hanging="360"/>
      </w:pPr>
      <w:rPr>
        <w:rFonts w:hint="default"/>
        <w:b w:val="0"/>
      </w:rPr>
    </w:lvl>
    <w:lvl w:ilvl="2" w:tplc="4ABC96A6">
      <w:start w:val="1"/>
      <w:numFmt w:val="lowerRoman"/>
      <w:lvlText w:val="%3."/>
      <w:lvlJc w:val="right"/>
      <w:pPr>
        <w:ind w:left="108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13869"/>
    <w:multiLevelType w:val="hybridMultilevel"/>
    <w:tmpl w:val="53345806"/>
    <w:lvl w:ilvl="0" w:tplc="5D3C1DB2">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DC2B48"/>
    <w:multiLevelType w:val="hybridMultilevel"/>
    <w:tmpl w:val="5AB41DE0"/>
    <w:lvl w:ilvl="0" w:tplc="5F1E8400">
      <w:start w:val="1"/>
      <w:numFmt w:val="lowerLetter"/>
      <w:lvlText w:val="%1."/>
      <w:lvlJc w:val="left"/>
      <w:pPr>
        <w:ind w:left="7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5803315"/>
    <w:multiLevelType w:val="hybridMultilevel"/>
    <w:tmpl w:val="AFF845CE"/>
    <w:lvl w:ilvl="0" w:tplc="BA9C8FE2">
      <w:start w:val="8"/>
      <w:numFmt w:val="decimal"/>
      <w:lvlText w:val="%1."/>
      <w:lvlJc w:val="left"/>
      <w:pPr>
        <w:tabs>
          <w:tab w:val="num" w:pos="540"/>
        </w:tabs>
        <w:ind w:left="54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3462A"/>
    <w:multiLevelType w:val="hybridMultilevel"/>
    <w:tmpl w:val="8D9AB3DA"/>
    <w:lvl w:ilvl="0" w:tplc="262017E2">
      <w:start w:val="1"/>
      <w:numFmt w:val="low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8AF43CA"/>
    <w:multiLevelType w:val="hybridMultilevel"/>
    <w:tmpl w:val="54BE73DE"/>
    <w:lvl w:ilvl="0" w:tplc="0409000F">
      <w:start w:val="1"/>
      <w:numFmt w:val="decimal"/>
      <w:lvlText w:val="%1."/>
      <w:lvlJc w:val="left"/>
      <w:pPr>
        <w:tabs>
          <w:tab w:val="num" w:pos="360"/>
        </w:tabs>
        <w:ind w:left="360" w:hanging="360"/>
      </w:pPr>
      <w:rPr>
        <w:rFonts w:cs="Times New Roman"/>
      </w:rPr>
    </w:lvl>
    <w:lvl w:ilvl="1" w:tplc="E3E8CEFC">
      <w:start w:val="1"/>
      <w:numFmt w:val="lowerLetter"/>
      <w:lvlText w:val="%2."/>
      <w:lvlJc w:val="left"/>
      <w:pPr>
        <w:tabs>
          <w:tab w:val="num" w:pos="720"/>
        </w:tabs>
        <w:ind w:left="720" w:hanging="360"/>
      </w:pPr>
      <w:rPr>
        <w:rFonts w:cs="Times New Roman" w:hint="default"/>
        <w:b w:val="0"/>
        <w:bCs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59D638A"/>
    <w:multiLevelType w:val="hybridMultilevel"/>
    <w:tmpl w:val="77D81AE8"/>
    <w:lvl w:ilvl="0" w:tplc="58B6C068">
      <w:start w:val="1"/>
      <w:numFmt w:val="decimal"/>
      <w:lvlText w:val="%1."/>
      <w:lvlJc w:val="left"/>
      <w:pPr>
        <w:tabs>
          <w:tab w:val="num" w:pos="540"/>
        </w:tabs>
        <w:ind w:left="540" w:hanging="360"/>
      </w:pPr>
      <w:rPr>
        <w:rFonts w:ascii="Arial" w:hAnsi="Arial" w:cs="Arial" w:hint="default"/>
        <w:b w:val="0"/>
        <w:i w:val="0"/>
        <w:sz w:val="20"/>
        <w:szCs w:val="2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BF41BCD"/>
    <w:multiLevelType w:val="hybridMultilevel"/>
    <w:tmpl w:val="469C42BC"/>
    <w:lvl w:ilvl="0" w:tplc="D09CA9F2">
      <w:start w:val="1"/>
      <w:numFmt w:val="decimal"/>
      <w:lvlText w:val="%1."/>
      <w:lvlJc w:val="left"/>
      <w:pPr>
        <w:ind w:left="360" w:hanging="360"/>
      </w:pPr>
      <w:rPr>
        <w:rFonts w:ascii="Arial" w:hAnsi="Arial" w:cs="Arial"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046075"/>
    <w:multiLevelType w:val="hybridMultilevel"/>
    <w:tmpl w:val="AD68FC8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191C64"/>
    <w:multiLevelType w:val="hybridMultilevel"/>
    <w:tmpl w:val="1A2C5FB0"/>
    <w:lvl w:ilvl="0" w:tplc="511E3A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3977CA"/>
    <w:multiLevelType w:val="hybridMultilevel"/>
    <w:tmpl w:val="CFDCA87A"/>
    <w:lvl w:ilvl="0" w:tplc="04090019">
      <w:start w:val="1"/>
      <w:numFmt w:val="lowerLetter"/>
      <w:lvlText w:val="%1."/>
      <w:lvlJc w:val="left"/>
      <w:pPr>
        <w:tabs>
          <w:tab w:val="num" w:pos="720"/>
        </w:tabs>
        <w:ind w:left="720" w:hanging="360"/>
      </w:pPr>
      <w:rPr>
        <w:rFonts w:hint="default"/>
        <w:b w:val="0"/>
        <w:i w:val="0"/>
        <w:sz w:val="20"/>
        <w:szCs w:val="20"/>
      </w:rPr>
    </w:lvl>
    <w:lvl w:ilvl="1" w:tplc="04090017">
      <w:start w:val="1"/>
      <w:numFmt w:val="lowerLetter"/>
      <w:lvlText w:val="%2)"/>
      <w:lvlJc w:val="left"/>
      <w:pPr>
        <w:tabs>
          <w:tab w:val="num" w:pos="1620"/>
        </w:tabs>
        <w:ind w:left="1620" w:hanging="360"/>
      </w:pPr>
      <w:rPr>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BB5600A"/>
    <w:multiLevelType w:val="hybridMultilevel"/>
    <w:tmpl w:val="469C42BC"/>
    <w:lvl w:ilvl="0" w:tplc="D09CA9F2">
      <w:start w:val="1"/>
      <w:numFmt w:val="decimal"/>
      <w:lvlText w:val="%1."/>
      <w:lvlJc w:val="left"/>
      <w:pPr>
        <w:ind w:left="720" w:hanging="360"/>
      </w:pPr>
      <w:rPr>
        <w:rFonts w:ascii="Arial" w:hAnsi="Arial" w:cs="Aria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B1363C"/>
    <w:multiLevelType w:val="multilevel"/>
    <w:tmpl w:val="F6B2AC24"/>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6"/>
  </w:num>
  <w:num w:numId="3">
    <w:abstractNumId w:val="10"/>
  </w:num>
  <w:num w:numId="4">
    <w:abstractNumId w:val="38"/>
  </w:num>
  <w:num w:numId="5">
    <w:abstractNumId w:val="2"/>
  </w:num>
  <w:num w:numId="6">
    <w:abstractNumId w:val="58"/>
  </w:num>
  <w:num w:numId="7">
    <w:abstractNumId w:val="34"/>
  </w:num>
  <w:num w:numId="8">
    <w:abstractNumId w:val="48"/>
  </w:num>
  <w:num w:numId="9">
    <w:abstractNumId w:val="9"/>
  </w:num>
  <w:num w:numId="10">
    <w:abstractNumId w:val="23"/>
  </w:num>
  <w:num w:numId="11">
    <w:abstractNumId w:val="39"/>
  </w:num>
  <w:num w:numId="12">
    <w:abstractNumId w:val="54"/>
  </w:num>
  <w:num w:numId="13">
    <w:abstractNumId w:val="47"/>
  </w:num>
  <w:num w:numId="14">
    <w:abstractNumId w:val="6"/>
  </w:num>
  <w:num w:numId="15">
    <w:abstractNumId w:val="57"/>
  </w:num>
  <w:num w:numId="16">
    <w:abstractNumId w:val="52"/>
  </w:num>
  <w:num w:numId="17">
    <w:abstractNumId w:val="15"/>
  </w:num>
  <w:num w:numId="18">
    <w:abstractNumId w:val="46"/>
  </w:num>
  <w:num w:numId="19">
    <w:abstractNumId w:val="43"/>
  </w:num>
  <w:num w:numId="20">
    <w:abstractNumId w:val="8"/>
  </w:num>
  <w:num w:numId="21">
    <w:abstractNumId w:val="22"/>
  </w:num>
  <w:num w:numId="22">
    <w:abstractNumId w:val="25"/>
  </w:num>
  <w:num w:numId="23">
    <w:abstractNumId w:val="0"/>
  </w:num>
  <w:num w:numId="24">
    <w:abstractNumId w:val="37"/>
  </w:num>
  <w:num w:numId="25">
    <w:abstractNumId w:val="31"/>
  </w:num>
  <w:num w:numId="26">
    <w:abstractNumId w:val="35"/>
  </w:num>
  <w:num w:numId="27">
    <w:abstractNumId w:val="49"/>
  </w:num>
  <w:num w:numId="28">
    <w:abstractNumId w:val="42"/>
  </w:num>
  <w:num w:numId="29">
    <w:abstractNumId w:val="30"/>
  </w:num>
  <w:num w:numId="30">
    <w:abstractNumId w:val="12"/>
  </w:num>
  <w:num w:numId="31">
    <w:abstractNumId w:val="55"/>
  </w:num>
  <w:num w:numId="32">
    <w:abstractNumId w:val="40"/>
  </w:num>
  <w:num w:numId="33">
    <w:abstractNumId w:val="44"/>
  </w:num>
  <w:num w:numId="34">
    <w:abstractNumId w:val="27"/>
  </w:num>
  <w:num w:numId="35">
    <w:abstractNumId w:val="36"/>
  </w:num>
  <w:num w:numId="36">
    <w:abstractNumId w:val="1"/>
  </w:num>
  <w:num w:numId="37">
    <w:abstractNumId w:val="29"/>
  </w:num>
  <w:num w:numId="38">
    <w:abstractNumId w:val="28"/>
  </w:num>
  <w:num w:numId="39">
    <w:abstractNumId w:val="11"/>
  </w:num>
  <w:num w:numId="40">
    <w:abstractNumId w:val="53"/>
  </w:num>
  <w:num w:numId="41">
    <w:abstractNumId w:val="26"/>
  </w:num>
  <w:num w:numId="42">
    <w:abstractNumId w:val="14"/>
  </w:num>
  <w:num w:numId="43">
    <w:abstractNumId w:val="7"/>
  </w:num>
  <w:num w:numId="44">
    <w:abstractNumId w:val="20"/>
  </w:num>
  <w:num w:numId="45">
    <w:abstractNumId w:val="18"/>
  </w:num>
  <w:num w:numId="46">
    <w:abstractNumId w:val="5"/>
  </w:num>
  <w:num w:numId="47">
    <w:abstractNumId w:val="50"/>
  </w:num>
  <w:num w:numId="48">
    <w:abstractNumId w:val="32"/>
  </w:num>
  <w:num w:numId="49">
    <w:abstractNumId w:val="41"/>
  </w:num>
  <w:num w:numId="50">
    <w:abstractNumId w:val="16"/>
  </w:num>
  <w:num w:numId="51">
    <w:abstractNumId w:val="19"/>
  </w:num>
  <w:num w:numId="52">
    <w:abstractNumId w:val="45"/>
  </w:num>
  <w:num w:numId="53">
    <w:abstractNumId w:val="24"/>
  </w:num>
  <w:num w:numId="54">
    <w:abstractNumId w:val="17"/>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51"/>
  </w:num>
  <w:num w:numId="58">
    <w:abstractNumId w:val="4"/>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t241uTd0iuH8vQxCbHWekEbpnfhnKxSRjuJ6R0ObhMHwZmijGiFJPyT/5gNxk3pO640LzikaA/NIZPLB9vFXA==" w:salt="Pnn82cz+OqlIym+NB1j+3Q=="/>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BB"/>
    <w:rsid w:val="000000B9"/>
    <w:rsid w:val="000067DD"/>
    <w:rsid w:val="00006871"/>
    <w:rsid w:val="000069B5"/>
    <w:rsid w:val="00006A4E"/>
    <w:rsid w:val="00006F92"/>
    <w:rsid w:val="000075CC"/>
    <w:rsid w:val="00010EC9"/>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1785"/>
    <w:rsid w:val="00041F8E"/>
    <w:rsid w:val="0004217B"/>
    <w:rsid w:val="00044CCA"/>
    <w:rsid w:val="000507AD"/>
    <w:rsid w:val="000509C6"/>
    <w:rsid w:val="00054544"/>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168"/>
    <w:rsid w:val="00073D09"/>
    <w:rsid w:val="00073F6D"/>
    <w:rsid w:val="00074308"/>
    <w:rsid w:val="00075EF4"/>
    <w:rsid w:val="000806C3"/>
    <w:rsid w:val="00081762"/>
    <w:rsid w:val="000822B4"/>
    <w:rsid w:val="00083866"/>
    <w:rsid w:val="0008483F"/>
    <w:rsid w:val="000862E3"/>
    <w:rsid w:val="00086D5F"/>
    <w:rsid w:val="000902EF"/>
    <w:rsid w:val="00090A25"/>
    <w:rsid w:val="00091093"/>
    <w:rsid w:val="00091A8B"/>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25BB"/>
    <w:rsid w:val="000F3188"/>
    <w:rsid w:val="000F32FF"/>
    <w:rsid w:val="000F479C"/>
    <w:rsid w:val="000F4B60"/>
    <w:rsid w:val="000F67EE"/>
    <w:rsid w:val="00100672"/>
    <w:rsid w:val="0010097A"/>
    <w:rsid w:val="00101186"/>
    <w:rsid w:val="00103446"/>
    <w:rsid w:val="0010367F"/>
    <w:rsid w:val="001041B1"/>
    <w:rsid w:val="00104849"/>
    <w:rsid w:val="00105176"/>
    <w:rsid w:val="001055B3"/>
    <w:rsid w:val="00107D12"/>
    <w:rsid w:val="00112782"/>
    <w:rsid w:val="00112B81"/>
    <w:rsid w:val="00112CA0"/>
    <w:rsid w:val="00114B52"/>
    <w:rsid w:val="00114C6F"/>
    <w:rsid w:val="001152DA"/>
    <w:rsid w:val="00116158"/>
    <w:rsid w:val="00117BC4"/>
    <w:rsid w:val="00117BC6"/>
    <w:rsid w:val="0012240D"/>
    <w:rsid w:val="0012743F"/>
    <w:rsid w:val="00127459"/>
    <w:rsid w:val="0013346B"/>
    <w:rsid w:val="00133F34"/>
    <w:rsid w:val="001375CA"/>
    <w:rsid w:val="00146542"/>
    <w:rsid w:val="00146AA5"/>
    <w:rsid w:val="00151027"/>
    <w:rsid w:val="001515E9"/>
    <w:rsid w:val="00152BC7"/>
    <w:rsid w:val="00152C77"/>
    <w:rsid w:val="00153FA5"/>
    <w:rsid w:val="00156668"/>
    <w:rsid w:val="001570B9"/>
    <w:rsid w:val="00160359"/>
    <w:rsid w:val="00161453"/>
    <w:rsid w:val="00161CF0"/>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7653C"/>
    <w:rsid w:val="001769F5"/>
    <w:rsid w:val="00177D27"/>
    <w:rsid w:val="00180C7F"/>
    <w:rsid w:val="0018372C"/>
    <w:rsid w:val="001838ED"/>
    <w:rsid w:val="00186EBC"/>
    <w:rsid w:val="001873A7"/>
    <w:rsid w:val="001877F3"/>
    <w:rsid w:val="00190ABB"/>
    <w:rsid w:val="0019184D"/>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700"/>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415"/>
    <w:rsid w:val="0022171F"/>
    <w:rsid w:val="00224F76"/>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3CF8"/>
    <w:rsid w:val="002667B0"/>
    <w:rsid w:val="00267C45"/>
    <w:rsid w:val="00270B7C"/>
    <w:rsid w:val="00272560"/>
    <w:rsid w:val="002745AE"/>
    <w:rsid w:val="0027572B"/>
    <w:rsid w:val="00276651"/>
    <w:rsid w:val="00277397"/>
    <w:rsid w:val="002779A5"/>
    <w:rsid w:val="002806DC"/>
    <w:rsid w:val="00281C2A"/>
    <w:rsid w:val="0028234D"/>
    <w:rsid w:val="00285F21"/>
    <w:rsid w:val="00287954"/>
    <w:rsid w:val="00287FE1"/>
    <w:rsid w:val="002916F7"/>
    <w:rsid w:val="002917CF"/>
    <w:rsid w:val="00296C57"/>
    <w:rsid w:val="002974B8"/>
    <w:rsid w:val="00297DB0"/>
    <w:rsid w:val="002A4D24"/>
    <w:rsid w:val="002A4E09"/>
    <w:rsid w:val="002B2132"/>
    <w:rsid w:val="002B29E9"/>
    <w:rsid w:val="002B5A0D"/>
    <w:rsid w:val="002B5ED5"/>
    <w:rsid w:val="002B5F18"/>
    <w:rsid w:val="002B790A"/>
    <w:rsid w:val="002C152E"/>
    <w:rsid w:val="002C529B"/>
    <w:rsid w:val="002C7CC5"/>
    <w:rsid w:val="002D6F00"/>
    <w:rsid w:val="002D6FB7"/>
    <w:rsid w:val="002D710E"/>
    <w:rsid w:val="002E013C"/>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0FC"/>
    <w:rsid w:val="003113BF"/>
    <w:rsid w:val="0031381A"/>
    <w:rsid w:val="003163DA"/>
    <w:rsid w:val="0031787E"/>
    <w:rsid w:val="0032188A"/>
    <w:rsid w:val="00322F56"/>
    <w:rsid w:val="00323EF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4755C"/>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429B"/>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7181"/>
    <w:rsid w:val="003B3AB8"/>
    <w:rsid w:val="003B4A42"/>
    <w:rsid w:val="003B6B36"/>
    <w:rsid w:val="003C19DE"/>
    <w:rsid w:val="003C2679"/>
    <w:rsid w:val="003C4678"/>
    <w:rsid w:val="003C67A3"/>
    <w:rsid w:val="003C6E52"/>
    <w:rsid w:val="003C71D8"/>
    <w:rsid w:val="003D1052"/>
    <w:rsid w:val="003D1761"/>
    <w:rsid w:val="003D35F5"/>
    <w:rsid w:val="003D3E97"/>
    <w:rsid w:val="003D4984"/>
    <w:rsid w:val="003D6E3F"/>
    <w:rsid w:val="003D753E"/>
    <w:rsid w:val="003D763C"/>
    <w:rsid w:val="003E2836"/>
    <w:rsid w:val="003F1500"/>
    <w:rsid w:val="003F4905"/>
    <w:rsid w:val="003F5BE8"/>
    <w:rsid w:val="00402F46"/>
    <w:rsid w:val="004032B7"/>
    <w:rsid w:val="004037A2"/>
    <w:rsid w:val="004046F4"/>
    <w:rsid w:val="00405462"/>
    <w:rsid w:val="00405CB3"/>
    <w:rsid w:val="00407EFE"/>
    <w:rsid w:val="0041064E"/>
    <w:rsid w:val="004132A7"/>
    <w:rsid w:val="00415A04"/>
    <w:rsid w:val="00415C8A"/>
    <w:rsid w:val="00416304"/>
    <w:rsid w:val="004172F3"/>
    <w:rsid w:val="00420094"/>
    <w:rsid w:val="004249DD"/>
    <w:rsid w:val="00425031"/>
    <w:rsid w:val="004255EC"/>
    <w:rsid w:val="00427891"/>
    <w:rsid w:val="00430A3C"/>
    <w:rsid w:val="00431A42"/>
    <w:rsid w:val="00431EA0"/>
    <w:rsid w:val="0043250B"/>
    <w:rsid w:val="00434344"/>
    <w:rsid w:val="00435A6A"/>
    <w:rsid w:val="0043663A"/>
    <w:rsid w:val="004377EE"/>
    <w:rsid w:val="00440957"/>
    <w:rsid w:val="00442B4A"/>
    <w:rsid w:val="00442BF0"/>
    <w:rsid w:val="00445AAB"/>
    <w:rsid w:val="00445C28"/>
    <w:rsid w:val="004465A7"/>
    <w:rsid w:val="00447D64"/>
    <w:rsid w:val="00447DF3"/>
    <w:rsid w:val="00450590"/>
    <w:rsid w:val="004507AD"/>
    <w:rsid w:val="00452FCA"/>
    <w:rsid w:val="004544ED"/>
    <w:rsid w:val="004568E6"/>
    <w:rsid w:val="00456F47"/>
    <w:rsid w:val="004614AC"/>
    <w:rsid w:val="00461D22"/>
    <w:rsid w:val="00461E40"/>
    <w:rsid w:val="00462A82"/>
    <w:rsid w:val="004649EF"/>
    <w:rsid w:val="004651D3"/>
    <w:rsid w:val="00466618"/>
    <w:rsid w:val="00471DF6"/>
    <w:rsid w:val="0047287E"/>
    <w:rsid w:val="00474174"/>
    <w:rsid w:val="004747E9"/>
    <w:rsid w:val="00477689"/>
    <w:rsid w:val="004825B1"/>
    <w:rsid w:val="00486140"/>
    <w:rsid w:val="004875CB"/>
    <w:rsid w:val="00487C6C"/>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57A4"/>
    <w:rsid w:val="004B6755"/>
    <w:rsid w:val="004C1BC6"/>
    <w:rsid w:val="004C1D64"/>
    <w:rsid w:val="004C3288"/>
    <w:rsid w:val="004C69F6"/>
    <w:rsid w:val="004C6AB6"/>
    <w:rsid w:val="004C6C0D"/>
    <w:rsid w:val="004C7900"/>
    <w:rsid w:val="004D2084"/>
    <w:rsid w:val="004D269A"/>
    <w:rsid w:val="004D3CF4"/>
    <w:rsid w:val="004D5E2D"/>
    <w:rsid w:val="004D609A"/>
    <w:rsid w:val="004D7997"/>
    <w:rsid w:val="004D7E0E"/>
    <w:rsid w:val="004E101B"/>
    <w:rsid w:val="004E2DF9"/>
    <w:rsid w:val="004E384B"/>
    <w:rsid w:val="004F09CF"/>
    <w:rsid w:val="004F0E04"/>
    <w:rsid w:val="004F111B"/>
    <w:rsid w:val="004F17CF"/>
    <w:rsid w:val="004F1860"/>
    <w:rsid w:val="004F3ED7"/>
    <w:rsid w:val="004F47B3"/>
    <w:rsid w:val="004F5DF2"/>
    <w:rsid w:val="004F6B23"/>
    <w:rsid w:val="004F77DB"/>
    <w:rsid w:val="004F7846"/>
    <w:rsid w:val="0050200E"/>
    <w:rsid w:val="005032BF"/>
    <w:rsid w:val="005035AE"/>
    <w:rsid w:val="00504297"/>
    <w:rsid w:val="00505F7D"/>
    <w:rsid w:val="0050707C"/>
    <w:rsid w:val="005114C5"/>
    <w:rsid w:val="00512CC7"/>
    <w:rsid w:val="0051355E"/>
    <w:rsid w:val="00514F56"/>
    <w:rsid w:val="005161BF"/>
    <w:rsid w:val="00516B00"/>
    <w:rsid w:val="0051713D"/>
    <w:rsid w:val="00517771"/>
    <w:rsid w:val="00517D38"/>
    <w:rsid w:val="00517F80"/>
    <w:rsid w:val="005207F9"/>
    <w:rsid w:val="0052082F"/>
    <w:rsid w:val="00521FFB"/>
    <w:rsid w:val="00523749"/>
    <w:rsid w:val="00523B02"/>
    <w:rsid w:val="005242A5"/>
    <w:rsid w:val="0052583B"/>
    <w:rsid w:val="00526155"/>
    <w:rsid w:val="00527BC8"/>
    <w:rsid w:val="00531329"/>
    <w:rsid w:val="00532DE7"/>
    <w:rsid w:val="00533B7E"/>
    <w:rsid w:val="00533E26"/>
    <w:rsid w:val="00533F17"/>
    <w:rsid w:val="0053492B"/>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7783"/>
    <w:rsid w:val="00580207"/>
    <w:rsid w:val="00583532"/>
    <w:rsid w:val="00583593"/>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4E7"/>
    <w:rsid w:val="005D2B82"/>
    <w:rsid w:val="005D2DAB"/>
    <w:rsid w:val="005D41CA"/>
    <w:rsid w:val="005D48FB"/>
    <w:rsid w:val="005D5FBE"/>
    <w:rsid w:val="005E0EE9"/>
    <w:rsid w:val="005E2E5E"/>
    <w:rsid w:val="005E3E6D"/>
    <w:rsid w:val="005E40D0"/>
    <w:rsid w:val="005E5399"/>
    <w:rsid w:val="005E53AB"/>
    <w:rsid w:val="005E6377"/>
    <w:rsid w:val="005E71AE"/>
    <w:rsid w:val="005F071A"/>
    <w:rsid w:val="005F1071"/>
    <w:rsid w:val="005F2CC2"/>
    <w:rsid w:val="005F3060"/>
    <w:rsid w:val="005F70F5"/>
    <w:rsid w:val="00600524"/>
    <w:rsid w:val="006065E2"/>
    <w:rsid w:val="00606A98"/>
    <w:rsid w:val="0060772E"/>
    <w:rsid w:val="00611D4F"/>
    <w:rsid w:val="0061269E"/>
    <w:rsid w:val="006148BA"/>
    <w:rsid w:val="00614F3E"/>
    <w:rsid w:val="00616027"/>
    <w:rsid w:val="006173A1"/>
    <w:rsid w:val="00620183"/>
    <w:rsid w:val="0062119B"/>
    <w:rsid w:val="006216D3"/>
    <w:rsid w:val="0062282D"/>
    <w:rsid w:val="006231CC"/>
    <w:rsid w:val="006239A2"/>
    <w:rsid w:val="00624B73"/>
    <w:rsid w:val="00624C4A"/>
    <w:rsid w:val="006277BF"/>
    <w:rsid w:val="0063015F"/>
    <w:rsid w:val="0063184B"/>
    <w:rsid w:val="006320E4"/>
    <w:rsid w:val="00632741"/>
    <w:rsid w:val="00633CFE"/>
    <w:rsid w:val="0063453B"/>
    <w:rsid w:val="0063764A"/>
    <w:rsid w:val="006377A6"/>
    <w:rsid w:val="006409E6"/>
    <w:rsid w:val="0064210C"/>
    <w:rsid w:val="0064283E"/>
    <w:rsid w:val="00642C98"/>
    <w:rsid w:val="00644DF8"/>
    <w:rsid w:val="006460B9"/>
    <w:rsid w:val="00646B80"/>
    <w:rsid w:val="00646EB0"/>
    <w:rsid w:val="00650A8F"/>
    <w:rsid w:val="00651081"/>
    <w:rsid w:val="0065116B"/>
    <w:rsid w:val="00652842"/>
    <w:rsid w:val="00655DC0"/>
    <w:rsid w:val="00656AC0"/>
    <w:rsid w:val="006615E2"/>
    <w:rsid w:val="006624A0"/>
    <w:rsid w:val="00662C20"/>
    <w:rsid w:val="00665255"/>
    <w:rsid w:val="00665417"/>
    <w:rsid w:val="00665478"/>
    <w:rsid w:val="0066595D"/>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226"/>
    <w:rsid w:val="00694D52"/>
    <w:rsid w:val="00695513"/>
    <w:rsid w:val="0069684E"/>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7253"/>
    <w:rsid w:val="006D2A71"/>
    <w:rsid w:val="006D2EFC"/>
    <w:rsid w:val="006D36C8"/>
    <w:rsid w:val="006D3CE2"/>
    <w:rsid w:val="006D4ED5"/>
    <w:rsid w:val="006D6436"/>
    <w:rsid w:val="006D7B66"/>
    <w:rsid w:val="006E30A7"/>
    <w:rsid w:val="006E346F"/>
    <w:rsid w:val="006E3639"/>
    <w:rsid w:val="006E3F82"/>
    <w:rsid w:val="006E53B4"/>
    <w:rsid w:val="006E7C38"/>
    <w:rsid w:val="006E7E8E"/>
    <w:rsid w:val="006F0E96"/>
    <w:rsid w:val="006F1CF6"/>
    <w:rsid w:val="006F2C46"/>
    <w:rsid w:val="006F37A6"/>
    <w:rsid w:val="006F4A84"/>
    <w:rsid w:val="006F555B"/>
    <w:rsid w:val="006F5D35"/>
    <w:rsid w:val="007014BE"/>
    <w:rsid w:val="007017D5"/>
    <w:rsid w:val="00704653"/>
    <w:rsid w:val="00705C70"/>
    <w:rsid w:val="00707254"/>
    <w:rsid w:val="0071499D"/>
    <w:rsid w:val="007149DE"/>
    <w:rsid w:val="0071719E"/>
    <w:rsid w:val="007235AE"/>
    <w:rsid w:val="00723774"/>
    <w:rsid w:val="00723C92"/>
    <w:rsid w:val="00730A50"/>
    <w:rsid w:val="00734D35"/>
    <w:rsid w:val="007366EB"/>
    <w:rsid w:val="00736BDB"/>
    <w:rsid w:val="00736D46"/>
    <w:rsid w:val="00737183"/>
    <w:rsid w:val="0073763E"/>
    <w:rsid w:val="0074069A"/>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1FDF"/>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1E40"/>
    <w:rsid w:val="007B50A9"/>
    <w:rsid w:val="007B7BB2"/>
    <w:rsid w:val="007C452F"/>
    <w:rsid w:val="007C57A5"/>
    <w:rsid w:val="007C7621"/>
    <w:rsid w:val="007C7A90"/>
    <w:rsid w:val="007D1729"/>
    <w:rsid w:val="007D2CC5"/>
    <w:rsid w:val="007D348A"/>
    <w:rsid w:val="007D3703"/>
    <w:rsid w:val="007D6731"/>
    <w:rsid w:val="007E091E"/>
    <w:rsid w:val="007E0EE4"/>
    <w:rsid w:val="007E32BB"/>
    <w:rsid w:val="007E4030"/>
    <w:rsid w:val="007E490C"/>
    <w:rsid w:val="007F320C"/>
    <w:rsid w:val="007F3965"/>
    <w:rsid w:val="007F7347"/>
    <w:rsid w:val="00800D49"/>
    <w:rsid w:val="00800F24"/>
    <w:rsid w:val="008055D8"/>
    <w:rsid w:val="0080590E"/>
    <w:rsid w:val="00806D12"/>
    <w:rsid w:val="0080749F"/>
    <w:rsid w:val="00807634"/>
    <w:rsid w:val="00811377"/>
    <w:rsid w:val="0081172F"/>
    <w:rsid w:val="00811B42"/>
    <w:rsid w:val="008122F0"/>
    <w:rsid w:val="00812B4C"/>
    <w:rsid w:val="00813271"/>
    <w:rsid w:val="00814CE0"/>
    <w:rsid w:val="0081525C"/>
    <w:rsid w:val="0081585F"/>
    <w:rsid w:val="00815A33"/>
    <w:rsid w:val="00815B74"/>
    <w:rsid w:val="008168DB"/>
    <w:rsid w:val="00822D05"/>
    <w:rsid w:val="0082405D"/>
    <w:rsid w:val="00825172"/>
    <w:rsid w:val="00826594"/>
    <w:rsid w:val="008268C5"/>
    <w:rsid w:val="00826D08"/>
    <w:rsid w:val="00826D17"/>
    <w:rsid w:val="00826DFA"/>
    <w:rsid w:val="008275DC"/>
    <w:rsid w:val="00830D12"/>
    <w:rsid w:val="00831D57"/>
    <w:rsid w:val="00832FB6"/>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025C"/>
    <w:rsid w:val="00871287"/>
    <w:rsid w:val="00875BF8"/>
    <w:rsid w:val="00875F04"/>
    <w:rsid w:val="00876F3F"/>
    <w:rsid w:val="008772A6"/>
    <w:rsid w:val="00882335"/>
    <w:rsid w:val="008829E3"/>
    <w:rsid w:val="00882BAF"/>
    <w:rsid w:val="00882BE2"/>
    <w:rsid w:val="008834C5"/>
    <w:rsid w:val="00883E9A"/>
    <w:rsid w:val="00885E17"/>
    <w:rsid w:val="00887AAA"/>
    <w:rsid w:val="00893522"/>
    <w:rsid w:val="00893890"/>
    <w:rsid w:val="00893BE8"/>
    <w:rsid w:val="008950B9"/>
    <w:rsid w:val="00896557"/>
    <w:rsid w:val="008968B6"/>
    <w:rsid w:val="0089691E"/>
    <w:rsid w:val="008969FD"/>
    <w:rsid w:val="00897669"/>
    <w:rsid w:val="008978A0"/>
    <w:rsid w:val="00897D42"/>
    <w:rsid w:val="008A6361"/>
    <w:rsid w:val="008B34DD"/>
    <w:rsid w:val="008B472F"/>
    <w:rsid w:val="008B4F6A"/>
    <w:rsid w:val="008C1140"/>
    <w:rsid w:val="008C114E"/>
    <w:rsid w:val="008C47FD"/>
    <w:rsid w:val="008C57D2"/>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3257"/>
    <w:rsid w:val="00903829"/>
    <w:rsid w:val="00906093"/>
    <w:rsid w:val="009069B9"/>
    <w:rsid w:val="00906ACF"/>
    <w:rsid w:val="00906EB9"/>
    <w:rsid w:val="0090714F"/>
    <w:rsid w:val="00911146"/>
    <w:rsid w:val="009119C8"/>
    <w:rsid w:val="00914F6A"/>
    <w:rsid w:val="00916323"/>
    <w:rsid w:val="009172B1"/>
    <w:rsid w:val="009174E7"/>
    <w:rsid w:val="00920EDB"/>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A2F"/>
    <w:rsid w:val="009628BB"/>
    <w:rsid w:val="0096474C"/>
    <w:rsid w:val="009668B9"/>
    <w:rsid w:val="00967CFC"/>
    <w:rsid w:val="00972C29"/>
    <w:rsid w:val="00974763"/>
    <w:rsid w:val="0097673C"/>
    <w:rsid w:val="00977DC9"/>
    <w:rsid w:val="00977FBE"/>
    <w:rsid w:val="00982A04"/>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13B"/>
    <w:rsid w:val="009B2FEE"/>
    <w:rsid w:val="009B70A7"/>
    <w:rsid w:val="009B716E"/>
    <w:rsid w:val="009C023E"/>
    <w:rsid w:val="009D2AF0"/>
    <w:rsid w:val="009D2D4F"/>
    <w:rsid w:val="009D30E2"/>
    <w:rsid w:val="009D429E"/>
    <w:rsid w:val="009D4360"/>
    <w:rsid w:val="009D52E8"/>
    <w:rsid w:val="009D68B3"/>
    <w:rsid w:val="009D6C93"/>
    <w:rsid w:val="009E0535"/>
    <w:rsid w:val="009E166A"/>
    <w:rsid w:val="009E1CCA"/>
    <w:rsid w:val="009E201C"/>
    <w:rsid w:val="009E4068"/>
    <w:rsid w:val="009E4465"/>
    <w:rsid w:val="009E5B64"/>
    <w:rsid w:val="009F147E"/>
    <w:rsid w:val="009F43AB"/>
    <w:rsid w:val="009F5282"/>
    <w:rsid w:val="00A00686"/>
    <w:rsid w:val="00A0106D"/>
    <w:rsid w:val="00A018D7"/>
    <w:rsid w:val="00A038CE"/>
    <w:rsid w:val="00A0408D"/>
    <w:rsid w:val="00A05D0D"/>
    <w:rsid w:val="00A07516"/>
    <w:rsid w:val="00A07DF9"/>
    <w:rsid w:val="00A1123E"/>
    <w:rsid w:val="00A1146D"/>
    <w:rsid w:val="00A13378"/>
    <w:rsid w:val="00A13EF6"/>
    <w:rsid w:val="00A1415D"/>
    <w:rsid w:val="00A15295"/>
    <w:rsid w:val="00A15BD1"/>
    <w:rsid w:val="00A1768D"/>
    <w:rsid w:val="00A2087B"/>
    <w:rsid w:val="00A21F70"/>
    <w:rsid w:val="00A21FA1"/>
    <w:rsid w:val="00A23F19"/>
    <w:rsid w:val="00A23F64"/>
    <w:rsid w:val="00A24EF1"/>
    <w:rsid w:val="00A315DE"/>
    <w:rsid w:val="00A33090"/>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1376"/>
    <w:rsid w:val="00A822CA"/>
    <w:rsid w:val="00A83783"/>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FFB"/>
    <w:rsid w:val="00AB2375"/>
    <w:rsid w:val="00AB38C9"/>
    <w:rsid w:val="00AB7179"/>
    <w:rsid w:val="00AB71EF"/>
    <w:rsid w:val="00AB77AC"/>
    <w:rsid w:val="00AC0C80"/>
    <w:rsid w:val="00AC29BE"/>
    <w:rsid w:val="00AC3DCD"/>
    <w:rsid w:val="00AC5663"/>
    <w:rsid w:val="00AC614D"/>
    <w:rsid w:val="00AC6A86"/>
    <w:rsid w:val="00AD1D92"/>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6E32"/>
    <w:rsid w:val="00AF7422"/>
    <w:rsid w:val="00AF76DC"/>
    <w:rsid w:val="00AF7E93"/>
    <w:rsid w:val="00B02228"/>
    <w:rsid w:val="00B02785"/>
    <w:rsid w:val="00B03066"/>
    <w:rsid w:val="00B0558A"/>
    <w:rsid w:val="00B06B9F"/>
    <w:rsid w:val="00B07828"/>
    <w:rsid w:val="00B1062A"/>
    <w:rsid w:val="00B10CBB"/>
    <w:rsid w:val="00B1275A"/>
    <w:rsid w:val="00B12E93"/>
    <w:rsid w:val="00B1370F"/>
    <w:rsid w:val="00B15940"/>
    <w:rsid w:val="00B168EF"/>
    <w:rsid w:val="00B169D9"/>
    <w:rsid w:val="00B21423"/>
    <w:rsid w:val="00B22EFC"/>
    <w:rsid w:val="00B25C52"/>
    <w:rsid w:val="00B304AB"/>
    <w:rsid w:val="00B33DF5"/>
    <w:rsid w:val="00B3423C"/>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808"/>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06D1"/>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3D0C"/>
    <w:rsid w:val="00BB49FE"/>
    <w:rsid w:val="00BB6058"/>
    <w:rsid w:val="00BB7C9E"/>
    <w:rsid w:val="00BC107D"/>
    <w:rsid w:val="00BC48B8"/>
    <w:rsid w:val="00BC48DF"/>
    <w:rsid w:val="00BD04A1"/>
    <w:rsid w:val="00BD6AF5"/>
    <w:rsid w:val="00BD6C4A"/>
    <w:rsid w:val="00BD6F22"/>
    <w:rsid w:val="00BE0766"/>
    <w:rsid w:val="00BE42B9"/>
    <w:rsid w:val="00BE535F"/>
    <w:rsid w:val="00BE705A"/>
    <w:rsid w:val="00BF3332"/>
    <w:rsid w:val="00BF49FB"/>
    <w:rsid w:val="00BF63B0"/>
    <w:rsid w:val="00BF7CB0"/>
    <w:rsid w:val="00BF7F72"/>
    <w:rsid w:val="00C011AB"/>
    <w:rsid w:val="00C04067"/>
    <w:rsid w:val="00C05C56"/>
    <w:rsid w:val="00C063C0"/>
    <w:rsid w:val="00C06ED7"/>
    <w:rsid w:val="00C1113C"/>
    <w:rsid w:val="00C12A10"/>
    <w:rsid w:val="00C16668"/>
    <w:rsid w:val="00C17B92"/>
    <w:rsid w:val="00C2134D"/>
    <w:rsid w:val="00C21D15"/>
    <w:rsid w:val="00C22B41"/>
    <w:rsid w:val="00C23F10"/>
    <w:rsid w:val="00C2460C"/>
    <w:rsid w:val="00C24A37"/>
    <w:rsid w:val="00C250A9"/>
    <w:rsid w:val="00C26134"/>
    <w:rsid w:val="00C2618F"/>
    <w:rsid w:val="00C31A89"/>
    <w:rsid w:val="00C35218"/>
    <w:rsid w:val="00C3524E"/>
    <w:rsid w:val="00C3571F"/>
    <w:rsid w:val="00C36162"/>
    <w:rsid w:val="00C363B3"/>
    <w:rsid w:val="00C37067"/>
    <w:rsid w:val="00C401DE"/>
    <w:rsid w:val="00C416C1"/>
    <w:rsid w:val="00C423D8"/>
    <w:rsid w:val="00C43223"/>
    <w:rsid w:val="00C44C61"/>
    <w:rsid w:val="00C44E0D"/>
    <w:rsid w:val="00C45198"/>
    <w:rsid w:val="00C4691B"/>
    <w:rsid w:val="00C46952"/>
    <w:rsid w:val="00C5097E"/>
    <w:rsid w:val="00C50CB7"/>
    <w:rsid w:val="00C510FB"/>
    <w:rsid w:val="00C52A08"/>
    <w:rsid w:val="00C53769"/>
    <w:rsid w:val="00C54DC5"/>
    <w:rsid w:val="00C571B3"/>
    <w:rsid w:val="00C60E84"/>
    <w:rsid w:val="00C6273C"/>
    <w:rsid w:val="00C62C62"/>
    <w:rsid w:val="00C6419A"/>
    <w:rsid w:val="00C663B0"/>
    <w:rsid w:val="00C66F89"/>
    <w:rsid w:val="00C67826"/>
    <w:rsid w:val="00C711F7"/>
    <w:rsid w:val="00C7163E"/>
    <w:rsid w:val="00C73FB0"/>
    <w:rsid w:val="00C74DAA"/>
    <w:rsid w:val="00C74DEC"/>
    <w:rsid w:val="00C75F47"/>
    <w:rsid w:val="00C76003"/>
    <w:rsid w:val="00C7684F"/>
    <w:rsid w:val="00C7692A"/>
    <w:rsid w:val="00C77296"/>
    <w:rsid w:val="00C8160D"/>
    <w:rsid w:val="00C826FE"/>
    <w:rsid w:val="00C82718"/>
    <w:rsid w:val="00C8324B"/>
    <w:rsid w:val="00C83483"/>
    <w:rsid w:val="00C90601"/>
    <w:rsid w:val="00C951DB"/>
    <w:rsid w:val="00C95816"/>
    <w:rsid w:val="00C96CDF"/>
    <w:rsid w:val="00CA2D3E"/>
    <w:rsid w:val="00CA6307"/>
    <w:rsid w:val="00CA665E"/>
    <w:rsid w:val="00CB0105"/>
    <w:rsid w:val="00CB06AA"/>
    <w:rsid w:val="00CB34AD"/>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A57"/>
    <w:rsid w:val="00CE5C49"/>
    <w:rsid w:val="00CF1A5E"/>
    <w:rsid w:val="00CF395A"/>
    <w:rsid w:val="00CF3C14"/>
    <w:rsid w:val="00CF4002"/>
    <w:rsid w:val="00CF443E"/>
    <w:rsid w:val="00CF6A73"/>
    <w:rsid w:val="00CF6FF0"/>
    <w:rsid w:val="00CF7A04"/>
    <w:rsid w:val="00D00B1A"/>
    <w:rsid w:val="00D0206D"/>
    <w:rsid w:val="00D04991"/>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67DB0"/>
    <w:rsid w:val="00D702C7"/>
    <w:rsid w:val="00D72D77"/>
    <w:rsid w:val="00D74BBE"/>
    <w:rsid w:val="00D765AA"/>
    <w:rsid w:val="00D80937"/>
    <w:rsid w:val="00D82604"/>
    <w:rsid w:val="00D8429D"/>
    <w:rsid w:val="00D8564A"/>
    <w:rsid w:val="00D86B5E"/>
    <w:rsid w:val="00D90B13"/>
    <w:rsid w:val="00D91B0D"/>
    <w:rsid w:val="00D92592"/>
    <w:rsid w:val="00D935B1"/>
    <w:rsid w:val="00D93691"/>
    <w:rsid w:val="00D93901"/>
    <w:rsid w:val="00D93AAD"/>
    <w:rsid w:val="00D96F22"/>
    <w:rsid w:val="00D97218"/>
    <w:rsid w:val="00D97437"/>
    <w:rsid w:val="00DA20DA"/>
    <w:rsid w:val="00DA6C16"/>
    <w:rsid w:val="00DB1513"/>
    <w:rsid w:val="00DB2A79"/>
    <w:rsid w:val="00DB31AA"/>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24B6"/>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386C"/>
    <w:rsid w:val="00E342EC"/>
    <w:rsid w:val="00E4393D"/>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116"/>
    <w:rsid w:val="00E96293"/>
    <w:rsid w:val="00E96657"/>
    <w:rsid w:val="00E9713D"/>
    <w:rsid w:val="00EA119B"/>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C6"/>
    <w:rsid w:val="00ED551C"/>
    <w:rsid w:val="00ED5563"/>
    <w:rsid w:val="00ED5DFA"/>
    <w:rsid w:val="00ED74CC"/>
    <w:rsid w:val="00ED7FCD"/>
    <w:rsid w:val="00EE02F9"/>
    <w:rsid w:val="00EE0A91"/>
    <w:rsid w:val="00EE2020"/>
    <w:rsid w:val="00EE2588"/>
    <w:rsid w:val="00EE57C0"/>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DF8"/>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36D68"/>
    <w:rsid w:val="00F428FA"/>
    <w:rsid w:val="00F4313D"/>
    <w:rsid w:val="00F466CC"/>
    <w:rsid w:val="00F47C7D"/>
    <w:rsid w:val="00F47D50"/>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16CC"/>
    <w:rsid w:val="00FB4DB7"/>
    <w:rsid w:val="00FB52DF"/>
    <w:rsid w:val="00FB53C0"/>
    <w:rsid w:val="00FB59FD"/>
    <w:rsid w:val="00FB6540"/>
    <w:rsid w:val="00FB6B54"/>
    <w:rsid w:val="00FB7DFA"/>
    <w:rsid w:val="00FC2052"/>
    <w:rsid w:val="00FC3D76"/>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2289"/>
    <o:shapelayout v:ext="edit">
      <o:idmap v:ext="edit" data="1"/>
    </o:shapelayout>
  </w:shapeDefaults>
  <w:decimalSymbol w:val="."/>
  <w:listSeparator w:val=","/>
  <w15:chartTrackingRefBased/>
  <w15:docId w15:val="{BFEBD012-2F9D-4EA4-ADAB-ABB23A6F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296C57"/>
    <w:pPr>
      <w:tabs>
        <w:tab w:val="right" w:leader="dot" w:pos="10214"/>
      </w:tabs>
      <w:jc w:val="both"/>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uiPriority w:val="99"/>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224F76"/>
    <w:pPr>
      <w:spacing w:before="100" w:beforeAutospacing="1" w:after="100" w:afterAutospacing="1"/>
      <w:ind w:firstLine="480"/>
    </w:pPr>
    <w:rPr>
      <w:rFonts w:ascii="Times New Roman" w:hAnsi="Times New Roman"/>
      <w:sz w:val="24"/>
      <w:szCs w:val="24"/>
    </w:rPr>
  </w:style>
  <w:style w:type="character" w:customStyle="1" w:styleId="CommentTextChar">
    <w:name w:val="Comment Text Char"/>
    <w:link w:val="CommentText"/>
    <w:semiHidden/>
    <w:rsid w:val="007D2C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48770948">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45-33F1-4D83-8EC6-9B48E8AB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115</TotalTime>
  <Pages>30</Pages>
  <Words>11280</Words>
  <Characters>63456</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74587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Forth, Joe (DEQ)</dc:creator>
  <cp:keywords>AQD-AIR-ROP-TITLE V, Template Shell</cp:keywords>
  <dc:description/>
  <cp:lastModifiedBy>Ciavattone, Deborah (EGLE)</cp:lastModifiedBy>
  <cp:revision>15</cp:revision>
  <cp:lastPrinted>2019-03-07T20:49:00Z</cp:lastPrinted>
  <dcterms:created xsi:type="dcterms:W3CDTF">2019-03-04T13:55:00Z</dcterms:created>
  <dcterms:modified xsi:type="dcterms:W3CDTF">2019-06-18T14:23:00Z</dcterms:modified>
  <cp:category>Permits</cp:category>
</cp:coreProperties>
</file>