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36" w:type="dxa"/>
        <w:tblLayout w:type="fixed"/>
        <w:tblCellMar>
          <w:left w:w="0" w:type="dxa"/>
          <w:right w:w="0" w:type="dxa"/>
        </w:tblCellMar>
        <w:tblLook w:val="01E0" w:firstRow="1" w:lastRow="1" w:firstColumn="1" w:lastColumn="1" w:noHBand="0" w:noVBand="0"/>
      </w:tblPr>
      <w:tblGrid>
        <w:gridCol w:w="2684"/>
        <w:gridCol w:w="5454"/>
        <w:gridCol w:w="2588"/>
      </w:tblGrid>
      <w:tr w:rsidR="002B4FFB" w14:paraId="163E871E" w14:textId="77777777">
        <w:trPr>
          <w:trHeight w:val="456"/>
        </w:trPr>
        <w:tc>
          <w:tcPr>
            <w:tcW w:w="10726" w:type="dxa"/>
            <w:gridSpan w:val="3"/>
          </w:tcPr>
          <w:p w14:paraId="13874B31" w14:textId="77777777" w:rsidR="002B4FFB" w:rsidRDefault="001F7021">
            <w:pPr>
              <w:pStyle w:val="TableParagraph"/>
              <w:spacing w:line="223" w:lineRule="exact"/>
              <w:ind w:left="2731" w:right="2218"/>
              <w:jc w:val="center"/>
              <w:rPr>
                <w:sz w:val="20"/>
              </w:rPr>
            </w:pPr>
            <w:r>
              <w:rPr>
                <w:sz w:val="20"/>
              </w:rPr>
              <w:t>Michigan Department of Environmental Great Lakes, and Energy</w:t>
            </w:r>
          </w:p>
          <w:p w14:paraId="485C4136" w14:textId="77777777" w:rsidR="002B4FFB" w:rsidRDefault="001F7021">
            <w:pPr>
              <w:pStyle w:val="TableParagraph"/>
              <w:spacing w:line="213" w:lineRule="exact"/>
              <w:ind w:left="2200" w:right="2218"/>
              <w:jc w:val="center"/>
              <w:rPr>
                <w:sz w:val="20"/>
              </w:rPr>
            </w:pPr>
            <w:r>
              <w:rPr>
                <w:sz w:val="20"/>
              </w:rPr>
              <w:t>Air Quality Division</w:t>
            </w:r>
          </w:p>
        </w:tc>
      </w:tr>
      <w:tr w:rsidR="002B4FFB" w14:paraId="6C481CED" w14:textId="77777777">
        <w:trPr>
          <w:trHeight w:val="322"/>
        </w:trPr>
        <w:tc>
          <w:tcPr>
            <w:tcW w:w="2684" w:type="dxa"/>
          </w:tcPr>
          <w:p w14:paraId="77D23CD9" w14:textId="77777777" w:rsidR="002B4FFB" w:rsidRDefault="001F7021">
            <w:pPr>
              <w:pStyle w:val="TableParagraph"/>
              <w:spacing w:line="183" w:lineRule="exact"/>
              <w:ind w:left="181" w:right="443"/>
              <w:jc w:val="center"/>
              <w:rPr>
                <w:b/>
                <w:sz w:val="16"/>
              </w:rPr>
            </w:pPr>
            <w:r>
              <w:rPr>
                <w:b/>
                <w:sz w:val="16"/>
              </w:rPr>
              <w:t>State Registration Number</w:t>
            </w:r>
          </w:p>
        </w:tc>
        <w:tc>
          <w:tcPr>
            <w:tcW w:w="5454" w:type="dxa"/>
          </w:tcPr>
          <w:p w14:paraId="57753E73" w14:textId="77777777" w:rsidR="002B4FFB" w:rsidRDefault="001F7021">
            <w:pPr>
              <w:pStyle w:val="TableParagraph"/>
              <w:spacing w:line="302" w:lineRule="exact"/>
              <w:ind w:left="463"/>
              <w:rPr>
                <w:b/>
                <w:sz w:val="28"/>
              </w:rPr>
            </w:pPr>
            <w:r>
              <w:rPr>
                <w:b/>
                <w:sz w:val="28"/>
              </w:rPr>
              <w:t>RENEWABLE OPERATING PERMIT</w:t>
            </w:r>
          </w:p>
        </w:tc>
        <w:tc>
          <w:tcPr>
            <w:tcW w:w="2588" w:type="dxa"/>
          </w:tcPr>
          <w:p w14:paraId="47E9B817" w14:textId="77777777" w:rsidR="002B4FFB" w:rsidRDefault="001F7021">
            <w:pPr>
              <w:pStyle w:val="TableParagraph"/>
              <w:spacing w:line="183" w:lineRule="exact"/>
              <w:ind w:left="284" w:right="182"/>
              <w:jc w:val="center"/>
              <w:rPr>
                <w:b/>
                <w:sz w:val="16"/>
              </w:rPr>
            </w:pPr>
            <w:r>
              <w:rPr>
                <w:b/>
                <w:sz w:val="16"/>
              </w:rPr>
              <w:t>ROP Number</w:t>
            </w:r>
          </w:p>
        </w:tc>
      </w:tr>
      <w:tr w:rsidR="002B4FFB" w14:paraId="485EC89E" w14:textId="77777777">
        <w:trPr>
          <w:trHeight w:val="318"/>
        </w:trPr>
        <w:tc>
          <w:tcPr>
            <w:tcW w:w="2684" w:type="dxa"/>
          </w:tcPr>
          <w:p w14:paraId="258A9062" w14:textId="77777777" w:rsidR="002B4FFB" w:rsidRDefault="001F7021">
            <w:pPr>
              <w:pStyle w:val="TableParagraph"/>
              <w:spacing w:line="250" w:lineRule="exact"/>
              <w:ind w:left="181" w:right="442"/>
              <w:jc w:val="center"/>
            </w:pPr>
            <w:bookmarkStart w:id="0" w:name="_bookmark0"/>
            <w:bookmarkEnd w:id="0"/>
            <w:r>
              <w:t>N1966</w:t>
            </w:r>
          </w:p>
        </w:tc>
        <w:tc>
          <w:tcPr>
            <w:tcW w:w="5454" w:type="dxa"/>
          </w:tcPr>
          <w:p w14:paraId="4FD1C2D0" w14:textId="77777777" w:rsidR="002B4FFB" w:rsidRDefault="001F7021">
            <w:pPr>
              <w:pStyle w:val="TableParagraph"/>
              <w:spacing w:line="298" w:lineRule="exact"/>
              <w:ind w:left="1823"/>
              <w:rPr>
                <w:b/>
                <w:sz w:val="28"/>
              </w:rPr>
            </w:pPr>
            <w:r>
              <w:rPr>
                <w:b/>
                <w:sz w:val="28"/>
              </w:rPr>
              <w:t>STAFF REPORT</w:t>
            </w:r>
          </w:p>
        </w:tc>
        <w:tc>
          <w:tcPr>
            <w:tcW w:w="2588" w:type="dxa"/>
          </w:tcPr>
          <w:p w14:paraId="3D2B7CC8" w14:textId="77777777" w:rsidR="002B4FFB" w:rsidRDefault="001F7021">
            <w:pPr>
              <w:pStyle w:val="TableParagraph"/>
              <w:spacing w:line="250" w:lineRule="exact"/>
              <w:ind w:left="286" w:right="182"/>
              <w:jc w:val="center"/>
            </w:pPr>
            <w:r>
              <w:t>MI-ROP-N1966-2020</w:t>
            </w:r>
          </w:p>
        </w:tc>
      </w:tr>
    </w:tbl>
    <w:p w14:paraId="77432592" w14:textId="77777777" w:rsidR="002B4FFB" w:rsidRDefault="002B4FFB">
      <w:pPr>
        <w:pStyle w:val="BodyText"/>
        <w:rPr>
          <w:rFonts w:ascii="Times New Roman"/>
          <w:sz w:val="28"/>
        </w:rPr>
      </w:pPr>
    </w:p>
    <w:p w14:paraId="66053983" w14:textId="77777777" w:rsidR="002B4FFB" w:rsidRDefault="001F7021">
      <w:pPr>
        <w:pStyle w:val="Heading1"/>
        <w:spacing w:before="93"/>
        <w:ind w:left="3177"/>
        <w:rPr>
          <w:u w:val="none"/>
        </w:rPr>
      </w:pPr>
      <w:r>
        <w:rPr>
          <w:u w:val="none"/>
        </w:rPr>
        <w:t>Michigan Automotive Compressor, Inc.</w:t>
      </w:r>
    </w:p>
    <w:p w14:paraId="717C50F2" w14:textId="77777777" w:rsidR="002B4FFB" w:rsidRDefault="002B4FFB">
      <w:pPr>
        <w:pStyle w:val="BodyText"/>
        <w:rPr>
          <w:b/>
          <w:sz w:val="24"/>
        </w:rPr>
      </w:pPr>
    </w:p>
    <w:p w14:paraId="493A4581" w14:textId="77777777" w:rsidR="002B4FFB" w:rsidRDefault="002B4FFB">
      <w:pPr>
        <w:pStyle w:val="BodyText"/>
        <w:rPr>
          <w:b/>
          <w:sz w:val="20"/>
        </w:rPr>
      </w:pPr>
    </w:p>
    <w:p w14:paraId="5B894DCA" w14:textId="77777777" w:rsidR="002B4FFB" w:rsidRDefault="001F7021">
      <w:pPr>
        <w:pStyle w:val="BodyText"/>
        <w:spacing w:line="480" w:lineRule="auto"/>
        <w:ind w:left="4706" w:right="3964" w:hanging="1505"/>
      </w:pPr>
      <w:r>
        <w:t xml:space="preserve">State Registration Number (SRN): </w:t>
      </w:r>
      <w:hyperlink w:anchor="_bookmark0" w:history="1">
        <w:r>
          <w:t>N1966</w:t>
        </w:r>
      </w:hyperlink>
      <w:bookmarkStart w:id="1" w:name="Located_at"/>
      <w:bookmarkEnd w:id="1"/>
      <w:r>
        <w:t xml:space="preserve"> Located at</w:t>
      </w:r>
    </w:p>
    <w:p w14:paraId="3D7A15C0" w14:textId="77777777" w:rsidR="002B4FFB" w:rsidRDefault="001F7021">
      <w:pPr>
        <w:pStyle w:val="BodyText"/>
        <w:tabs>
          <w:tab w:val="left" w:pos="5868"/>
        </w:tabs>
        <w:spacing w:line="477" w:lineRule="auto"/>
        <w:ind w:left="3259" w:right="2674" w:hanging="1362"/>
      </w:pPr>
      <w:r>
        <w:t>2400 North Dearing Road, Parma, Jackson County, Michigan 49269 Permit</w:t>
      </w:r>
      <w:r>
        <w:rPr>
          <w:spacing w:val="-2"/>
        </w:rPr>
        <w:t xml:space="preserve"> </w:t>
      </w:r>
      <w:r>
        <w:t>Number:</w:t>
      </w:r>
      <w:r>
        <w:tab/>
        <w:t>MI-ROP-N1966-2020</w:t>
      </w:r>
    </w:p>
    <w:p w14:paraId="0FA138A6" w14:textId="77777777" w:rsidR="002B4FFB" w:rsidRDefault="001F7021">
      <w:pPr>
        <w:pStyle w:val="BodyText"/>
        <w:tabs>
          <w:tab w:val="left" w:pos="5868"/>
        </w:tabs>
        <w:spacing w:before="4"/>
        <w:ind w:left="3259"/>
      </w:pPr>
      <w:r>
        <w:t>Staff</w:t>
      </w:r>
      <w:r>
        <w:rPr>
          <w:spacing w:val="-2"/>
        </w:rPr>
        <w:t xml:space="preserve"> </w:t>
      </w:r>
      <w:r>
        <w:t>Report Date:</w:t>
      </w:r>
      <w:r>
        <w:tab/>
        <w:t>September 14,</w:t>
      </w:r>
      <w:r>
        <w:rPr>
          <w:spacing w:val="4"/>
        </w:rPr>
        <w:t xml:space="preserve"> </w:t>
      </w:r>
      <w:r>
        <w:t>2020</w:t>
      </w:r>
    </w:p>
    <w:p w14:paraId="3707003D" w14:textId="77777777" w:rsidR="002B4FFB" w:rsidRDefault="002B4FFB">
      <w:pPr>
        <w:pStyle w:val="BodyText"/>
        <w:rPr>
          <w:sz w:val="24"/>
        </w:rPr>
      </w:pPr>
    </w:p>
    <w:p w14:paraId="22A0E606" w14:textId="77777777" w:rsidR="002B4FFB" w:rsidRDefault="002B4FFB">
      <w:pPr>
        <w:pStyle w:val="BodyText"/>
        <w:rPr>
          <w:sz w:val="24"/>
        </w:rPr>
      </w:pPr>
    </w:p>
    <w:p w14:paraId="11A5410F" w14:textId="77777777" w:rsidR="002B4FFB" w:rsidRDefault="002B4FFB">
      <w:pPr>
        <w:pStyle w:val="BodyText"/>
        <w:rPr>
          <w:sz w:val="24"/>
        </w:rPr>
      </w:pPr>
    </w:p>
    <w:p w14:paraId="0BBD9DDD" w14:textId="77777777" w:rsidR="002B4FFB" w:rsidRDefault="001F7021">
      <w:pPr>
        <w:pStyle w:val="BodyText"/>
        <w:spacing w:before="183"/>
        <w:ind w:left="108" w:right="882"/>
        <w:jc w:val="both"/>
      </w:pPr>
      <w:r>
        <w:t>This</w:t>
      </w:r>
      <w:r>
        <w:rPr>
          <w:spacing w:val="-9"/>
        </w:rPr>
        <w:t xml:space="preserve"> </w:t>
      </w:r>
      <w:r>
        <w:t>Staff</w:t>
      </w:r>
      <w:r>
        <w:rPr>
          <w:spacing w:val="-10"/>
        </w:rPr>
        <w:t xml:space="preserve"> </w:t>
      </w:r>
      <w:r>
        <w:t>Report</w:t>
      </w:r>
      <w:r>
        <w:rPr>
          <w:spacing w:val="-7"/>
        </w:rPr>
        <w:t xml:space="preserve"> </w:t>
      </w:r>
      <w:r>
        <w:t>is</w:t>
      </w:r>
      <w:r>
        <w:rPr>
          <w:spacing w:val="-9"/>
        </w:rPr>
        <w:t xml:space="preserve"> </w:t>
      </w:r>
      <w:r>
        <w:t>published</w:t>
      </w:r>
      <w:r>
        <w:rPr>
          <w:spacing w:val="-9"/>
        </w:rPr>
        <w:t xml:space="preserve"> </w:t>
      </w:r>
      <w:r>
        <w:t>in</w:t>
      </w:r>
      <w:r>
        <w:rPr>
          <w:spacing w:val="-9"/>
        </w:rPr>
        <w:t xml:space="preserve"> </w:t>
      </w:r>
      <w:r>
        <w:t>accordance</w:t>
      </w:r>
      <w:r>
        <w:rPr>
          <w:spacing w:val="-12"/>
        </w:rPr>
        <w:t xml:space="preserve"> </w:t>
      </w:r>
      <w:r>
        <w:t>with</w:t>
      </w:r>
      <w:r>
        <w:rPr>
          <w:spacing w:val="-11"/>
        </w:rPr>
        <w:t xml:space="preserve"> </w:t>
      </w:r>
      <w:r>
        <w:t>Sections</w:t>
      </w:r>
      <w:r>
        <w:rPr>
          <w:spacing w:val="-8"/>
        </w:rPr>
        <w:t xml:space="preserve"> </w:t>
      </w:r>
      <w:r>
        <w:t>5506</w:t>
      </w:r>
      <w:r>
        <w:rPr>
          <w:spacing w:val="-9"/>
        </w:rPr>
        <w:t xml:space="preserve"> </w:t>
      </w:r>
      <w:r>
        <w:t>and</w:t>
      </w:r>
      <w:r>
        <w:rPr>
          <w:spacing w:val="-10"/>
        </w:rPr>
        <w:t xml:space="preserve"> </w:t>
      </w:r>
      <w:r>
        <w:t>5511</w:t>
      </w:r>
      <w:r>
        <w:rPr>
          <w:spacing w:val="-11"/>
        </w:rPr>
        <w:t xml:space="preserve"> </w:t>
      </w:r>
      <w:r>
        <w:t>of</w:t>
      </w:r>
      <w:r>
        <w:rPr>
          <w:spacing w:val="-7"/>
        </w:rPr>
        <w:t xml:space="preserve"> </w:t>
      </w:r>
      <w:r>
        <w:t>Part</w:t>
      </w:r>
      <w:r>
        <w:rPr>
          <w:spacing w:val="-8"/>
        </w:rPr>
        <w:t xml:space="preserve"> </w:t>
      </w:r>
      <w:r>
        <w:t>55,</w:t>
      </w:r>
      <w:r>
        <w:rPr>
          <w:spacing w:val="-10"/>
        </w:rPr>
        <w:t xml:space="preserve"> </w:t>
      </w:r>
      <w:r>
        <w:t>Air</w:t>
      </w:r>
      <w:r>
        <w:rPr>
          <w:spacing w:val="-8"/>
        </w:rPr>
        <w:t xml:space="preserve"> </w:t>
      </w:r>
      <w:r>
        <w:t>Pollution</w:t>
      </w:r>
      <w:r>
        <w:rPr>
          <w:spacing w:val="-9"/>
        </w:rPr>
        <w:t xml:space="preserve"> </w:t>
      </w:r>
      <w:r>
        <w:t>Control, of the Natural Resources and Environmental Protection Act, 1994 PA 451, as amended (Act 451). Specifically,</w:t>
      </w:r>
      <w:r>
        <w:rPr>
          <w:spacing w:val="-9"/>
        </w:rPr>
        <w:t xml:space="preserve"> </w:t>
      </w:r>
      <w:r>
        <w:t>Rule</w:t>
      </w:r>
      <w:r>
        <w:rPr>
          <w:spacing w:val="-9"/>
        </w:rPr>
        <w:t xml:space="preserve"> </w:t>
      </w:r>
      <w:r>
        <w:t>214(1)</w:t>
      </w:r>
      <w:r>
        <w:rPr>
          <w:spacing w:val="-10"/>
        </w:rPr>
        <w:t xml:space="preserve"> </w:t>
      </w:r>
      <w:r>
        <w:t>of</w:t>
      </w:r>
      <w:r>
        <w:rPr>
          <w:spacing w:val="-8"/>
        </w:rPr>
        <w:t xml:space="preserve"> </w:t>
      </w:r>
      <w:r>
        <w:t>the</w:t>
      </w:r>
      <w:r>
        <w:rPr>
          <w:spacing w:val="-10"/>
        </w:rPr>
        <w:t xml:space="preserve"> </w:t>
      </w:r>
      <w:r>
        <w:t>administrative</w:t>
      </w:r>
      <w:r>
        <w:rPr>
          <w:spacing w:val="-10"/>
        </w:rPr>
        <w:t xml:space="preserve"> </w:t>
      </w:r>
      <w:r>
        <w:t>rules</w:t>
      </w:r>
      <w:r>
        <w:rPr>
          <w:spacing w:val="-9"/>
        </w:rPr>
        <w:t xml:space="preserve"> </w:t>
      </w:r>
      <w:r>
        <w:t>promulgated</w:t>
      </w:r>
      <w:r>
        <w:rPr>
          <w:spacing w:val="-10"/>
        </w:rPr>
        <w:t xml:space="preserve"> </w:t>
      </w:r>
      <w:r>
        <w:t>under</w:t>
      </w:r>
      <w:r>
        <w:rPr>
          <w:spacing w:val="-9"/>
        </w:rPr>
        <w:t xml:space="preserve"> </w:t>
      </w:r>
      <w:r>
        <w:t>Act</w:t>
      </w:r>
      <w:r>
        <w:rPr>
          <w:spacing w:val="-9"/>
        </w:rPr>
        <w:t xml:space="preserve"> </w:t>
      </w:r>
      <w:r>
        <w:t>451,</w:t>
      </w:r>
      <w:r>
        <w:rPr>
          <w:spacing w:val="-8"/>
        </w:rPr>
        <w:t xml:space="preserve"> </w:t>
      </w:r>
      <w:r>
        <w:t>requires</w:t>
      </w:r>
      <w:r>
        <w:rPr>
          <w:spacing w:val="-12"/>
        </w:rPr>
        <w:t xml:space="preserve"> </w:t>
      </w:r>
      <w:r>
        <w:t>that</w:t>
      </w:r>
      <w:r>
        <w:rPr>
          <w:spacing w:val="-8"/>
        </w:rPr>
        <w:t xml:space="preserve"> </w:t>
      </w:r>
      <w:r>
        <w:t>the</w:t>
      </w:r>
      <w:r>
        <w:rPr>
          <w:spacing w:val="-12"/>
        </w:rPr>
        <w:t xml:space="preserve"> </w:t>
      </w:r>
      <w:r>
        <w:t>Michigan Department</w:t>
      </w:r>
      <w:r>
        <w:rPr>
          <w:spacing w:val="-16"/>
        </w:rPr>
        <w:t xml:space="preserve"> </w:t>
      </w:r>
      <w:r>
        <w:t>of</w:t>
      </w:r>
      <w:r>
        <w:rPr>
          <w:spacing w:val="-13"/>
        </w:rPr>
        <w:t xml:space="preserve"> </w:t>
      </w:r>
      <w:r>
        <w:t>Environment,</w:t>
      </w:r>
      <w:r>
        <w:rPr>
          <w:spacing w:val="-18"/>
        </w:rPr>
        <w:t xml:space="preserve"> </w:t>
      </w:r>
      <w:r>
        <w:t>Great</w:t>
      </w:r>
      <w:r>
        <w:rPr>
          <w:spacing w:val="-16"/>
        </w:rPr>
        <w:t xml:space="preserve"> </w:t>
      </w:r>
      <w:r>
        <w:t>Lakes,</w:t>
      </w:r>
      <w:r>
        <w:rPr>
          <w:spacing w:val="-15"/>
        </w:rPr>
        <w:t xml:space="preserve"> </w:t>
      </w:r>
      <w:r>
        <w:t>and</w:t>
      </w:r>
      <w:r>
        <w:rPr>
          <w:spacing w:val="-15"/>
        </w:rPr>
        <w:t xml:space="preserve"> </w:t>
      </w:r>
      <w:r>
        <w:t>E</w:t>
      </w:r>
      <w:r>
        <w:t>nergy</w:t>
      </w:r>
      <w:r>
        <w:rPr>
          <w:spacing w:val="-16"/>
        </w:rPr>
        <w:t xml:space="preserve"> </w:t>
      </w:r>
      <w:r>
        <w:t>(EGLE),</w:t>
      </w:r>
      <w:r>
        <w:rPr>
          <w:spacing w:val="-16"/>
        </w:rPr>
        <w:t xml:space="preserve"> </w:t>
      </w:r>
      <w:r>
        <w:t>Air</w:t>
      </w:r>
      <w:r>
        <w:rPr>
          <w:spacing w:val="-17"/>
        </w:rPr>
        <w:t xml:space="preserve"> </w:t>
      </w:r>
      <w:r>
        <w:t>Quality</w:t>
      </w:r>
      <w:r>
        <w:rPr>
          <w:spacing w:val="-19"/>
        </w:rPr>
        <w:t xml:space="preserve"> </w:t>
      </w:r>
      <w:r>
        <w:t>Division</w:t>
      </w:r>
      <w:r>
        <w:rPr>
          <w:spacing w:val="-15"/>
        </w:rPr>
        <w:t xml:space="preserve"> </w:t>
      </w:r>
      <w:r>
        <w:t>(AQD),</w:t>
      </w:r>
      <w:r>
        <w:rPr>
          <w:spacing w:val="-15"/>
        </w:rPr>
        <w:t xml:space="preserve"> </w:t>
      </w:r>
      <w:r>
        <w:t>prepare</w:t>
      </w:r>
      <w:r>
        <w:rPr>
          <w:spacing w:val="-19"/>
        </w:rPr>
        <w:t xml:space="preserve"> </w:t>
      </w:r>
      <w:r>
        <w:t>a</w:t>
      </w:r>
      <w:r>
        <w:rPr>
          <w:spacing w:val="-15"/>
        </w:rPr>
        <w:t xml:space="preserve"> </w:t>
      </w:r>
      <w:r>
        <w:t>report that sets forth the factual basis for the terms and conditions of the Renewable Operating Permit</w:t>
      </w:r>
      <w:r>
        <w:rPr>
          <w:spacing w:val="-39"/>
        </w:rPr>
        <w:t xml:space="preserve"> </w:t>
      </w:r>
      <w:r>
        <w:t>(ROP).</w:t>
      </w:r>
    </w:p>
    <w:p w14:paraId="045DF0B8" w14:textId="77777777" w:rsidR="002B4FFB" w:rsidRDefault="002B4FFB">
      <w:pPr>
        <w:jc w:val="both"/>
        <w:sectPr w:rsidR="002B4FFB">
          <w:headerReference w:type="even" r:id="rId6"/>
          <w:headerReference w:type="default" r:id="rId7"/>
          <w:footerReference w:type="even" r:id="rId8"/>
          <w:footerReference w:type="default" r:id="rId9"/>
          <w:headerReference w:type="first" r:id="rId10"/>
          <w:footerReference w:type="first" r:id="rId11"/>
          <w:type w:val="continuous"/>
          <w:pgSz w:w="12240" w:h="15840"/>
          <w:pgMar w:top="1220" w:right="120" w:bottom="940" w:left="900" w:header="720" w:footer="743" w:gutter="0"/>
          <w:pgNumType w:start="1"/>
          <w:cols w:space="720"/>
        </w:sectPr>
      </w:pPr>
    </w:p>
    <w:p w14:paraId="22E8769F" w14:textId="77777777" w:rsidR="002B4FFB" w:rsidRDefault="001F7021">
      <w:pPr>
        <w:pStyle w:val="Heading1"/>
        <w:spacing w:before="68"/>
        <w:ind w:left="0" w:right="774"/>
        <w:jc w:val="center"/>
        <w:rPr>
          <w:u w:val="none"/>
        </w:rPr>
      </w:pPr>
      <w:bookmarkStart w:id="2" w:name="TABLE_OF_CONTENTS"/>
      <w:bookmarkEnd w:id="2"/>
      <w:r>
        <w:rPr>
          <w:u w:val="none"/>
        </w:rPr>
        <w:lastRenderedPageBreak/>
        <w:t>TABLE OF CONTENTS</w:t>
      </w:r>
    </w:p>
    <w:p w14:paraId="4B1B78F1" w14:textId="77777777" w:rsidR="002B4FFB" w:rsidRDefault="001F7021">
      <w:pPr>
        <w:tabs>
          <w:tab w:val="right" w:pos="10214"/>
        </w:tabs>
        <w:spacing w:before="239"/>
        <w:ind w:right="787"/>
        <w:jc w:val="center"/>
        <w:rPr>
          <w:b/>
        </w:rPr>
      </w:pPr>
      <w:r>
        <w:rPr>
          <w:b/>
        </w:rPr>
        <w:t>September 14, 2020 -</w:t>
      </w:r>
      <w:r>
        <w:rPr>
          <w:b/>
          <w:spacing w:val="-3"/>
        </w:rPr>
        <w:t xml:space="preserve"> </w:t>
      </w:r>
      <w:r>
        <w:rPr>
          <w:b/>
        </w:rPr>
        <w:t>STAFF</w:t>
      </w:r>
      <w:r>
        <w:rPr>
          <w:b/>
          <w:spacing w:val="1"/>
        </w:rPr>
        <w:t xml:space="preserve"> </w:t>
      </w:r>
      <w:r>
        <w:rPr>
          <w:b/>
        </w:rPr>
        <w:t>REPORT</w:t>
      </w:r>
      <w:r>
        <w:rPr>
          <w:b/>
        </w:rPr>
        <w:tab/>
        <w:t>3</w:t>
      </w:r>
    </w:p>
    <w:p w14:paraId="77FBA4D1" w14:textId="77777777" w:rsidR="002B4FFB" w:rsidRDefault="001F7021">
      <w:pPr>
        <w:pStyle w:val="Heading1"/>
        <w:tabs>
          <w:tab w:val="right" w:pos="10214"/>
        </w:tabs>
        <w:spacing w:before="361"/>
        <w:ind w:left="0" w:right="787"/>
        <w:jc w:val="center"/>
        <w:rPr>
          <w:u w:val="none"/>
        </w:rPr>
      </w:pPr>
      <w:r>
        <w:rPr>
          <w:u w:val="none"/>
        </w:rPr>
        <w:t>October 15, 2020 - STAFF</w:t>
      </w:r>
      <w:r>
        <w:rPr>
          <w:spacing w:val="-2"/>
          <w:u w:val="none"/>
        </w:rPr>
        <w:t xml:space="preserve"> </w:t>
      </w:r>
      <w:r>
        <w:rPr>
          <w:u w:val="none"/>
        </w:rPr>
        <w:t>REPORT ADDENDUM</w:t>
      </w:r>
      <w:r>
        <w:rPr>
          <w:u w:val="none"/>
        </w:rPr>
        <w:tab/>
        <w:t>8</w:t>
      </w:r>
    </w:p>
    <w:p w14:paraId="0BEEDC04" w14:textId="77777777" w:rsidR="002B4FFB" w:rsidRDefault="002B4FFB">
      <w:pPr>
        <w:jc w:val="center"/>
        <w:sectPr w:rsidR="002B4FFB">
          <w:pgSz w:w="12240" w:h="15840"/>
          <w:pgMar w:top="940" w:right="120" w:bottom="940" w:left="900" w:header="0" w:footer="743" w:gutter="0"/>
          <w:cols w:space="720"/>
        </w:sectPr>
      </w:pPr>
    </w:p>
    <w:tbl>
      <w:tblPr>
        <w:tblW w:w="0" w:type="auto"/>
        <w:tblInd w:w="318" w:type="dxa"/>
        <w:tblLayout w:type="fixed"/>
        <w:tblCellMar>
          <w:left w:w="0" w:type="dxa"/>
          <w:right w:w="0" w:type="dxa"/>
        </w:tblCellMar>
        <w:tblLook w:val="01E0" w:firstRow="1" w:lastRow="1" w:firstColumn="1" w:lastColumn="1" w:noHBand="0" w:noVBand="0"/>
      </w:tblPr>
      <w:tblGrid>
        <w:gridCol w:w="2658"/>
        <w:gridCol w:w="5487"/>
        <w:gridCol w:w="2646"/>
      </w:tblGrid>
      <w:tr w:rsidR="002B4FFB" w14:paraId="319636DF" w14:textId="77777777">
        <w:trPr>
          <w:trHeight w:val="456"/>
        </w:trPr>
        <w:tc>
          <w:tcPr>
            <w:tcW w:w="10791" w:type="dxa"/>
            <w:gridSpan w:val="3"/>
          </w:tcPr>
          <w:p w14:paraId="657B431E" w14:textId="77777777" w:rsidR="002B4FFB" w:rsidRDefault="001F7021">
            <w:pPr>
              <w:pStyle w:val="TableParagraph"/>
              <w:spacing w:line="223" w:lineRule="exact"/>
              <w:ind w:left="2478" w:right="2636"/>
              <w:jc w:val="center"/>
              <w:rPr>
                <w:sz w:val="20"/>
              </w:rPr>
            </w:pPr>
            <w:r>
              <w:rPr>
                <w:sz w:val="20"/>
              </w:rPr>
              <w:lastRenderedPageBreak/>
              <w:t>Michigan Department of Environment, Great Lakes, and Energy</w:t>
            </w:r>
          </w:p>
          <w:p w14:paraId="44CAC28B" w14:textId="77777777" w:rsidR="002B4FFB" w:rsidRDefault="001F7021">
            <w:pPr>
              <w:pStyle w:val="TableParagraph"/>
              <w:spacing w:line="213" w:lineRule="exact"/>
              <w:ind w:left="2478" w:right="2396"/>
              <w:jc w:val="center"/>
              <w:rPr>
                <w:sz w:val="20"/>
              </w:rPr>
            </w:pPr>
            <w:r>
              <w:rPr>
                <w:sz w:val="20"/>
              </w:rPr>
              <w:t>Air Quality Division</w:t>
            </w:r>
          </w:p>
        </w:tc>
      </w:tr>
      <w:tr w:rsidR="002B4FFB" w14:paraId="51C90CA5" w14:textId="77777777">
        <w:trPr>
          <w:trHeight w:val="328"/>
        </w:trPr>
        <w:tc>
          <w:tcPr>
            <w:tcW w:w="2658" w:type="dxa"/>
          </w:tcPr>
          <w:p w14:paraId="6AC3E3D3" w14:textId="77777777" w:rsidR="002B4FFB" w:rsidRDefault="001F7021">
            <w:pPr>
              <w:pStyle w:val="TableParagraph"/>
              <w:spacing w:line="183" w:lineRule="exact"/>
              <w:ind w:left="181" w:right="417"/>
              <w:jc w:val="center"/>
              <w:rPr>
                <w:b/>
                <w:sz w:val="16"/>
              </w:rPr>
            </w:pPr>
            <w:r>
              <w:rPr>
                <w:b/>
                <w:sz w:val="16"/>
              </w:rPr>
              <w:t>State Registration Number</w:t>
            </w:r>
          </w:p>
        </w:tc>
        <w:tc>
          <w:tcPr>
            <w:tcW w:w="5487" w:type="dxa"/>
          </w:tcPr>
          <w:p w14:paraId="7807F52F" w14:textId="77777777" w:rsidR="002B4FFB" w:rsidRDefault="001F7021">
            <w:pPr>
              <w:pStyle w:val="TableParagraph"/>
              <w:spacing w:line="308" w:lineRule="exact"/>
              <w:ind w:left="419" w:right="345"/>
              <w:jc w:val="center"/>
              <w:rPr>
                <w:b/>
                <w:sz w:val="28"/>
              </w:rPr>
            </w:pPr>
            <w:r>
              <w:rPr>
                <w:b/>
                <w:sz w:val="28"/>
              </w:rPr>
              <w:t>RENEWABLE OPERATING PERMIT</w:t>
            </w:r>
          </w:p>
        </w:tc>
        <w:tc>
          <w:tcPr>
            <w:tcW w:w="2646" w:type="dxa"/>
          </w:tcPr>
          <w:p w14:paraId="6455FC9D" w14:textId="77777777" w:rsidR="002B4FFB" w:rsidRDefault="001F7021">
            <w:pPr>
              <w:pStyle w:val="TableParagraph"/>
              <w:spacing w:line="183" w:lineRule="exact"/>
              <w:ind w:left="347" w:right="178"/>
              <w:jc w:val="center"/>
              <w:rPr>
                <w:b/>
                <w:sz w:val="16"/>
              </w:rPr>
            </w:pPr>
            <w:r>
              <w:rPr>
                <w:b/>
                <w:sz w:val="16"/>
              </w:rPr>
              <w:t>ROP Number</w:t>
            </w:r>
          </w:p>
        </w:tc>
      </w:tr>
      <w:tr w:rsidR="002B4FFB" w14:paraId="43108607" w14:textId="77777777">
        <w:trPr>
          <w:trHeight w:val="376"/>
        </w:trPr>
        <w:tc>
          <w:tcPr>
            <w:tcW w:w="2658" w:type="dxa"/>
          </w:tcPr>
          <w:p w14:paraId="28F6E837" w14:textId="77777777" w:rsidR="002B4FFB" w:rsidRDefault="001F7021">
            <w:pPr>
              <w:pStyle w:val="TableParagraph"/>
              <w:spacing w:before="3" w:line="240" w:lineRule="auto"/>
              <w:ind w:left="177" w:right="417"/>
              <w:jc w:val="center"/>
            </w:pPr>
            <w:r>
              <w:t>N1966</w:t>
            </w:r>
          </w:p>
        </w:tc>
        <w:tc>
          <w:tcPr>
            <w:tcW w:w="5487" w:type="dxa"/>
          </w:tcPr>
          <w:p w14:paraId="23374A64" w14:textId="77777777" w:rsidR="002B4FFB" w:rsidRDefault="001F7021">
            <w:pPr>
              <w:pStyle w:val="TableParagraph"/>
              <w:spacing w:before="123" w:line="233" w:lineRule="exact"/>
              <w:ind w:left="419" w:right="345"/>
              <w:jc w:val="center"/>
              <w:rPr>
                <w:b/>
              </w:rPr>
            </w:pPr>
            <w:bookmarkStart w:id="3" w:name="September_14,_2020_-_STAFF_REPORT"/>
            <w:bookmarkEnd w:id="3"/>
            <w:r>
              <w:rPr>
                <w:b/>
              </w:rPr>
              <w:t>September 14, 2020 - STAFF REPORT</w:t>
            </w:r>
          </w:p>
        </w:tc>
        <w:tc>
          <w:tcPr>
            <w:tcW w:w="2646" w:type="dxa"/>
          </w:tcPr>
          <w:p w14:paraId="1B2DB1F3" w14:textId="77777777" w:rsidR="002B4FFB" w:rsidRDefault="001F7021">
            <w:pPr>
              <w:pStyle w:val="TableParagraph"/>
              <w:spacing w:before="3" w:line="240" w:lineRule="auto"/>
              <w:ind w:left="347" w:right="180"/>
              <w:jc w:val="center"/>
            </w:pPr>
            <w:r>
              <w:t>MI-ROP-N1966-2020</w:t>
            </w:r>
          </w:p>
        </w:tc>
      </w:tr>
    </w:tbl>
    <w:p w14:paraId="6BF290B5" w14:textId="77777777" w:rsidR="002B4FFB" w:rsidRDefault="002B4FFB">
      <w:pPr>
        <w:pStyle w:val="BodyText"/>
        <w:rPr>
          <w:b/>
          <w:sz w:val="27"/>
        </w:rPr>
      </w:pPr>
    </w:p>
    <w:p w14:paraId="53A66B9C" w14:textId="77777777" w:rsidR="002B4FFB" w:rsidRDefault="001F7021">
      <w:pPr>
        <w:ind w:left="107"/>
        <w:rPr>
          <w:b/>
        </w:rPr>
      </w:pPr>
      <w:r>
        <w:rPr>
          <w:b/>
          <w:u w:val="thick"/>
        </w:rPr>
        <w:t>Purpose</w:t>
      </w:r>
    </w:p>
    <w:p w14:paraId="327B2341" w14:textId="77777777" w:rsidR="002B4FFB" w:rsidRDefault="002B4FFB">
      <w:pPr>
        <w:pStyle w:val="BodyText"/>
        <w:spacing w:before="10"/>
        <w:rPr>
          <w:b/>
          <w:sz w:val="13"/>
        </w:rPr>
      </w:pPr>
    </w:p>
    <w:p w14:paraId="39043773" w14:textId="77777777" w:rsidR="002B4FFB" w:rsidRDefault="001F7021">
      <w:pPr>
        <w:pStyle w:val="BodyText"/>
        <w:spacing w:before="94"/>
        <w:ind w:left="107" w:right="882"/>
        <w:jc w:val="both"/>
      </w:pPr>
      <w:r>
        <w:t>Major</w:t>
      </w:r>
      <w:r>
        <w:rPr>
          <w:spacing w:val="-13"/>
        </w:rPr>
        <w:t xml:space="preserve"> </w:t>
      </w:r>
      <w:r>
        <w:t>stationary</w:t>
      </w:r>
      <w:r>
        <w:rPr>
          <w:spacing w:val="-13"/>
        </w:rPr>
        <w:t xml:space="preserve"> </w:t>
      </w:r>
      <w:r>
        <w:t>sources</w:t>
      </w:r>
      <w:r>
        <w:rPr>
          <w:spacing w:val="-13"/>
        </w:rPr>
        <w:t xml:space="preserve"> </w:t>
      </w:r>
      <w:r>
        <w:t>of</w:t>
      </w:r>
      <w:r>
        <w:rPr>
          <w:spacing w:val="-10"/>
        </w:rPr>
        <w:t xml:space="preserve"> </w:t>
      </w:r>
      <w:r>
        <w:t>air</w:t>
      </w:r>
      <w:r>
        <w:rPr>
          <w:spacing w:val="-12"/>
        </w:rPr>
        <w:t xml:space="preserve"> </w:t>
      </w:r>
      <w:r>
        <w:t>pollutants,</w:t>
      </w:r>
      <w:r>
        <w:rPr>
          <w:spacing w:val="-12"/>
        </w:rPr>
        <w:t xml:space="preserve"> </w:t>
      </w:r>
      <w:r>
        <w:t>and</w:t>
      </w:r>
      <w:r>
        <w:rPr>
          <w:spacing w:val="-11"/>
        </w:rPr>
        <w:t xml:space="preserve"> </w:t>
      </w:r>
      <w:r>
        <w:t>some</w:t>
      </w:r>
      <w:r>
        <w:rPr>
          <w:spacing w:val="-11"/>
        </w:rPr>
        <w:t xml:space="preserve"> </w:t>
      </w:r>
      <w:r>
        <w:t>non-major</w:t>
      </w:r>
      <w:r>
        <w:rPr>
          <w:spacing w:val="-12"/>
        </w:rPr>
        <w:t xml:space="preserve"> </w:t>
      </w:r>
      <w:r>
        <w:t>sources,</w:t>
      </w:r>
      <w:r>
        <w:rPr>
          <w:spacing w:val="-12"/>
        </w:rPr>
        <w:t xml:space="preserve"> </w:t>
      </w:r>
      <w:r>
        <w:t>are</w:t>
      </w:r>
      <w:r>
        <w:rPr>
          <w:spacing w:val="-14"/>
        </w:rPr>
        <w:t xml:space="preserve"> </w:t>
      </w:r>
      <w:r>
        <w:t>required</w:t>
      </w:r>
      <w:r>
        <w:rPr>
          <w:spacing w:val="-14"/>
        </w:rPr>
        <w:t xml:space="preserve"> </w:t>
      </w:r>
      <w:r>
        <w:t>to</w:t>
      </w:r>
      <w:r>
        <w:rPr>
          <w:spacing w:val="-14"/>
        </w:rPr>
        <w:t xml:space="preserve"> </w:t>
      </w:r>
      <w:r>
        <w:t>obtain</w:t>
      </w:r>
      <w:r>
        <w:rPr>
          <w:spacing w:val="-11"/>
        </w:rPr>
        <w:t xml:space="preserve"> </w:t>
      </w:r>
      <w:r>
        <w:t>and</w:t>
      </w:r>
      <w:r>
        <w:rPr>
          <w:spacing w:val="-11"/>
        </w:rPr>
        <w:t xml:space="preserve"> </w:t>
      </w:r>
      <w:r>
        <w:t>operate in compliance with an ROP pursuant to Title V of the federal Clean Air Act; and Michigan’s Administrative Rules</w:t>
      </w:r>
      <w:r>
        <w:rPr>
          <w:spacing w:val="-9"/>
        </w:rPr>
        <w:t xml:space="preserve"> </w:t>
      </w:r>
      <w:r>
        <w:t>for</w:t>
      </w:r>
      <w:r>
        <w:rPr>
          <w:spacing w:val="-10"/>
        </w:rPr>
        <w:t xml:space="preserve"> </w:t>
      </w:r>
      <w:r>
        <w:t>Air</w:t>
      </w:r>
      <w:r>
        <w:rPr>
          <w:spacing w:val="-10"/>
        </w:rPr>
        <w:t xml:space="preserve"> </w:t>
      </w:r>
      <w:r>
        <w:t>Pollution</w:t>
      </w:r>
      <w:r>
        <w:rPr>
          <w:spacing w:val="-10"/>
        </w:rPr>
        <w:t xml:space="preserve"> </w:t>
      </w:r>
      <w:r>
        <w:t>Control</w:t>
      </w:r>
      <w:r>
        <w:rPr>
          <w:spacing w:val="-9"/>
        </w:rPr>
        <w:t xml:space="preserve"> </w:t>
      </w:r>
      <w:r>
        <w:t>promulgated</w:t>
      </w:r>
      <w:r>
        <w:rPr>
          <w:spacing w:val="-11"/>
        </w:rPr>
        <w:t xml:space="preserve"> </w:t>
      </w:r>
      <w:r>
        <w:t>under</w:t>
      </w:r>
      <w:r>
        <w:rPr>
          <w:spacing w:val="-13"/>
        </w:rPr>
        <w:t xml:space="preserve"> </w:t>
      </w:r>
      <w:r>
        <w:t>Section</w:t>
      </w:r>
      <w:r>
        <w:rPr>
          <w:spacing w:val="-9"/>
        </w:rPr>
        <w:t xml:space="preserve"> </w:t>
      </w:r>
      <w:r>
        <w:t>5506(1)</w:t>
      </w:r>
      <w:r>
        <w:rPr>
          <w:spacing w:val="-10"/>
        </w:rPr>
        <w:t xml:space="preserve"> </w:t>
      </w:r>
      <w:r>
        <w:t>of</w:t>
      </w:r>
      <w:r>
        <w:rPr>
          <w:spacing w:val="-10"/>
        </w:rPr>
        <w:t xml:space="preserve"> </w:t>
      </w:r>
      <w:r>
        <w:t>Act</w:t>
      </w:r>
      <w:r>
        <w:rPr>
          <w:spacing w:val="-11"/>
        </w:rPr>
        <w:t xml:space="preserve"> </w:t>
      </w:r>
      <w:r>
        <w:t>451.</w:t>
      </w:r>
      <w:r>
        <w:rPr>
          <w:spacing w:val="43"/>
        </w:rPr>
        <w:t xml:space="preserve"> </w:t>
      </w:r>
      <w:r>
        <w:t>Sources</w:t>
      </w:r>
      <w:r>
        <w:rPr>
          <w:spacing w:val="-12"/>
        </w:rPr>
        <w:t xml:space="preserve"> </w:t>
      </w:r>
      <w:r>
        <w:t>subject</w:t>
      </w:r>
      <w:r>
        <w:rPr>
          <w:spacing w:val="-12"/>
        </w:rPr>
        <w:t xml:space="preserve"> </w:t>
      </w:r>
      <w:r>
        <w:t>to</w:t>
      </w:r>
      <w:r>
        <w:rPr>
          <w:spacing w:val="-11"/>
        </w:rPr>
        <w:t xml:space="preserve"> </w:t>
      </w:r>
      <w:r>
        <w:t>the</w:t>
      </w:r>
      <w:r>
        <w:rPr>
          <w:spacing w:val="-11"/>
        </w:rPr>
        <w:t xml:space="preserve"> </w:t>
      </w:r>
      <w:r>
        <w:t>ROP program are defined by criteria in Ru</w:t>
      </w:r>
      <w:r>
        <w:t>le 211(1). The ROP is intended to simplify and clarify a stationary source’s applicable requirements and compliance with them by consolidating all state and federal air quality requirements into one</w:t>
      </w:r>
      <w:r>
        <w:rPr>
          <w:spacing w:val="-1"/>
        </w:rPr>
        <w:t xml:space="preserve"> </w:t>
      </w:r>
      <w:r>
        <w:t>document.</w:t>
      </w:r>
    </w:p>
    <w:p w14:paraId="71D01183" w14:textId="77777777" w:rsidR="002B4FFB" w:rsidRDefault="002B4FFB">
      <w:pPr>
        <w:pStyle w:val="BodyText"/>
      </w:pPr>
    </w:p>
    <w:p w14:paraId="563CCD84" w14:textId="77777777" w:rsidR="002B4FFB" w:rsidRDefault="001F7021">
      <w:pPr>
        <w:pStyle w:val="BodyText"/>
        <w:ind w:left="108" w:right="886"/>
        <w:jc w:val="both"/>
      </w:pPr>
      <w:r>
        <w:t>This Staff Report, as required by Rule 214(1),</w:t>
      </w:r>
      <w:r>
        <w:t xml:space="preserve"> sets forth the applicable requirements and factual basis for the draft ROP terms and conditions including citations of the underlying applicable requirements, an explanation of any equivalent requirements included in the draft ROP pursuant to Rule 212(5),</w:t>
      </w:r>
      <w:r>
        <w:t xml:space="preserve"> and any determination made pursuant to Rule 213(6)(a)(ii) regarding requirements that are not applicable to the stationary source.</w:t>
      </w:r>
    </w:p>
    <w:p w14:paraId="75A535C3" w14:textId="77777777" w:rsidR="002B4FFB" w:rsidRDefault="002B4FFB">
      <w:pPr>
        <w:pStyle w:val="BodyText"/>
        <w:spacing w:before="2"/>
      </w:pPr>
    </w:p>
    <w:p w14:paraId="5E0C80DC" w14:textId="77777777" w:rsidR="002B4FFB" w:rsidRDefault="001F7021">
      <w:pPr>
        <w:pStyle w:val="Heading1"/>
        <w:jc w:val="both"/>
        <w:rPr>
          <w:u w:val="none"/>
        </w:rPr>
      </w:pPr>
      <w:r>
        <w:rPr>
          <w:u w:val="thick"/>
        </w:rPr>
        <w:t>General Information</w:t>
      </w:r>
    </w:p>
    <w:p w14:paraId="20B85E0D" w14:textId="77777777" w:rsidR="002B4FFB" w:rsidRDefault="002B4FFB">
      <w:pPr>
        <w:pStyle w:val="BodyText"/>
        <w:spacing w:after="1"/>
        <w:rPr>
          <w:b/>
          <w:sz w:val="23"/>
        </w:rPr>
      </w:pPr>
    </w:p>
    <w:tbl>
      <w:tblPr>
        <w:tblW w:w="0" w:type="auto"/>
        <w:tblInd w:w="2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040"/>
        <w:gridCol w:w="5220"/>
      </w:tblGrid>
      <w:tr w:rsidR="002B4FFB" w14:paraId="209E7C6A" w14:textId="77777777">
        <w:trPr>
          <w:trHeight w:val="759"/>
        </w:trPr>
        <w:tc>
          <w:tcPr>
            <w:tcW w:w="5040" w:type="dxa"/>
            <w:tcBorders>
              <w:bottom w:val="single" w:sz="6" w:space="0" w:color="000000"/>
              <w:right w:val="single" w:sz="4" w:space="0" w:color="000000"/>
            </w:tcBorders>
          </w:tcPr>
          <w:p w14:paraId="5BFCE24D" w14:textId="77777777" w:rsidR="002B4FFB" w:rsidRDefault="001F7021">
            <w:pPr>
              <w:pStyle w:val="TableParagraph"/>
              <w:spacing w:before="1" w:line="240" w:lineRule="auto"/>
            </w:pPr>
            <w:r>
              <w:t>Stationary Source Mailing Address:</w:t>
            </w:r>
          </w:p>
        </w:tc>
        <w:tc>
          <w:tcPr>
            <w:tcW w:w="5220" w:type="dxa"/>
            <w:tcBorders>
              <w:left w:val="single" w:sz="4" w:space="0" w:color="000000"/>
              <w:bottom w:val="single" w:sz="6" w:space="0" w:color="000000"/>
            </w:tcBorders>
          </w:tcPr>
          <w:p w14:paraId="0F828C0D" w14:textId="77777777" w:rsidR="002B4FFB" w:rsidRDefault="001F7021">
            <w:pPr>
              <w:pStyle w:val="TableParagraph"/>
              <w:spacing w:before="1" w:line="240" w:lineRule="auto"/>
              <w:ind w:left="110" w:right="1284"/>
            </w:pPr>
            <w:r>
              <w:t>Michigan Automotive Compressor, Inc. 2400 North Dearing Road</w:t>
            </w:r>
          </w:p>
          <w:p w14:paraId="1E438DAA" w14:textId="77777777" w:rsidR="002B4FFB" w:rsidRDefault="001F7021">
            <w:pPr>
              <w:pStyle w:val="TableParagraph"/>
              <w:spacing w:before="1" w:line="232" w:lineRule="exact"/>
              <w:ind w:left="110"/>
            </w:pPr>
            <w:r>
              <w:t>Parma, Michigan 49269</w:t>
            </w:r>
          </w:p>
        </w:tc>
      </w:tr>
      <w:tr w:rsidR="002B4FFB" w14:paraId="1CD4D6DE" w14:textId="77777777">
        <w:trPr>
          <w:trHeight w:val="272"/>
        </w:trPr>
        <w:tc>
          <w:tcPr>
            <w:tcW w:w="5040" w:type="dxa"/>
            <w:tcBorders>
              <w:top w:val="single" w:sz="6" w:space="0" w:color="000000"/>
              <w:bottom w:val="single" w:sz="6" w:space="0" w:color="000000"/>
              <w:right w:val="single" w:sz="4" w:space="0" w:color="000000"/>
            </w:tcBorders>
          </w:tcPr>
          <w:p w14:paraId="7B17B72F" w14:textId="77777777" w:rsidR="002B4FFB" w:rsidRDefault="001F7021">
            <w:pPr>
              <w:pStyle w:val="TableParagraph"/>
              <w:spacing w:before="2" w:line="251" w:lineRule="exact"/>
            </w:pPr>
            <w:r>
              <w:t>Source Registration Number (SRN):</w:t>
            </w:r>
          </w:p>
        </w:tc>
        <w:tc>
          <w:tcPr>
            <w:tcW w:w="5220" w:type="dxa"/>
            <w:tcBorders>
              <w:top w:val="single" w:sz="6" w:space="0" w:color="000000"/>
              <w:left w:val="single" w:sz="4" w:space="0" w:color="000000"/>
              <w:bottom w:val="single" w:sz="6" w:space="0" w:color="000000"/>
            </w:tcBorders>
          </w:tcPr>
          <w:p w14:paraId="57DB8D9E" w14:textId="77777777" w:rsidR="002B4FFB" w:rsidRDefault="001F7021">
            <w:pPr>
              <w:pStyle w:val="TableParagraph"/>
              <w:spacing w:before="2" w:line="251" w:lineRule="exact"/>
              <w:ind w:left="110"/>
            </w:pPr>
            <w:r>
              <w:t>N1966</w:t>
            </w:r>
          </w:p>
        </w:tc>
      </w:tr>
      <w:tr w:rsidR="002B4FFB" w14:paraId="4ED24207" w14:textId="77777777">
        <w:trPr>
          <w:trHeight w:val="505"/>
        </w:trPr>
        <w:tc>
          <w:tcPr>
            <w:tcW w:w="5040" w:type="dxa"/>
            <w:tcBorders>
              <w:top w:val="single" w:sz="6" w:space="0" w:color="000000"/>
              <w:bottom w:val="single" w:sz="6" w:space="0" w:color="000000"/>
              <w:right w:val="single" w:sz="4" w:space="0" w:color="000000"/>
            </w:tcBorders>
          </w:tcPr>
          <w:p w14:paraId="2C43CEC7" w14:textId="77777777" w:rsidR="002B4FFB" w:rsidRDefault="001F7021">
            <w:pPr>
              <w:pStyle w:val="TableParagraph"/>
              <w:spacing w:before="7" w:line="252" w:lineRule="exact"/>
              <w:ind w:right="376"/>
            </w:pPr>
            <w:r>
              <w:t>North American Industry Classification System (NAICS) Code:</w:t>
            </w:r>
          </w:p>
        </w:tc>
        <w:tc>
          <w:tcPr>
            <w:tcW w:w="5220" w:type="dxa"/>
            <w:tcBorders>
              <w:top w:val="single" w:sz="6" w:space="0" w:color="000000"/>
              <w:left w:val="single" w:sz="4" w:space="0" w:color="000000"/>
              <w:bottom w:val="single" w:sz="6" w:space="0" w:color="000000"/>
            </w:tcBorders>
          </w:tcPr>
          <w:p w14:paraId="406070C0" w14:textId="77777777" w:rsidR="002B4FFB" w:rsidRDefault="001F7021">
            <w:pPr>
              <w:pStyle w:val="TableParagraph"/>
              <w:spacing w:before="2" w:line="240" w:lineRule="auto"/>
              <w:ind w:left="110"/>
            </w:pPr>
            <w:r>
              <w:t>336390</w:t>
            </w:r>
          </w:p>
        </w:tc>
      </w:tr>
      <w:tr w:rsidR="002B4FFB" w14:paraId="06F70CDA" w14:textId="77777777">
        <w:trPr>
          <w:trHeight w:val="248"/>
        </w:trPr>
        <w:tc>
          <w:tcPr>
            <w:tcW w:w="5040" w:type="dxa"/>
            <w:tcBorders>
              <w:top w:val="single" w:sz="6" w:space="0" w:color="000000"/>
              <w:bottom w:val="single" w:sz="6" w:space="0" w:color="000000"/>
              <w:right w:val="single" w:sz="4" w:space="0" w:color="000000"/>
            </w:tcBorders>
          </w:tcPr>
          <w:p w14:paraId="733BDCEF" w14:textId="77777777" w:rsidR="002B4FFB" w:rsidRDefault="001F7021">
            <w:pPr>
              <w:pStyle w:val="TableParagraph"/>
              <w:spacing w:line="229" w:lineRule="exact"/>
            </w:pPr>
            <w:r>
              <w:t>Number of Stationary Source Sections:</w:t>
            </w:r>
          </w:p>
        </w:tc>
        <w:tc>
          <w:tcPr>
            <w:tcW w:w="5220" w:type="dxa"/>
            <w:tcBorders>
              <w:top w:val="single" w:sz="6" w:space="0" w:color="000000"/>
              <w:left w:val="single" w:sz="4" w:space="0" w:color="000000"/>
              <w:bottom w:val="single" w:sz="6" w:space="0" w:color="000000"/>
            </w:tcBorders>
          </w:tcPr>
          <w:p w14:paraId="5A97A739" w14:textId="77777777" w:rsidR="002B4FFB" w:rsidRDefault="001F7021">
            <w:pPr>
              <w:pStyle w:val="TableParagraph"/>
              <w:spacing w:line="229" w:lineRule="exact"/>
              <w:ind w:left="110"/>
            </w:pPr>
            <w:r>
              <w:t>1</w:t>
            </w:r>
          </w:p>
        </w:tc>
      </w:tr>
      <w:tr w:rsidR="002B4FFB" w14:paraId="66CEA208" w14:textId="77777777">
        <w:trPr>
          <w:trHeight w:val="253"/>
        </w:trPr>
        <w:tc>
          <w:tcPr>
            <w:tcW w:w="5040" w:type="dxa"/>
            <w:tcBorders>
              <w:top w:val="single" w:sz="6" w:space="0" w:color="000000"/>
              <w:bottom w:val="single" w:sz="6" w:space="0" w:color="000000"/>
              <w:right w:val="single" w:sz="4" w:space="0" w:color="000000"/>
            </w:tcBorders>
          </w:tcPr>
          <w:p w14:paraId="4EB4C430" w14:textId="77777777" w:rsidR="002B4FFB" w:rsidRDefault="001F7021">
            <w:pPr>
              <w:pStyle w:val="TableParagraph"/>
              <w:spacing w:line="234" w:lineRule="exact"/>
            </w:pPr>
            <w:r>
              <w:t>Is Application for a Renewal or Initial Issuance?</w:t>
            </w:r>
          </w:p>
        </w:tc>
        <w:tc>
          <w:tcPr>
            <w:tcW w:w="5220" w:type="dxa"/>
            <w:tcBorders>
              <w:top w:val="single" w:sz="6" w:space="0" w:color="000000"/>
              <w:left w:val="single" w:sz="4" w:space="0" w:color="000000"/>
              <w:bottom w:val="single" w:sz="6" w:space="0" w:color="000000"/>
            </w:tcBorders>
          </w:tcPr>
          <w:p w14:paraId="07D739BC" w14:textId="77777777" w:rsidR="002B4FFB" w:rsidRDefault="001F7021">
            <w:pPr>
              <w:pStyle w:val="TableParagraph"/>
              <w:spacing w:line="234" w:lineRule="exact"/>
              <w:ind w:left="110"/>
            </w:pPr>
            <w:r>
              <w:t>Renewal</w:t>
            </w:r>
          </w:p>
        </w:tc>
      </w:tr>
      <w:tr w:rsidR="002B4FFB" w14:paraId="6B66475B" w14:textId="77777777">
        <w:trPr>
          <w:trHeight w:val="251"/>
        </w:trPr>
        <w:tc>
          <w:tcPr>
            <w:tcW w:w="5040" w:type="dxa"/>
            <w:tcBorders>
              <w:top w:val="single" w:sz="6" w:space="0" w:color="000000"/>
              <w:bottom w:val="single" w:sz="6" w:space="0" w:color="000000"/>
              <w:right w:val="single" w:sz="4" w:space="0" w:color="000000"/>
            </w:tcBorders>
          </w:tcPr>
          <w:p w14:paraId="202B0AB7" w14:textId="77777777" w:rsidR="002B4FFB" w:rsidRDefault="001F7021">
            <w:pPr>
              <w:pStyle w:val="TableParagraph"/>
            </w:pPr>
            <w:r>
              <w:t>Application Number:</w:t>
            </w:r>
          </w:p>
        </w:tc>
        <w:tc>
          <w:tcPr>
            <w:tcW w:w="5220" w:type="dxa"/>
            <w:tcBorders>
              <w:top w:val="single" w:sz="6" w:space="0" w:color="000000"/>
              <w:left w:val="single" w:sz="4" w:space="0" w:color="000000"/>
              <w:bottom w:val="single" w:sz="6" w:space="0" w:color="000000"/>
            </w:tcBorders>
          </w:tcPr>
          <w:p w14:paraId="2E46C0FC" w14:textId="77777777" w:rsidR="002B4FFB" w:rsidRDefault="001F7021">
            <w:pPr>
              <w:pStyle w:val="TableParagraph"/>
              <w:ind w:left="110"/>
            </w:pPr>
            <w:r>
              <w:t>202000038</w:t>
            </w:r>
          </w:p>
        </w:tc>
      </w:tr>
      <w:tr w:rsidR="002B4FFB" w14:paraId="3B174AEC" w14:textId="77777777">
        <w:trPr>
          <w:trHeight w:val="505"/>
        </w:trPr>
        <w:tc>
          <w:tcPr>
            <w:tcW w:w="5040" w:type="dxa"/>
            <w:tcBorders>
              <w:top w:val="single" w:sz="6" w:space="0" w:color="000000"/>
              <w:bottom w:val="single" w:sz="6" w:space="0" w:color="000000"/>
              <w:right w:val="single" w:sz="4" w:space="0" w:color="000000"/>
            </w:tcBorders>
          </w:tcPr>
          <w:p w14:paraId="4DCC56A8" w14:textId="77777777" w:rsidR="002B4FFB" w:rsidRDefault="001F7021">
            <w:pPr>
              <w:pStyle w:val="TableParagraph"/>
              <w:spacing w:before="2" w:line="240" w:lineRule="auto"/>
            </w:pPr>
            <w:r>
              <w:t>Responsible Official:</w:t>
            </w:r>
          </w:p>
        </w:tc>
        <w:tc>
          <w:tcPr>
            <w:tcW w:w="5220" w:type="dxa"/>
            <w:tcBorders>
              <w:top w:val="single" w:sz="6" w:space="0" w:color="000000"/>
              <w:left w:val="single" w:sz="4" w:space="0" w:color="000000"/>
              <w:bottom w:val="single" w:sz="6" w:space="0" w:color="000000"/>
            </w:tcBorders>
          </w:tcPr>
          <w:p w14:paraId="33255AC0" w14:textId="77777777" w:rsidR="002B4FFB" w:rsidRDefault="001F7021">
            <w:pPr>
              <w:pStyle w:val="TableParagraph"/>
              <w:spacing w:before="7" w:line="252" w:lineRule="exact"/>
              <w:ind w:left="110" w:right="713"/>
            </w:pPr>
            <w:r>
              <w:t xml:space="preserve">Bruce </w:t>
            </w:r>
            <w:proofErr w:type="spellStart"/>
            <w:r>
              <w:t>VerBurg</w:t>
            </w:r>
            <w:proofErr w:type="spellEnd"/>
            <w:r>
              <w:t>, Vice President of Operations 517-622-7000</w:t>
            </w:r>
          </w:p>
        </w:tc>
      </w:tr>
      <w:tr w:rsidR="002B4FFB" w14:paraId="634CE980" w14:textId="77777777">
        <w:trPr>
          <w:trHeight w:val="503"/>
        </w:trPr>
        <w:tc>
          <w:tcPr>
            <w:tcW w:w="5040" w:type="dxa"/>
            <w:tcBorders>
              <w:top w:val="single" w:sz="6" w:space="0" w:color="000000"/>
              <w:bottom w:val="single" w:sz="6" w:space="0" w:color="000000"/>
              <w:right w:val="single" w:sz="4" w:space="0" w:color="000000"/>
            </w:tcBorders>
          </w:tcPr>
          <w:p w14:paraId="07A20B0B" w14:textId="77777777" w:rsidR="002B4FFB" w:rsidRDefault="001F7021">
            <w:pPr>
              <w:pStyle w:val="TableParagraph"/>
              <w:spacing w:line="250" w:lineRule="exact"/>
            </w:pPr>
            <w:r>
              <w:t>AQD Contact:</w:t>
            </w:r>
          </w:p>
        </w:tc>
        <w:tc>
          <w:tcPr>
            <w:tcW w:w="5220" w:type="dxa"/>
            <w:tcBorders>
              <w:top w:val="single" w:sz="6" w:space="0" w:color="000000"/>
              <w:left w:val="single" w:sz="4" w:space="0" w:color="000000"/>
              <w:bottom w:val="single" w:sz="6" w:space="0" w:color="000000"/>
            </w:tcBorders>
          </w:tcPr>
          <w:p w14:paraId="6E8E4729" w14:textId="77777777" w:rsidR="002B4FFB" w:rsidRDefault="001F7021">
            <w:pPr>
              <w:pStyle w:val="TableParagraph"/>
              <w:spacing w:before="1" w:line="252" w:lineRule="exact"/>
              <w:ind w:left="110" w:right="219"/>
            </w:pPr>
            <w:r>
              <w:t>Stephanie Weems, Environmental Quality Analyst 517-416-3351</w:t>
            </w:r>
          </w:p>
        </w:tc>
      </w:tr>
      <w:tr w:rsidR="002B4FFB" w14:paraId="3EE74C23" w14:textId="77777777">
        <w:trPr>
          <w:trHeight w:val="249"/>
        </w:trPr>
        <w:tc>
          <w:tcPr>
            <w:tcW w:w="5040" w:type="dxa"/>
            <w:tcBorders>
              <w:top w:val="single" w:sz="6" w:space="0" w:color="000000"/>
              <w:bottom w:val="single" w:sz="6" w:space="0" w:color="000000"/>
              <w:right w:val="single" w:sz="4" w:space="0" w:color="000000"/>
            </w:tcBorders>
          </w:tcPr>
          <w:p w14:paraId="18A6CC36" w14:textId="77777777" w:rsidR="002B4FFB" w:rsidRDefault="001F7021">
            <w:pPr>
              <w:pStyle w:val="TableParagraph"/>
              <w:spacing w:line="229" w:lineRule="exact"/>
            </w:pPr>
            <w:r>
              <w:t>Date Application Received:</w:t>
            </w:r>
          </w:p>
        </w:tc>
        <w:tc>
          <w:tcPr>
            <w:tcW w:w="5220" w:type="dxa"/>
            <w:tcBorders>
              <w:top w:val="single" w:sz="6" w:space="0" w:color="000000"/>
              <w:left w:val="single" w:sz="4" w:space="0" w:color="000000"/>
              <w:bottom w:val="single" w:sz="6" w:space="0" w:color="000000"/>
            </w:tcBorders>
          </w:tcPr>
          <w:p w14:paraId="51F4FEFF" w14:textId="77777777" w:rsidR="002B4FFB" w:rsidRDefault="001F7021">
            <w:pPr>
              <w:pStyle w:val="TableParagraph"/>
              <w:spacing w:line="229" w:lineRule="exact"/>
              <w:ind w:left="110"/>
            </w:pPr>
            <w:r>
              <w:t>February 28, 2020</w:t>
            </w:r>
          </w:p>
        </w:tc>
      </w:tr>
      <w:tr w:rsidR="002B4FFB" w14:paraId="03AC0001" w14:textId="77777777">
        <w:trPr>
          <w:trHeight w:val="253"/>
        </w:trPr>
        <w:tc>
          <w:tcPr>
            <w:tcW w:w="5040" w:type="dxa"/>
            <w:tcBorders>
              <w:top w:val="single" w:sz="6" w:space="0" w:color="000000"/>
              <w:bottom w:val="single" w:sz="6" w:space="0" w:color="000000"/>
              <w:right w:val="single" w:sz="4" w:space="0" w:color="000000"/>
            </w:tcBorders>
          </w:tcPr>
          <w:p w14:paraId="4A60A9D7" w14:textId="77777777" w:rsidR="002B4FFB" w:rsidRDefault="001F7021">
            <w:pPr>
              <w:pStyle w:val="TableParagraph"/>
              <w:spacing w:line="234" w:lineRule="exact"/>
            </w:pPr>
            <w:r>
              <w:t>Date Application Was Administratively Complete:</w:t>
            </w:r>
          </w:p>
        </w:tc>
        <w:tc>
          <w:tcPr>
            <w:tcW w:w="5220" w:type="dxa"/>
            <w:tcBorders>
              <w:top w:val="single" w:sz="6" w:space="0" w:color="000000"/>
              <w:left w:val="single" w:sz="4" w:space="0" w:color="000000"/>
              <w:bottom w:val="single" w:sz="6" w:space="0" w:color="000000"/>
            </w:tcBorders>
          </w:tcPr>
          <w:p w14:paraId="79606FC0" w14:textId="77777777" w:rsidR="002B4FFB" w:rsidRDefault="001F7021">
            <w:pPr>
              <w:pStyle w:val="TableParagraph"/>
              <w:spacing w:line="234" w:lineRule="exact"/>
              <w:ind w:left="110"/>
            </w:pPr>
            <w:r>
              <w:t>February 28, 2020</w:t>
            </w:r>
          </w:p>
        </w:tc>
      </w:tr>
      <w:tr w:rsidR="002B4FFB" w14:paraId="6F6CD8C6" w14:textId="77777777">
        <w:trPr>
          <w:trHeight w:val="253"/>
        </w:trPr>
        <w:tc>
          <w:tcPr>
            <w:tcW w:w="5040" w:type="dxa"/>
            <w:tcBorders>
              <w:top w:val="single" w:sz="6" w:space="0" w:color="000000"/>
              <w:bottom w:val="single" w:sz="6" w:space="0" w:color="000000"/>
              <w:right w:val="single" w:sz="4" w:space="0" w:color="000000"/>
            </w:tcBorders>
          </w:tcPr>
          <w:p w14:paraId="7888E586" w14:textId="77777777" w:rsidR="002B4FFB" w:rsidRDefault="001F7021">
            <w:pPr>
              <w:pStyle w:val="TableParagraph"/>
              <w:spacing w:line="234" w:lineRule="exact"/>
            </w:pPr>
            <w:r>
              <w:t>Is Application Shield in Effect?</w:t>
            </w:r>
          </w:p>
        </w:tc>
        <w:tc>
          <w:tcPr>
            <w:tcW w:w="5220" w:type="dxa"/>
            <w:tcBorders>
              <w:top w:val="single" w:sz="6" w:space="0" w:color="000000"/>
              <w:left w:val="single" w:sz="4" w:space="0" w:color="000000"/>
              <w:bottom w:val="single" w:sz="6" w:space="0" w:color="000000"/>
            </w:tcBorders>
          </w:tcPr>
          <w:p w14:paraId="36DA4A9A" w14:textId="77777777" w:rsidR="002B4FFB" w:rsidRDefault="001F7021">
            <w:pPr>
              <w:pStyle w:val="TableParagraph"/>
              <w:spacing w:line="234" w:lineRule="exact"/>
              <w:ind w:left="110"/>
            </w:pPr>
            <w:r>
              <w:t>Yes</w:t>
            </w:r>
          </w:p>
        </w:tc>
      </w:tr>
      <w:tr w:rsidR="002B4FFB" w14:paraId="4018AA99" w14:textId="77777777">
        <w:trPr>
          <w:trHeight w:val="251"/>
        </w:trPr>
        <w:tc>
          <w:tcPr>
            <w:tcW w:w="5040" w:type="dxa"/>
            <w:tcBorders>
              <w:top w:val="single" w:sz="6" w:space="0" w:color="000000"/>
              <w:bottom w:val="single" w:sz="6" w:space="0" w:color="000000"/>
              <w:right w:val="single" w:sz="4" w:space="0" w:color="000000"/>
            </w:tcBorders>
          </w:tcPr>
          <w:p w14:paraId="3DC5142C" w14:textId="77777777" w:rsidR="002B4FFB" w:rsidRDefault="001F7021">
            <w:pPr>
              <w:pStyle w:val="TableParagraph"/>
            </w:pPr>
            <w:r>
              <w:t>Date Public Comment Begins:</w:t>
            </w:r>
          </w:p>
        </w:tc>
        <w:tc>
          <w:tcPr>
            <w:tcW w:w="5220" w:type="dxa"/>
            <w:tcBorders>
              <w:top w:val="single" w:sz="6" w:space="0" w:color="000000"/>
              <w:left w:val="single" w:sz="4" w:space="0" w:color="000000"/>
              <w:bottom w:val="single" w:sz="6" w:space="0" w:color="000000"/>
            </w:tcBorders>
          </w:tcPr>
          <w:p w14:paraId="4CA3B9B8" w14:textId="77777777" w:rsidR="002B4FFB" w:rsidRDefault="001F7021">
            <w:pPr>
              <w:pStyle w:val="TableParagraph"/>
              <w:ind w:left="110"/>
            </w:pPr>
            <w:r>
              <w:t>September 14, 2020</w:t>
            </w:r>
          </w:p>
        </w:tc>
      </w:tr>
      <w:tr w:rsidR="002B4FFB" w14:paraId="54AF6425" w14:textId="77777777">
        <w:trPr>
          <w:trHeight w:val="253"/>
        </w:trPr>
        <w:tc>
          <w:tcPr>
            <w:tcW w:w="5040" w:type="dxa"/>
            <w:tcBorders>
              <w:top w:val="single" w:sz="6" w:space="0" w:color="000000"/>
              <w:bottom w:val="double" w:sz="1" w:space="0" w:color="000000"/>
              <w:right w:val="single" w:sz="4" w:space="0" w:color="000000"/>
            </w:tcBorders>
          </w:tcPr>
          <w:p w14:paraId="0D5598DC" w14:textId="77777777" w:rsidR="002B4FFB" w:rsidRDefault="001F7021">
            <w:pPr>
              <w:pStyle w:val="TableParagraph"/>
              <w:spacing w:line="233" w:lineRule="exact"/>
            </w:pPr>
            <w:r>
              <w:t>Deadline for Public Comment:</w:t>
            </w:r>
          </w:p>
        </w:tc>
        <w:tc>
          <w:tcPr>
            <w:tcW w:w="5220" w:type="dxa"/>
            <w:tcBorders>
              <w:top w:val="single" w:sz="6" w:space="0" w:color="000000"/>
              <w:left w:val="single" w:sz="4" w:space="0" w:color="000000"/>
              <w:bottom w:val="double" w:sz="1" w:space="0" w:color="000000"/>
            </w:tcBorders>
          </w:tcPr>
          <w:p w14:paraId="27D5EB44" w14:textId="77777777" w:rsidR="002B4FFB" w:rsidRDefault="001F7021">
            <w:pPr>
              <w:pStyle w:val="TableParagraph"/>
              <w:spacing w:line="233" w:lineRule="exact"/>
              <w:ind w:left="110"/>
            </w:pPr>
            <w:r>
              <w:t>October 14, 2020</w:t>
            </w:r>
          </w:p>
        </w:tc>
      </w:tr>
    </w:tbl>
    <w:p w14:paraId="67A1D47A" w14:textId="77777777" w:rsidR="002B4FFB" w:rsidRDefault="002B4FFB">
      <w:pPr>
        <w:spacing w:line="233" w:lineRule="exact"/>
        <w:sectPr w:rsidR="002B4FFB">
          <w:pgSz w:w="12240" w:h="15840"/>
          <w:pgMar w:top="1220" w:right="120" w:bottom="940" w:left="900" w:header="0" w:footer="743" w:gutter="0"/>
          <w:cols w:space="720"/>
        </w:sectPr>
      </w:pPr>
    </w:p>
    <w:p w14:paraId="466141E2" w14:textId="77777777" w:rsidR="002B4FFB" w:rsidRDefault="001F7021">
      <w:pPr>
        <w:spacing w:before="68"/>
        <w:ind w:left="107"/>
        <w:rPr>
          <w:b/>
        </w:rPr>
      </w:pPr>
      <w:r>
        <w:rPr>
          <w:b/>
          <w:u w:val="thick"/>
        </w:rPr>
        <w:lastRenderedPageBreak/>
        <w:t>Source Description</w:t>
      </w:r>
    </w:p>
    <w:p w14:paraId="1C2954B8" w14:textId="77777777" w:rsidR="002B4FFB" w:rsidRDefault="002B4FFB">
      <w:pPr>
        <w:pStyle w:val="BodyText"/>
        <w:spacing w:before="10"/>
        <w:rPr>
          <w:b/>
          <w:sz w:val="13"/>
        </w:rPr>
      </w:pPr>
    </w:p>
    <w:p w14:paraId="78A3D39C" w14:textId="77777777" w:rsidR="002B4FFB" w:rsidRDefault="001F7021">
      <w:pPr>
        <w:pStyle w:val="BodyText"/>
        <w:spacing w:before="94"/>
        <w:ind w:left="108" w:right="883"/>
        <w:jc w:val="both"/>
      </w:pPr>
      <w:r>
        <w:t xml:space="preserve">Michigan Automotive Compressor, Inc. (MACI) manufactures automotive compressors with magnetic clutches for air conditioning systems. MACI is located at 2400 North Dearing Road, Parma in Jackson County, Michigan. This facility </w:t>
      </w:r>
      <w:proofErr w:type="gramStart"/>
      <w:r>
        <w:t>is located in</w:t>
      </w:r>
      <w:proofErr w:type="gramEnd"/>
      <w:r>
        <w:t xml:space="preserve"> a rural area nex</w:t>
      </w:r>
      <w:r>
        <w:t>t to Interstate 94, west of the City of Jackson. MACI melts clean aluminum ingots in reverberatory melt furnaces controlled by fabric filter baghouses. The aluminum is transported to high pressure die cast machines that make the housing for the compressors</w:t>
      </w:r>
      <w:r>
        <w:t>. The other compressor components are machined, coated, and assembled on conveyor lines. Coatings are rubber, adhesive, or paint, and they are applied by robotic applicators. Some coating lines utilize permanent total enclosures (PTE) and regenerative ther</w:t>
      </w:r>
      <w:r>
        <w:t>mal oxidizers (RTOs) as air pollution control equipment. Other activities at this facility include natural gas fired process boilers and heaters, as well as numerous exempt parts washers.</w:t>
      </w:r>
    </w:p>
    <w:p w14:paraId="3FF9ED6D" w14:textId="77777777" w:rsidR="002B4FFB" w:rsidRDefault="002B4FFB">
      <w:pPr>
        <w:pStyle w:val="BodyText"/>
        <w:spacing w:before="9"/>
        <w:rPr>
          <w:sz w:val="21"/>
        </w:rPr>
      </w:pPr>
    </w:p>
    <w:p w14:paraId="72163BD9" w14:textId="77777777" w:rsidR="002B4FFB" w:rsidRDefault="001F7021">
      <w:pPr>
        <w:pStyle w:val="BodyText"/>
        <w:ind w:left="108" w:right="886"/>
        <w:jc w:val="both"/>
      </w:pPr>
      <w:bookmarkStart w:id="4" w:name="The_following_table_lists_stationary_sou"/>
      <w:bookmarkEnd w:id="4"/>
      <w:r>
        <w:t>The following table lists stationary source emission information as</w:t>
      </w:r>
      <w:r>
        <w:t xml:space="preserve"> reported to the Michigan Air Emissions Reporting System (MAERS) for the year </w:t>
      </w:r>
      <w:r>
        <w:rPr>
          <w:b/>
        </w:rPr>
        <w:t>2019</w:t>
      </w:r>
      <w:r>
        <w:t>.</w:t>
      </w:r>
    </w:p>
    <w:p w14:paraId="5A02D816" w14:textId="77777777" w:rsidR="002B4FFB" w:rsidRDefault="002B4FFB">
      <w:pPr>
        <w:pStyle w:val="BodyText"/>
        <w:spacing w:before="2"/>
      </w:pPr>
    </w:p>
    <w:p w14:paraId="3A289F55" w14:textId="77777777" w:rsidR="002B4FFB" w:rsidRDefault="001F7021">
      <w:pPr>
        <w:pStyle w:val="Heading1"/>
        <w:ind w:left="2964"/>
        <w:rPr>
          <w:u w:val="none"/>
        </w:rPr>
      </w:pPr>
      <w:r>
        <w:rPr>
          <w:u w:val="none"/>
        </w:rPr>
        <w:t>TOTAL STATIONARY SOURCE EMISSIONS</w:t>
      </w:r>
    </w:p>
    <w:p w14:paraId="43754377" w14:textId="77777777" w:rsidR="002B4FFB" w:rsidRDefault="002B4FFB">
      <w:pPr>
        <w:pStyle w:val="BodyText"/>
        <w:spacing w:before="8"/>
        <w:rPr>
          <w:b/>
        </w:rPr>
      </w:pPr>
    </w:p>
    <w:tbl>
      <w:tblPr>
        <w:tblW w:w="0" w:type="auto"/>
        <w:tblInd w:w="2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129"/>
        <w:gridCol w:w="5131"/>
      </w:tblGrid>
      <w:tr w:rsidR="002B4FFB" w14:paraId="14AEAFFA" w14:textId="77777777">
        <w:trPr>
          <w:trHeight w:val="232"/>
        </w:trPr>
        <w:tc>
          <w:tcPr>
            <w:tcW w:w="5129" w:type="dxa"/>
            <w:tcBorders>
              <w:left w:val="double" w:sz="2" w:space="0" w:color="000000"/>
              <w:bottom w:val="single" w:sz="4" w:space="0" w:color="000000"/>
              <w:right w:val="single" w:sz="4" w:space="0" w:color="000000"/>
            </w:tcBorders>
            <w:shd w:val="clear" w:color="auto" w:fill="E4E4E4"/>
          </w:tcPr>
          <w:p w14:paraId="04A9FFEE" w14:textId="77777777" w:rsidR="002B4FFB" w:rsidRDefault="001F7021">
            <w:pPr>
              <w:pStyle w:val="TableParagraph"/>
              <w:spacing w:before="1" w:line="211" w:lineRule="exact"/>
              <w:ind w:left="2101" w:right="2105"/>
              <w:jc w:val="center"/>
              <w:rPr>
                <w:b/>
                <w:sz w:val="20"/>
              </w:rPr>
            </w:pPr>
            <w:r>
              <w:rPr>
                <w:b/>
                <w:sz w:val="20"/>
              </w:rPr>
              <w:t>Pollutant</w:t>
            </w:r>
          </w:p>
        </w:tc>
        <w:tc>
          <w:tcPr>
            <w:tcW w:w="5131" w:type="dxa"/>
            <w:tcBorders>
              <w:left w:val="single" w:sz="4" w:space="0" w:color="000000"/>
              <w:bottom w:val="single" w:sz="4" w:space="0" w:color="000000"/>
              <w:right w:val="double" w:sz="2" w:space="0" w:color="000000"/>
            </w:tcBorders>
            <w:shd w:val="clear" w:color="auto" w:fill="E4E4E4"/>
          </w:tcPr>
          <w:p w14:paraId="08CBFCD2" w14:textId="77777777" w:rsidR="002B4FFB" w:rsidRDefault="001F7021">
            <w:pPr>
              <w:pStyle w:val="TableParagraph"/>
              <w:spacing w:before="1" w:line="211" w:lineRule="exact"/>
              <w:ind w:left="1877" w:right="1852"/>
              <w:jc w:val="center"/>
              <w:rPr>
                <w:b/>
                <w:sz w:val="20"/>
              </w:rPr>
            </w:pPr>
            <w:r>
              <w:rPr>
                <w:b/>
                <w:sz w:val="20"/>
              </w:rPr>
              <w:t>Tons per Year</w:t>
            </w:r>
          </w:p>
        </w:tc>
      </w:tr>
      <w:tr w:rsidR="002B4FFB" w14:paraId="0CB35D58" w14:textId="77777777">
        <w:trPr>
          <w:trHeight w:val="230"/>
        </w:trPr>
        <w:tc>
          <w:tcPr>
            <w:tcW w:w="5129" w:type="dxa"/>
            <w:tcBorders>
              <w:top w:val="single" w:sz="4" w:space="0" w:color="000000"/>
              <w:left w:val="double" w:sz="2" w:space="0" w:color="000000"/>
              <w:bottom w:val="single" w:sz="4" w:space="0" w:color="000000"/>
              <w:right w:val="single" w:sz="4" w:space="0" w:color="000000"/>
            </w:tcBorders>
          </w:tcPr>
          <w:p w14:paraId="0CA1B954" w14:textId="77777777" w:rsidR="002B4FFB" w:rsidRDefault="001F7021">
            <w:pPr>
              <w:pStyle w:val="TableParagraph"/>
              <w:spacing w:line="210" w:lineRule="exact"/>
              <w:rPr>
                <w:sz w:val="20"/>
              </w:rPr>
            </w:pPr>
            <w:r>
              <w:rPr>
                <w:sz w:val="20"/>
              </w:rPr>
              <w:t>Carbon Monoxide (CO)</w:t>
            </w:r>
          </w:p>
        </w:tc>
        <w:tc>
          <w:tcPr>
            <w:tcW w:w="5131" w:type="dxa"/>
            <w:tcBorders>
              <w:top w:val="single" w:sz="4" w:space="0" w:color="000000"/>
              <w:left w:val="single" w:sz="4" w:space="0" w:color="000000"/>
              <w:bottom w:val="single" w:sz="4" w:space="0" w:color="000000"/>
              <w:right w:val="double" w:sz="2" w:space="0" w:color="000000"/>
            </w:tcBorders>
          </w:tcPr>
          <w:p w14:paraId="334F8523" w14:textId="77777777" w:rsidR="002B4FFB" w:rsidRDefault="001F7021">
            <w:pPr>
              <w:pStyle w:val="TableParagraph"/>
              <w:spacing w:line="210" w:lineRule="exact"/>
              <w:ind w:left="1877" w:right="1850"/>
              <w:jc w:val="center"/>
              <w:rPr>
                <w:sz w:val="20"/>
              </w:rPr>
            </w:pPr>
            <w:r>
              <w:rPr>
                <w:sz w:val="20"/>
              </w:rPr>
              <w:t>10.93</w:t>
            </w:r>
          </w:p>
        </w:tc>
      </w:tr>
      <w:tr w:rsidR="002B4FFB" w14:paraId="4E982A52" w14:textId="77777777">
        <w:trPr>
          <w:trHeight w:val="229"/>
        </w:trPr>
        <w:tc>
          <w:tcPr>
            <w:tcW w:w="5129" w:type="dxa"/>
            <w:tcBorders>
              <w:top w:val="single" w:sz="4" w:space="0" w:color="000000"/>
              <w:left w:val="double" w:sz="2" w:space="0" w:color="000000"/>
              <w:bottom w:val="single" w:sz="4" w:space="0" w:color="000000"/>
              <w:right w:val="single" w:sz="4" w:space="0" w:color="000000"/>
            </w:tcBorders>
          </w:tcPr>
          <w:p w14:paraId="5810B356" w14:textId="77777777" w:rsidR="002B4FFB" w:rsidRDefault="001F7021">
            <w:pPr>
              <w:pStyle w:val="TableParagraph"/>
              <w:spacing w:line="210" w:lineRule="exact"/>
              <w:rPr>
                <w:sz w:val="20"/>
              </w:rPr>
            </w:pPr>
            <w:r>
              <w:rPr>
                <w:sz w:val="20"/>
              </w:rPr>
              <w:t>Lead (Pb)</w:t>
            </w:r>
          </w:p>
        </w:tc>
        <w:tc>
          <w:tcPr>
            <w:tcW w:w="5131" w:type="dxa"/>
            <w:tcBorders>
              <w:top w:val="single" w:sz="4" w:space="0" w:color="000000"/>
              <w:left w:val="single" w:sz="4" w:space="0" w:color="000000"/>
              <w:bottom w:val="single" w:sz="4" w:space="0" w:color="000000"/>
              <w:right w:val="double" w:sz="2" w:space="0" w:color="000000"/>
            </w:tcBorders>
          </w:tcPr>
          <w:p w14:paraId="13BCD731" w14:textId="77777777" w:rsidR="002B4FFB" w:rsidRDefault="001F7021">
            <w:pPr>
              <w:pStyle w:val="TableParagraph"/>
              <w:spacing w:line="210" w:lineRule="exact"/>
              <w:ind w:left="27"/>
              <w:jc w:val="center"/>
              <w:rPr>
                <w:sz w:val="20"/>
              </w:rPr>
            </w:pPr>
            <w:r>
              <w:rPr>
                <w:w w:val="99"/>
                <w:sz w:val="20"/>
              </w:rPr>
              <w:t>0</w:t>
            </w:r>
          </w:p>
        </w:tc>
      </w:tr>
      <w:tr w:rsidR="002B4FFB" w14:paraId="4FAB5DF0" w14:textId="77777777">
        <w:trPr>
          <w:trHeight w:val="230"/>
        </w:trPr>
        <w:tc>
          <w:tcPr>
            <w:tcW w:w="5129" w:type="dxa"/>
            <w:tcBorders>
              <w:top w:val="single" w:sz="4" w:space="0" w:color="000000"/>
              <w:left w:val="double" w:sz="2" w:space="0" w:color="000000"/>
              <w:bottom w:val="single" w:sz="4" w:space="0" w:color="000000"/>
              <w:right w:val="single" w:sz="4" w:space="0" w:color="000000"/>
            </w:tcBorders>
          </w:tcPr>
          <w:p w14:paraId="3E9C7C7B" w14:textId="77777777" w:rsidR="002B4FFB" w:rsidRDefault="001F7021">
            <w:pPr>
              <w:pStyle w:val="TableParagraph"/>
              <w:spacing w:line="210" w:lineRule="exact"/>
              <w:rPr>
                <w:sz w:val="20"/>
              </w:rPr>
            </w:pPr>
            <w:r>
              <w:rPr>
                <w:position w:val="1"/>
                <w:sz w:val="20"/>
              </w:rPr>
              <w:t>Nitrogen Oxides (NO</w:t>
            </w:r>
            <w:r>
              <w:rPr>
                <w:sz w:val="13"/>
              </w:rPr>
              <w:t>x</w:t>
            </w:r>
            <w:r>
              <w:rPr>
                <w:position w:val="1"/>
                <w:sz w:val="20"/>
              </w:rPr>
              <w:t>)</w:t>
            </w:r>
          </w:p>
        </w:tc>
        <w:tc>
          <w:tcPr>
            <w:tcW w:w="5131" w:type="dxa"/>
            <w:tcBorders>
              <w:top w:val="single" w:sz="4" w:space="0" w:color="000000"/>
              <w:left w:val="single" w:sz="4" w:space="0" w:color="000000"/>
              <w:bottom w:val="single" w:sz="4" w:space="0" w:color="000000"/>
              <w:right w:val="double" w:sz="2" w:space="0" w:color="000000"/>
            </w:tcBorders>
          </w:tcPr>
          <w:p w14:paraId="14605BB8" w14:textId="77777777" w:rsidR="002B4FFB" w:rsidRDefault="001F7021">
            <w:pPr>
              <w:pStyle w:val="TableParagraph"/>
              <w:spacing w:line="210" w:lineRule="exact"/>
              <w:ind w:left="1877" w:right="1850"/>
              <w:jc w:val="center"/>
              <w:rPr>
                <w:sz w:val="20"/>
              </w:rPr>
            </w:pPr>
            <w:r>
              <w:rPr>
                <w:sz w:val="20"/>
              </w:rPr>
              <w:t>13.09</w:t>
            </w:r>
          </w:p>
        </w:tc>
      </w:tr>
      <w:tr w:rsidR="002B4FFB" w14:paraId="650BFD85" w14:textId="77777777">
        <w:trPr>
          <w:trHeight w:val="230"/>
        </w:trPr>
        <w:tc>
          <w:tcPr>
            <w:tcW w:w="5129" w:type="dxa"/>
            <w:tcBorders>
              <w:top w:val="single" w:sz="4" w:space="0" w:color="000000"/>
              <w:left w:val="double" w:sz="2" w:space="0" w:color="000000"/>
              <w:bottom w:val="single" w:sz="4" w:space="0" w:color="000000"/>
              <w:right w:val="single" w:sz="4" w:space="0" w:color="000000"/>
            </w:tcBorders>
          </w:tcPr>
          <w:p w14:paraId="7C3F8D96" w14:textId="77777777" w:rsidR="002B4FFB" w:rsidRDefault="001F7021">
            <w:pPr>
              <w:pStyle w:val="TableParagraph"/>
              <w:spacing w:line="210" w:lineRule="exact"/>
              <w:rPr>
                <w:sz w:val="20"/>
              </w:rPr>
            </w:pPr>
            <w:r>
              <w:rPr>
                <w:sz w:val="20"/>
              </w:rPr>
              <w:t>Particulate Matter (PM)</w:t>
            </w:r>
          </w:p>
        </w:tc>
        <w:tc>
          <w:tcPr>
            <w:tcW w:w="5131" w:type="dxa"/>
            <w:tcBorders>
              <w:top w:val="single" w:sz="4" w:space="0" w:color="000000"/>
              <w:left w:val="single" w:sz="4" w:space="0" w:color="000000"/>
              <w:bottom w:val="single" w:sz="4" w:space="0" w:color="000000"/>
              <w:right w:val="double" w:sz="2" w:space="0" w:color="000000"/>
            </w:tcBorders>
          </w:tcPr>
          <w:p w14:paraId="2D27A5AF" w14:textId="77777777" w:rsidR="002B4FFB" w:rsidRDefault="001F7021">
            <w:pPr>
              <w:pStyle w:val="TableParagraph"/>
              <w:spacing w:line="210" w:lineRule="exact"/>
              <w:ind w:left="1876" w:right="1852"/>
              <w:jc w:val="center"/>
              <w:rPr>
                <w:sz w:val="20"/>
              </w:rPr>
            </w:pPr>
            <w:r>
              <w:rPr>
                <w:sz w:val="20"/>
              </w:rPr>
              <w:t>4.64</w:t>
            </w:r>
          </w:p>
        </w:tc>
      </w:tr>
      <w:tr w:rsidR="002B4FFB" w14:paraId="1ECD4F05" w14:textId="77777777">
        <w:trPr>
          <w:trHeight w:val="229"/>
        </w:trPr>
        <w:tc>
          <w:tcPr>
            <w:tcW w:w="5129" w:type="dxa"/>
            <w:tcBorders>
              <w:top w:val="single" w:sz="4" w:space="0" w:color="000000"/>
              <w:left w:val="double" w:sz="2" w:space="0" w:color="000000"/>
              <w:bottom w:val="single" w:sz="4" w:space="0" w:color="000000"/>
              <w:right w:val="single" w:sz="4" w:space="0" w:color="000000"/>
            </w:tcBorders>
          </w:tcPr>
          <w:p w14:paraId="1809B415" w14:textId="77777777" w:rsidR="002B4FFB" w:rsidRDefault="001F7021">
            <w:pPr>
              <w:pStyle w:val="TableParagraph"/>
              <w:spacing w:line="210" w:lineRule="exact"/>
              <w:rPr>
                <w:sz w:val="20"/>
              </w:rPr>
            </w:pPr>
            <w:r>
              <w:rPr>
                <w:position w:val="1"/>
                <w:sz w:val="20"/>
              </w:rPr>
              <w:t>Sulfur Dioxide (SO</w:t>
            </w:r>
            <w:r>
              <w:rPr>
                <w:sz w:val="13"/>
              </w:rPr>
              <w:t>2</w:t>
            </w:r>
            <w:r>
              <w:rPr>
                <w:position w:val="1"/>
                <w:sz w:val="20"/>
              </w:rPr>
              <w:t>)</w:t>
            </w:r>
          </w:p>
        </w:tc>
        <w:tc>
          <w:tcPr>
            <w:tcW w:w="5131" w:type="dxa"/>
            <w:tcBorders>
              <w:top w:val="single" w:sz="4" w:space="0" w:color="000000"/>
              <w:left w:val="single" w:sz="4" w:space="0" w:color="000000"/>
              <w:bottom w:val="single" w:sz="4" w:space="0" w:color="000000"/>
              <w:right w:val="double" w:sz="2" w:space="0" w:color="000000"/>
            </w:tcBorders>
          </w:tcPr>
          <w:p w14:paraId="474E3829" w14:textId="77777777" w:rsidR="002B4FFB" w:rsidRDefault="001F7021">
            <w:pPr>
              <w:pStyle w:val="TableParagraph"/>
              <w:spacing w:line="210" w:lineRule="exact"/>
              <w:ind w:left="1876" w:right="1852"/>
              <w:jc w:val="center"/>
              <w:rPr>
                <w:sz w:val="20"/>
              </w:rPr>
            </w:pPr>
            <w:r>
              <w:rPr>
                <w:sz w:val="20"/>
              </w:rPr>
              <w:t>0.22</w:t>
            </w:r>
          </w:p>
        </w:tc>
      </w:tr>
      <w:tr w:rsidR="002B4FFB" w14:paraId="55328863" w14:textId="77777777">
        <w:trPr>
          <w:trHeight w:val="229"/>
        </w:trPr>
        <w:tc>
          <w:tcPr>
            <w:tcW w:w="5129" w:type="dxa"/>
            <w:tcBorders>
              <w:top w:val="single" w:sz="4" w:space="0" w:color="000000"/>
              <w:left w:val="double" w:sz="2" w:space="0" w:color="000000"/>
              <w:bottom w:val="double" w:sz="2" w:space="0" w:color="000000"/>
              <w:right w:val="single" w:sz="4" w:space="0" w:color="000000"/>
            </w:tcBorders>
          </w:tcPr>
          <w:p w14:paraId="455D294A" w14:textId="77777777" w:rsidR="002B4FFB" w:rsidRDefault="001F7021">
            <w:pPr>
              <w:pStyle w:val="TableParagraph"/>
              <w:spacing w:line="209" w:lineRule="exact"/>
              <w:rPr>
                <w:sz w:val="20"/>
              </w:rPr>
            </w:pPr>
            <w:r>
              <w:rPr>
                <w:sz w:val="20"/>
              </w:rPr>
              <w:t>Volatile Organic Compounds (VOCs)</w:t>
            </w:r>
          </w:p>
        </w:tc>
        <w:tc>
          <w:tcPr>
            <w:tcW w:w="5131" w:type="dxa"/>
            <w:tcBorders>
              <w:top w:val="single" w:sz="4" w:space="0" w:color="000000"/>
              <w:left w:val="single" w:sz="4" w:space="0" w:color="000000"/>
              <w:bottom w:val="double" w:sz="2" w:space="0" w:color="000000"/>
              <w:right w:val="double" w:sz="2" w:space="0" w:color="000000"/>
            </w:tcBorders>
          </w:tcPr>
          <w:p w14:paraId="2205D7BF" w14:textId="77777777" w:rsidR="002B4FFB" w:rsidRDefault="001F7021">
            <w:pPr>
              <w:pStyle w:val="TableParagraph"/>
              <w:spacing w:line="209" w:lineRule="exact"/>
              <w:ind w:left="1876" w:right="1852"/>
              <w:jc w:val="center"/>
              <w:rPr>
                <w:sz w:val="20"/>
              </w:rPr>
            </w:pPr>
            <w:r>
              <w:rPr>
                <w:sz w:val="20"/>
              </w:rPr>
              <w:t>5.92</w:t>
            </w:r>
          </w:p>
        </w:tc>
      </w:tr>
    </w:tbl>
    <w:p w14:paraId="0EA71B2E" w14:textId="77777777" w:rsidR="002B4FFB" w:rsidRDefault="002B4FFB">
      <w:pPr>
        <w:pStyle w:val="BodyText"/>
        <w:spacing w:before="4"/>
        <w:rPr>
          <w:b/>
          <w:sz w:val="23"/>
        </w:rPr>
      </w:pPr>
    </w:p>
    <w:p w14:paraId="3BCA65B0" w14:textId="77777777" w:rsidR="002B4FFB" w:rsidRDefault="001F7021">
      <w:pPr>
        <w:pStyle w:val="BodyText"/>
        <w:ind w:left="108" w:right="1675"/>
      </w:pPr>
      <w:r>
        <w:t>The following table lists Hazardous Air Pollutant emissions as calculated for the year 2020 by the company:</w:t>
      </w:r>
    </w:p>
    <w:p w14:paraId="5EABF0B2" w14:textId="77777777" w:rsidR="002B4FFB" w:rsidRDefault="002B4FFB">
      <w:pPr>
        <w:pStyle w:val="BodyText"/>
        <w:spacing w:before="9"/>
      </w:pPr>
    </w:p>
    <w:tbl>
      <w:tblPr>
        <w:tblW w:w="0" w:type="auto"/>
        <w:tblInd w:w="2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129"/>
        <w:gridCol w:w="5131"/>
      </w:tblGrid>
      <w:tr w:rsidR="002B4FFB" w14:paraId="59860981" w14:textId="77777777">
        <w:trPr>
          <w:trHeight w:val="229"/>
        </w:trPr>
        <w:tc>
          <w:tcPr>
            <w:tcW w:w="5129" w:type="dxa"/>
            <w:tcBorders>
              <w:left w:val="double" w:sz="2" w:space="0" w:color="000000"/>
              <w:bottom w:val="single" w:sz="6" w:space="0" w:color="000000"/>
              <w:right w:val="single" w:sz="6" w:space="0" w:color="000000"/>
            </w:tcBorders>
            <w:shd w:val="clear" w:color="auto" w:fill="D9D9D9"/>
          </w:tcPr>
          <w:p w14:paraId="053DBBC1" w14:textId="77777777" w:rsidR="002B4FFB" w:rsidRDefault="001F7021">
            <w:pPr>
              <w:pStyle w:val="TableParagraph"/>
              <w:spacing w:line="210" w:lineRule="exact"/>
              <w:rPr>
                <w:b/>
                <w:sz w:val="20"/>
              </w:rPr>
            </w:pPr>
            <w:r>
              <w:rPr>
                <w:b/>
                <w:sz w:val="20"/>
              </w:rPr>
              <w:t>Individual Hazardous Air Pollutants (HAPs) **</w:t>
            </w:r>
          </w:p>
        </w:tc>
        <w:tc>
          <w:tcPr>
            <w:tcW w:w="5131" w:type="dxa"/>
            <w:tcBorders>
              <w:left w:val="single" w:sz="6" w:space="0" w:color="000000"/>
              <w:bottom w:val="single" w:sz="6" w:space="0" w:color="000000"/>
              <w:right w:val="double" w:sz="2" w:space="0" w:color="000000"/>
            </w:tcBorders>
            <w:shd w:val="clear" w:color="auto" w:fill="D9D9D9"/>
          </w:tcPr>
          <w:p w14:paraId="2C587B7C" w14:textId="77777777" w:rsidR="002B4FFB" w:rsidRDefault="001F7021">
            <w:pPr>
              <w:pStyle w:val="TableParagraph"/>
              <w:spacing w:line="210" w:lineRule="exact"/>
              <w:ind w:left="1874" w:right="1852"/>
              <w:jc w:val="center"/>
              <w:rPr>
                <w:b/>
                <w:sz w:val="20"/>
              </w:rPr>
            </w:pPr>
            <w:r>
              <w:rPr>
                <w:b/>
                <w:sz w:val="20"/>
              </w:rPr>
              <w:t>Tons per Year</w:t>
            </w:r>
          </w:p>
        </w:tc>
      </w:tr>
      <w:tr w:rsidR="002B4FFB" w14:paraId="2228F1E2" w14:textId="77777777">
        <w:trPr>
          <w:trHeight w:val="229"/>
        </w:trPr>
        <w:tc>
          <w:tcPr>
            <w:tcW w:w="5129" w:type="dxa"/>
            <w:tcBorders>
              <w:top w:val="single" w:sz="6" w:space="0" w:color="000000"/>
              <w:left w:val="double" w:sz="2" w:space="0" w:color="000000"/>
              <w:bottom w:val="single" w:sz="6" w:space="0" w:color="000000"/>
              <w:right w:val="single" w:sz="6" w:space="0" w:color="000000"/>
            </w:tcBorders>
          </w:tcPr>
          <w:p w14:paraId="06278251" w14:textId="77777777" w:rsidR="002B4FFB" w:rsidRDefault="001F7021">
            <w:pPr>
              <w:pStyle w:val="TableParagraph"/>
              <w:spacing w:line="210" w:lineRule="exact"/>
              <w:rPr>
                <w:sz w:val="20"/>
              </w:rPr>
            </w:pPr>
            <w:r>
              <w:rPr>
                <w:sz w:val="20"/>
              </w:rPr>
              <w:t>Formaldehyde</w:t>
            </w:r>
          </w:p>
        </w:tc>
        <w:tc>
          <w:tcPr>
            <w:tcW w:w="5131" w:type="dxa"/>
            <w:tcBorders>
              <w:top w:val="single" w:sz="6" w:space="0" w:color="000000"/>
              <w:left w:val="single" w:sz="6" w:space="0" w:color="000000"/>
              <w:bottom w:val="single" w:sz="6" w:space="0" w:color="000000"/>
              <w:right w:val="double" w:sz="2" w:space="0" w:color="000000"/>
            </w:tcBorders>
          </w:tcPr>
          <w:p w14:paraId="34BF18D8" w14:textId="77777777" w:rsidR="002B4FFB" w:rsidRDefault="001F7021">
            <w:pPr>
              <w:pStyle w:val="TableParagraph"/>
              <w:spacing w:line="210" w:lineRule="exact"/>
              <w:ind w:left="1874" w:right="1850"/>
              <w:jc w:val="center"/>
              <w:rPr>
                <w:sz w:val="20"/>
              </w:rPr>
            </w:pPr>
            <w:r>
              <w:rPr>
                <w:sz w:val="20"/>
              </w:rPr>
              <w:t>0.010</w:t>
            </w:r>
          </w:p>
        </w:tc>
      </w:tr>
      <w:tr w:rsidR="002B4FFB" w14:paraId="07173968" w14:textId="77777777">
        <w:trPr>
          <w:trHeight w:val="229"/>
        </w:trPr>
        <w:tc>
          <w:tcPr>
            <w:tcW w:w="5129" w:type="dxa"/>
            <w:tcBorders>
              <w:top w:val="single" w:sz="6" w:space="0" w:color="000000"/>
              <w:left w:val="double" w:sz="2" w:space="0" w:color="000000"/>
              <w:bottom w:val="single" w:sz="6" w:space="0" w:color="000000"/>
              <w:right w:val="single" w:sz="6" w:space="0" w:color="000000"/>
            </w:tcBorders>
          </w:tcPr>
          <w:p w14:paraId="17D435A8" w14:textId="77777777" w:rsidR="002B4FFB" w:rsidRDefault="001F7021">
            <w:pPr>
              <w:pStyle w:val="TableParagraph"/>
              <w:spacing w:line="210" w:lineRule="exact"/>
              <w:rPr>
                <w:sz w:val="20"/>
              </w:rPr>
            </w:pPr>
            <w:r>
              <w:rPr>
                <w:sz w:val="20"/>
              </w:rPr>
              <w:t>Hexane</w:t>
            </w:r>
          </w:p>
        </w:tc>
        <w:tc>
          <w:tcPr>
            <w:tcW w:w="5131" w:type="dxa"/>
            <w:tcBorders>
              <w:top w:val="single" w:sz="6" w:space="0" w:color="000000"/>
              <w:left w:val="single" w:sz="6" w:space="0" w:color="000000"/>
              <w:bottom w:val="single" w:sz="6" w:space="0" w:color="000000"/>
              <w:right w:val="double" w:sz="2" w:space="0" w:color="000000"/>
            </w:tcBorders>
          </w:tcPr>
          <w:p w14:paraId="431B3D9B" w14:textId="77777777" w:rsidR="002B4FFB" w:rsidRDefault="001F7021">
            <w:pPr>
              <w:pStyle w:val="TableParagraph"/>
              <w:spacing w:line="210" w:lineRule="exact"/>
              <w:ind w:left="1873" w:right="1852"/>
              <w:jc w:val="center"/>
              <w:rPr>
                <w:sz w:val="20"/>
              </w:rPr>
            </w:pPr>
            <w:r>
              <w:rPr>
                <w:sz w:val="20"/>
              </w:rPr>
              <w:t>0.23</w:t>
            </w:r>
          </w:p>
        </w:tc>
      </w:tr>
      <w:tr w:rsidR="002B4FFB" w14:paraId="2AD17335" w14:textId="77777777">
        <w:trPr>
          <w:trHeight w:val="232"/>
        </w:trPr>
        <w:tc>
          <w:tcPr>
            <w:tcW w:w="5129" w:type="dxa"/>
            <w:tcBorders>
              <w:top w:val="single" w:sz="6" w:space="0" w:color="000000"/>
              <w:left w:val="double" w:sz="2" w:space="0" w:color="000000"/>
              <w:bottom w:val="single" w:sz="6" w:space="0" w:color="000000"/>
              <w:right w:val="single" w:sz="6" w:space="0" w:color="000000"/>
            </w:tcBorders>
          </w:tcPr>
          <w:p w14:paraId="2101F2F2" w14:textId="77777777" w:rsidR="002B4FFB" w:rsidRDefault="001F7021">
            <w:pPr>
              <w:pStyle w:val="TableParagraph"/>
              <w:spacing w:before="1" w:line="210" w:lineRule="exact"/>
              <w:rPr>
                <w:sz w:val="20"/>
              </w:rPr>
            </w:pPr>
            <w:r>
              <w:rPr>
                <w:sz w:val="20"/>
              </w:rPr>
              <w:t>Benzene</w:t>
            </w:r>
          </w:p>
        </w:tc>
        <w:tc>
          <w:tcPr>
            <w:tcW w:w="5131" w:type="dxa"/>
            <w:tcBorders>
              <w:top w:val="single" w:sz="6" w:space="0" w:color="000000"/>
              <w:left w:val="single" w:sz="6" w:space="0" w:color="000000"/>
              <w:bottom w:val="single" w:sz="6" w:space="0" w:color="000000"/>
              <w:right w:val="double" w:sz="2" w:space="0" w:color="000000"/>
            </w:tcBorders>
          </w:tcPr>
          <w:p w14:paraId="62D1EF2D" w14:textId="77777777" w:rsidR="002B4FFB" w:rsidRDefault="001F7021">
            <w:pPr>
              <w:pStyle w:val="TableParagraph"/>
              <w:spacing w:before="1" w:line="210" w:lineRule="exact"/>
              <w:ind w:left="1874" w:right="1850"/>
              <w:jc w:val="center"/>
              <w:rPr>
                <w:sz w:val="20"/>
              </w:rPr>
            </w:pPr>
            <w:r>
              <w:rPr>
                <w:sz w:val="20"/>
              </w:rPr>
              <w:t>0.003</w:t>
            </w:r>
          </w:p>
        </w:tc>
      </w:tr>
      <w:tr w:rsidR="002B4FFB" w14:paraId="4177593C" w14:textId="77777777">
        <w:trPr>
          <w:trHeight w:val="232"/>
        </w:trPr>
        <w:tc>
          <w:tcPr>
            <w:tcW w:w="5129" w:type="dxa"/>
            <w:tcBorders>
              <w:top w:val="single" w:sz="6" w:space="0" w:color="000000"/>
              <w:left w:val="double" w:sz="2" w:space="0" w:color="000000"/>
              <w:bottom w:val="thinThickMediumGap" w:sz="3" w:space="0" w:color="000000"/>
              <w:right w:val="single" w:sz="6" w:space="0" w:color="000000"/>
            </w:tcBorders>
          </w:tcPr>
          <w:p w14:paraId="403D7446" w14:textId="77777777" w:rsidR="002B4FFB" w:rsidRDefault="001F7021">
            <w:pPr>
              <w:pStyle w:val="TableParagraph"/>
              <w:spacing w:line="212" w:lineRule="exact"/>
              <w:rPr>
                <w:b/>
                <w:sz w:val="20"/>
              </w:rPr>
            </w:pPr>
            <w:r>
              <w:rPr>
                <w:b/>
                <w:sz w:val="20"/>
              </w:rPr>
              <w:t>Total Hazardous Air Pollutants (HAPs)</w:t>
            </w:r>
          </w:p>
        </w:tc>
        <w:tc>
          <w:tcPr>
            <w:tcW w:w="5131" w:type="dxa"/>
            <w:tcBorders>
              <w:top w:val="single" w:sz="6" w:space="0" w:color="000000"/>
              <w:left w:val="single" w:sz="6" w:space="0" w:color="000000"/>
              <w:bottom w:val="thinThickMediumGap" w:sz="3" w:space="0" w:color="000000"/>
              <w:right w:val="double" w:sz="2" w:space="0" w:color="000000"/>
            </w:tcBorders>
          </w:tcPr>
          <w:p w14:paraId="10A267DE" w14:textId="77777777" w:rsidR="002B4FFB" w:rsidRDefault="001F7021">
            <w:pPr>
              <w:pStyle w:val="TableParagraph"/>
              <w:spacing w:line="212" w:lineRule="exact"/>
              <w:ind w:left="1874" w:right="1850"/>
              <w:jc w:val="center"/>
              <w:rPr>
                <w:b/>
                <w:sz w:val="20"/>
              </w:rPr>
            </w:pPr>
            <w:r>
              <w:rPr>
                <w:b/>
                <w:sz w:val="20"/>
              </w:rPr>
              <w:t>0.243</w:t>
            </w:r>
          </w:p>
        </w:tc>
      </w:tr>
    </w:tbl>
    <w:p w14:paraId="1AA7255F" w14:textId="77777777" w:rsidR="002B4FFB" w:rsidRDefault="001F7021">
      <w:pPr>
        <w:pStyle w:val="BodyText"/>
        <w:spacing w:before="9"/>
        <w:ind w:left="107"/>
      </w:pPr>
      <w:r>
        <w:t>**As listed pursuant to Section 112(b) of the federal Clean Air Act.</w:t>
      </w:r>
    </w:p>
    <w:p w14:paraId="1951676F" w14:textId="77777777" w:rsidR="002B4FFB" w:rsidRDefault="002B4FFB">
      <w:pPr>
        <w:pStyle w:val="BodyText"/>
      </w:pPr>
    </w:p>
    <w:p w14:paraId="62F9D075" w14:textId="77777777" w:rsidR="002B4FFB" w:rsidRDefault="001F7021">
      <w:pPr>
        <w:pStyle w:val="BodyText"/>
        <w:spacing w:before="1"/>
        <w:ind w:left="107" w:right="764"/>
      </w:pPr>
      <w:r>
        <w:t>See</w:t>
      </w:r>
      <w:r>
        <w:rPr>
          <w:spacing w:val="-10"/>
        </w:rPr>
        <w:t xml:space="preserve"> </w:t>
      </w:r>
      <w:r>
        <w:t>Parts</w:t>
      </w:r>
      <w:r>
        <w:rPr>
          <w:spacing w:val="-12"/>
        </w:rPr>
        <w:t xml:space="preserve"> </w:t>
      </w:r>
      <w:r>
        <w:t>C</w:t>
      </w:r>
      <w:r>
        <w:rPr>
          <w:spacing w:val="-11"/>
        </w:rPr>
        <w:t xml:space="preserve"> </w:t>
      </w:r>
      <w:r>
        <w:t>and</w:t>
      </w:r>
      <w:r>
        <w:rPr>
          <w:spacing w:val="-10"/>
        </w:rPr>
        <w:t xml:space="preserve"> </w:t>
      </w:r>
      <w:r>
        <w:t>D</w:t>
      </w:r>
      <w:r>
        <w:rPr>
          <w:spacing w:val="-11"/>
        </w:rPr>
        <w:t xml:space="preserve"> </w:t>
      </w:r>
      <w:r>
        <w:t>in</w:t>
      </w:r>
      <w:r>
        <w:rPr>
          <w:spacing w:val="-13"/>
        </w:rPr>
        <w:t xml:space="preserve"> </w:t>
      </w:r>
      <w:r>
        <w:t>the</w:t>
      </w:r>
      <w:r>
        <w:rPr>
          <w:spacing w:val="-13"/>
        </w:rPr>
        <w:t xml:space="preserve"> </w:t>
      </w:r>
      <w:r>
        <w:t>ROP</w:t>
      </w:r>
      <w:r>
        <w:rPr>
          <w:spacing w:val="-11"/>
        </w:rPr>
        <w:t xml:space="preserve"> </w:t>
      </w:r>
      <w:r>
        <w:t>for</w:t>
      </w:r>
      <w:r>
        <w:rPr>
          <w:spacing w:val="-9"/>
        </w:rPr>
        <w:t xml:space="preserve"> </w:t>
      </w:r>
      <w:r>
        <w:t>summary</w:t>
      </w:r>
      <w:r>
        <w:rPr>
          <w:spacing w:val="-11"/>
        </w:rPr>
        <w:t xml:space="preserve"> </w:t>
      </w:r>
      <w:r>
        <w:t>tables</w:t>
      </w:r>
      <w:r>
        <w:rPr>
          <w:spacing w:val="-12"/>
        </w:rPr>
        <w:t xml:space="preserve"> </w:t>
      </w:r>
      <w:r>
        <w:t>of</w:t>
      </w:r>
      <w:r>
        <w:rPr>
          <w:spacing w:val="-9"/>
        </w:rPr>
        <w:t xml:space="preserve"> </w:t>
      </w:r>
      <w:r>
        <w:t>all</w:t>
      </w:r>
      <w:r>
        <w:rPr>
          <w:spacing w:val="-11"/>
        </w:rPr>
        <w:t xml:space="preserve"> </w:t>
      </w:r>
      <w:r>
        <w:t>processes</w:t>
      </w:r>
      <w:r>
        <w:rPr>
          <w:spacing w:val="-10"/>
        </w:rPr>
        <w:t xml:space="preserve"> </w:t>
      </w:r>
      <w:r>
        <w:t>at</w:t>
      </w:r>
      <w:r>
        <w:rPr>
          <w:spacing w:val="-9"/>
        </w:rPr>
        <w:t xml:space="preserve"> </w:t>
      </w:r>
      <w:r>
        <w:t>the</w:t>
      </w:r>
      <w:r>
        <w:rPr>
          <w:spacing w:val="-13"/>
        </w:rPr>
        <w:t xml:space="preserve"> </w:t>
      </w:r>
      <w:r>
        <w:t>stationary</w:t>
      </w:r>
      <w:r>
        <w:rPr>
          <w:spacing w:val="-10"/>
        </w:rPr>
        <w:t xml:space="preserve"> </w:t>
      </w:r>
      <w:r>
        <w:t>source</w:t>
      </w:r>
      <w:r>
        <w:rPr>
          <w:spacing w:val="-13"/>
        </w:rPr>
        <w:t xml:space="preserve"> </w:t>
      </w:r>
      <w:r>
        <w:t>that</w:t>
      </w:r>
      <w:r>
        <w:rPr>
          <w:spacing w:val="-10"/>
        </w:rPr>
        <w:t xml:space="preserve"> </w:t>
      </w:r>
      <w:r>
        <w:t>are</w:t>
      </w:r>
      <w:r>
        <w:rPr>
          <w:spacing w:val="-13"/>
        </w:rPr>
        <w:t xml:space="preserve"> </w:t>
      </w:r>
      <w:r>
        <w:t>subject to process-specific emission limits or</w:t>
      </w:r>
      <w:r>
        <w:rPr>
          <w:spacing w:val="2"/>
        </w:rPr>
        <w:t xml:space="preserve"> </w:t>
      </w:r>
      <w:r>
        <w:t>standards.</w:t>
      </w:r>
    </w:p>
    <w:p w14:paraId="24BF0F1E" w14:textId="77777777" w:rsidR="002B4FFB" w:rsidRDefault="002B4FFB">
      <w:pPr>
        <w:pStyle w:val="BodyText"/>
        <w:spacing w:before="11"/>
        <w:rPr>
          <w:sz w:val="21"/>
        </w:rPr>
      </w:pPr>
    </w:p>
    <w:p w14:paraId="50B3B9FB" w14:textId="77777777" w:rsidR="002B4FFB" w:rsidRDefault="001F7021">
      <w:pPr>
        <w:pStyle w:val="Heading1"/>
        <w:rPr>
          <w:u w:val="none"/>
        </w:rPr>
      </w:pPr>
      <w:r>
        <w:rPr>
          <w:u w:val="thick"/>
        </w:rPr>
        <w:t>Regulatory Analysis</w:t>
      </w:r>
    </w:p>
    <w:p w14:paraId="19F2A1FC" w14:textId="77777777" w:rsidR="002B4FFB" w:rsidRDefault="002B4FFB">
      <w:pPr>
        <w:pStyle w:val="BodyText"/>
        <w:spacing w:before="10"/>
        <w:rPr>
          <w:b/>
          <w:sz w:val="13"/>
        </w:rPr>
      </w:pPr>
    </w:p>
    <w:p w14:paraId="0C3D052F" w14:textId="77777777" w:rsidR="002B4FFB" w:rsidRDefault="001F7021">
      <w:pPr>
        <w:pStyle w:val="BodyText"/>
        <w:spacing w:before="94"/>
        <w:ind w:left="107" w:right="883"/>
        <w:jc w:val="both"/>
      </w:pPr>
      <w:bookmarkStart w:id="5" w:name="The_following_is_a_general_description_a"/>
      <w:bookmarkEnd w:id="5"/>
      <w:r>
        <w:t>The following is a general description and history of the source. Any determinations of regulatory non- applicability</w:t>
      </w:r>
      <w:r>
        <w:rPr>
          <w:spacing w:val="-12"/>
        </w:rPr>
        <w:t xml:space="preserve"> </w:t>
      </w:r>
      <w:r>
        <w:t>for</w:t>
      </w:r>
      <w:r>
        <w:rPr>
          <w:spacing w:val="-13"/>
        </w:rPr>
        <w:t xml:space="preserve"> </w:t>
      </w:r>
      <w:r>
        <w:t>this</w:t>
      </w:r>
      <w:r>
        <w:rPr>
          <w:spacing w:val="-11"/>
        </w:rPr>
        <w:t xml:space="preserve"> </w:t>
      </w:r>
      <w:r>
        <w:t>source</w:t>
      </w:r>
      <w:r>
        <w:rPr>
          <w:spacing w:val="-12"/>
        </w:rPr>
        <w:t xml:space="preserve"> </w:t>
      </w:r>
      <w:r>
        <w:t>are</w:t>
      </w:r>
      <w:r>
        <w:rPr>
          <w:spacing w:val="-12"/>
        </w:rPr>
        <w:t xml:space="preserve"> </w:t>
      </w:r>
      <w:r>
        <w:t>explained</w:t>
      </w:r>
      <w:r>
        <w:rPr>
          <w:spacing w:val="-11"/>
        </w:rPr>
        <w:t xml:space="preserve"> </w:t>
      </w:r>
      <w:r>
        <w:t>below</w:t>
      </w:r>
      <w:r>
        <w:rPr>
          <w:spacing w:val="-13"/>
        </w:rPr>
        <w:t xml:space="preserve"> </w:t>
      </w:r>
      <w:r>
        <w:t>in</w:t>
      </w:r>
      <w:r>
        <w:rPr>
          <w:spacing w:val="-11"/>
        </w:rPr>
        <w:t xml:space="preserve"> </w:t>
      </w:r>
      <w:r>
        <w:t>the</w:t>
      </w:r>
      <w:r>
        <w:rPr>
          <w:spacing w:val="-12"/>
        </w:rPr>
        <w:t xml:space="preserve"> </w:t>
      </w:r>
      <w:r>
        <w:t>Non-Applicable</w:t>
      </w:r>
      <w:r>
        <w:rPr>
          <w:spacing w:val="-12"/>
        </w:rPr>
        <w:t xml:space="preserve"> </w:t>
      </w:r>
      <w:r>
        <w:t>Requirement</w:t>
      </w:r>
      <w:r>
        <w:rPr>
          <w:spacing w:val="-10"/>
        </w:rPr>
        <w:t xml:space="preserve"> </w:t>
      </w:r>
      <w:r>
        <w:t>part</w:t>
      </w:r>
      <w:r>
        <w:rPr>
          <w:spacing w:val="-11"/>
        </w:rPr>
        <w:t xml:space="preserve"> </w:t>
      </w:r>
      <w:r>
        <w:t>of</w:t>
      </w:r>
      <w:r>
        <w:rPr>
          <w:spacing w:val="-12"/>
        </w:rPr>
        <w:t xml:space="preserve"> </w:t>
      </w:r>
      <w:r>
        <w:t>the</w:t>
      </w:r>
      <w:r>
        <w:rPr>
          <w:spacing w:val="-12"/>
        </w:rPr>
        <w:t xml:space="preserve"> </w:t>
      </w:r>
      <w:r>
        <w:t>Staff</w:t>
      </w:r>
      <w:r>
        <w:rPr>
          <w:spacing w:val="-13"/>
        </w:rPr>
        <w:t xml:space="preserve"> </w:t>
      </w:r>
      <w:r>
        <w:t>Report and identified in Part E of the</w:t>
      </w:r>
      <w:r>
        <w:rPr>
          <w:spacing w:val="-2"/>
        </w:rPr>
        <w:t xml:space="preserve"> </w:t>
      </w:r>
      <w:r>
        <w:t>ROP.</w:t>
      </w:r>
    </w:p>
    <w:p w14:paraId="1BFC9E3D" w14:textId="77777777" w:rsidR="002B4FFB" w:rsidRDefault="002B4FFB">
      <w:pPr>
        <w:pStyle w:val="BodyText"/>
      </w:pPr>
    </w:p>
    <w:p w14:paraId="454F4C8C" w14:textId="77777777" w:rsidR="002B4FFB" w:rsidRDefault="001F7021">
      <w:pPr>
        <w:pStyle w:val="BodyText"/>
        <w:ind w:left="108" w:right="884" w:hanging="1"/>
        <w:jc w:val="both"/>
      </w:pPr>
      <w:bookmarkStart w:id="6" w:name="The_stationary_source_is_in_Jackson_Coun"/>
      <w:bookmarkEnd w:id="6"/>
      <w:r>
        <w:t>The stationary source is in Jackson County, which is currently designated by the United States Environmental Protection Agency (USEPA) as attainment/unclassified for all criteria po</w:t>
      </w:r>
      <w:r>
        <w:t>llutants.</w:t>
      </w:r>
    </w:p>
    <w:p w14:paraId="0E386E27" w14:textId="77777777" w:rsidR="002B4FFB" w:rsidRDefault="002B4FFB">
      <w:pPr>
        <w:pStyle w:val="BodyText"/>
        <w:spacing w:before="11"/>
        <w:rPr>
          <w:sz w:val="21"/>
        </w:rPr>
      </w:pPr>
    </w:p>
    <w:p w14:paraId="25E69919" w14:textId="77777777" w:rsidR="002B4FFB" w:rsidRDefault="001F7021">
      <w:pPr>
        <w:pStyle w:val="BodyText"/>
        <w:ind w:left="108" w:right="882"/>
        <w:jc w:val="both"/>
      </w:pPr>
      <w:bookmarkStart w:id="7" w:name="The_stationary_source_is_subject_to_Titl"/>
      <w:bookmarkEnd w:id="7"/>
      <w:r>
        <w:t>The</w:t>
      </w:r>
      <w:r>
        <w:rPr>
          <w:spacing w:val="-9"/>
        </w:rPr>
        <w:t xml:space="preserve"> </w:t>
      </w:r>
      <w:r>
        <w:t>stationary</w:t>
      </w:r>
      <w:r>
        <w:rPr>
          <w:spacing w:val="-8"/>
        </w:rPr>
        <w:t xml:space="preserve"> </w:t>
      </w:r>
      <w:r>
        <w:t>source</w:t>
      </w:r>
      <w:r>
        <w:rPr>
          <w:spacing w:val="-9"/>
        </w:rPr>
        <w:t xml:space="preserve"> </w:t>
      </w:r>
      <w:r>
        <w:t>is</w:t>
      </w:r>
      <w:r>
        <w:rPr>
          <w:spacing w:val="-12"/>
        </w:rPr>
        <w:t xml:space="preserve"> </w:t>
      </w:r>
      <w:r>
        <w:t>subject</w:t>
      </w:r>
      <w:r>
        <w:rPr>
          <w:spacing w:val="-7"/>
        </w:rPr>
        <w:t xml:space="preserve"> </w:t>
      </w:r>
      <w:r>
        <w:t>to</w:t>
      </w:r>
      <w:r>
        <w:rPr>
          <w:spacing w:val="-11"/>
        </w:rPr>
        <w:t xml:space="preserve"> </w:t>
      </w:r>
      <w:r>
        <w:t>Title</w:t>
      </w:r>
      <w:r>
        <w:rPr>
          <w:spacing w:val="-9"/>
        </w:rPr>
        <w:t xml:space="preserve"> </w:t>
      </w:r>
      <w:r>
        <w:t>40</w:t>
      </w:r>
      <w:r>
        <w:rPr>
          <w:spacing w:val="-9"/>
        </w:rPr>
        <w:t xml:space="preserve"> </w:t>
      </w:r>
      <w:r>
        <w:t>of</w:t>
      </w:r>
      <w:r>
        <w:rPr>
          <w:spacing w:val="-9"/>
        </w:rPr>
        <w:t xml:space="preserve"> </w:t>
      </w:r>
      <w:r>
        <w:t>the</w:t>
      </w:r>
      <w:r>
        <w:rPr>
          <w:spacing w:val="-11"/>
        </w:rPr>
        <w:t xml:space="preserve"> </w:t>
      </w:r>
      <w:r>
        <w:t>Code</w:t>
      </w:r>
      <w:r>
        <w:rPr>
          <w:spacing w:val="-9"/>
        </w:rPr>
        <w:t xml:space="preserve"> </w:t>
      </w:r>
      <w:r>
        <w:t>of</w:t>
      </w:r>
      <w:r>
        <w:rPr>
          <w:spacing w:val="-7"/>
        </w:rPr>
        <w:t xml:space="preserve"> </w:t>
      </w:r>
      <w:r>
        <w:t>Federal</w:t>
      </w:r>
      <w:r>
        <w:rPr>
          <w:spacing w:val="-8"/>
        </w:rPr>
        <w:t xml:space="preserve"> </w:t>
      </w:r>
      <w:r>
        <w:t>Regulations</w:t>
      </w:r>
      <w:r>
        <w:rPr>
          <w:spacing w:val="-8"/>
        </w:rPr>
        <w:t xml:space="preserve"> </w:t>
      </w:r>
      <w:r>
        <w:t>(CFR)</w:t>
      </w:r>
      <w:r>
        <w:rPr>
          <w:spacing w:val="-8"/>
        </w:rPr>
        <w:t xml:space="preserve"> </w:t>
      </w:r>
      <w:r>
        <w:t>Part</w:t>
      </w:r>
      <w:r>
        <w:rPr>
          <w:spacing w:val="-10"/>
        </w:rPr>
        <w:t xml:space="preserve"> </w:t>
      </w:r>
      <w:r>
        <w:t>70,</w:t>
      </w:r>
      <w:r>
        <w:rPr>
          <w:spacing w:val="-9"/>
        </w:rPr>
        <w:t xml:space="preserve"> </w:t>
      </w:r>
      <w:r>
        <w:t>because</w:t>
      </w:r>
      <w:r>
        <w:rPr>
          <w:spacing w:val="-6"/>
        </w:rPr>
        <w:t xml:space="preserve"> </w:t>
      </w:r>
      <w:r>
        <w:t>the potential to emit of any single HAP regulated by Section 112 of the federal Clean Air Act, is equal to or more than 10 tons per year and/or the potential to emit of all HAPs combined is equal to or more than 25 tons per</w:t>
      </w:r>
      <w:r>
        <w:rPr>
          <w:spacing w:val="2"/>
        </w:rPr>
        <w:t xml:space="preserve"> </w:t>
      </w:r>
      <w:r>
        <w:t>year.</w:t>
      </w:r>
    </w:p>
    <w:p w14:paraId="1A8C2023" w14:textId="77777777" w:rsidR="002B4FFB" w:rsidRDefault="002B4FFB">
      <w:pPr>
        <w:jc w:val="both"/>
        <w:sectPr w:rsidR="002B4FFB">
          <w:pgSz w:w="12240" w:h="15840"/>
          <w:pgMar w:top="940" w:right="120" w:bottom="940" w:left="900" w:header="0" w:footer="743" w:gutter="0"/>
          <w:cols w:space="720"/>
        </w:sectPr>
      </w:pPr>
    </w:p>
    <w:p w14:paraId="0CB9A035" w14:textId="77777777" w:rsidR="002B4FFB" w:rsidRDefault="001F7021">
      <w:pPr>
        <w:pStyle w:val="BodyText"/>
        <w:spacing w:before="68"/>
        <w:ind w:left="107" w:right="887"/>
        <w:jc w:val="both"/>
      </w:pPr>
      <w:r>
        <w:lastRenderedPageBreak/>
        <w:t xml:space="preserve">No emission </w:t>
      </w:r>
      <w:r>
        <w:t>units at the stationary source are currently subject to the Prevention of Significant Deterioration regulations of Part 18, Prevention of Significant Deterioration of Air Quality of Act 451, because at the time of New Source Review permitting the potential</w:t>
      </w:r>
      <w:r>
        <w:t xml:space="preserve"> to emit of each criteria pollutant was less than 250 tons per year.</w:t>
      </w:r>
    </w:p>
    <w:p w14:paraId="4843BB4A" w14:textId="77777777" w:rsidR="002B4FFB" w:rsidRDefault="002B4FFB">
      <w:pPr>
        <w:pStyle w:val="BodyText"/>
        <w:spacing w:before="11"/>
        <w:rPr>
          <w:sz w:val="21"/>
        </w:rPr>
      </w:pPr>
    </w:p>
    <w:p w14:paraId="6974DBE6" w14:textId="77777777" w:rsidR="002B4FFB" w:rsidRDefault="001F7021">
      <w:pPr>
        <w:pStyle w:val="BodyText"/>
        <w:ind w:left="107" w:right="887"/>
        <w:jc w:val="both"/>
      </w:pPr>
      <w:r>
        <w:t>Although</w:t>
      </w:r>
      <w:r>
        <w:rPr>
          <w:spacing w:val="-13"/>
        </w:rPr>
        <w:t xml:space="preserve"> </w:t>
      </w:r>
      <w:r>
        <w:t>the</w:t>
      </w:r>
      <w:r>
        <w:rPr>
          <w:spacing w:val="-14"/>
        </w:rPr>
        <w:t xml:space="preserve"> </w:t>
      </w:r>
      <w:r>
        <w:t>boilers</w:t>
      </w:r>
      <w:r>
        <w:rPr>
          <w:spacing w:val="-13"/>
        </w:rPr>
        <w:t xml:space="preserve"> </w:t>
      </w:r>
      <w:r>
        <w:t>in</w:t>
      </w:r>
      <w:r>
        <w:rPr>
          <w:spacing w:val="-14"/>
        </w:rPr>
        <w:t xml:space="preserve"> </w:t>
      </w:r>
      <w:r>
        <w:t>FGBOILERMACT</w:t>
      </w:r>
      <w:r>
        <w:rPr>
          <w:spacing w:val="-14"/>
        </w:rPr>
        <w:t xml:space="preserve"> </w:t>
      </w:r>
      <w:r>
        <w:t>and</w:t>
      </w:r>
      <w:r>
        <w:rPr>
          <w:spacing w:val="-16"/>
        </w:rPr>
        <w:t xml:space="preserve"> </w:t>
      </w:r>
      <w:r>
        <w:t>the</w:t>
      </w:r>
      <w:r>
        <w:rPr>
          <w:spacing w:val="-16"/>
        </w:rPr>
        <w:t xml:space="preserve"> </w:t>
      </w:r>
      <w:r>
        <w:t>engines</w:t>
      </w:r>
      <w:r>
        <w:rPr>
          <w:spacing w:val="-13"/>
        </w:rPr>
        <w:t xml:space="preserve"> </w:t>
      </w:r>
      <w:r>
        <w:t>in</w:t>
      </w:r>
      <w:r>
        <w:rPr>
          <w:spacing w:val="-14"/>
        </w:rPr>
        <w:t xml:space="preserve"> </w:t>
      </w:r>
      <w:r>
        <w:t>FGRICEMACT</w:t>
      </w:r>
      <w:r>
        <w:rPr>
          <w:spacing w:val="-14"/>
        </w:rPr>
        <w:t xml:space="preserve"> </w:t>
      </w:r>
      <w:r>
        <w:t>were</w:t>
      </w:r>
      <w:r>
        <w:rPr>
          <w:spacing w:val="-14"/>
        </w:rPr>
        <w:t xml:space="preserve"> </w:t>
      </w:r>
      <w:r>
        <w:t>installed</w:t>
      </w:r>
      <w:r>
        <w:rPr>
          <w:spacing w:val="-14"/>
        </w:rPr>
        <w:t xml:space="preserve"> </w:t>
      </w:r>
      <w:r>
        <w:t>after</w:t>
      </w:r>
      <w:r>
        <w:rPr>
          <w:spacing w:val="-12"/>
        </w:rPr>
        <w:t xml:space="preserve"> </w:t>
      </w:r>
      <w:r>
        <w:t>August</w:t>
      </w:r>
      <w:r>
        <w:rPr>
          <w:spacing w:val="1"/>
        </w:rPr>
        <w:t xml:space="preserve"> </w:t>
      </w:r>
      <w:r>
        <w:rPr>
          <w:spacing w:val="-3"/>
        </w:rPr>
        <w:t xml:space="preserve">15, </w:t>
      </w:r>
      <w:r>
        <w:t>1967, this equipment was exempt from New Source Review (NSR) permitting requirements at</w:t>
      </w:r>
      <w:r>
        <w:t xml:space="preserve"> the time it was installed. However, future modifications of this equipment may be subject to</w:t>
      </w:r>
      <w:r>
        <w:rPr>
          <w:spacing w:val="-17"/>
        </w:rPr>
        <w:t xml:space="preserve"> </w:t>
      </w:r>
      <w:r>
        <w:t>NSR.</w:t>
      </w:r>
    </w:p>
    <w:p w14:paraId="4324F47A" w14:textId="77777777" w:rsidR="002B4FFB" w:rsidRDefault="002B4FFB">
      <w:pPr>
        <w:pStyle w:val="BodyText"/>
      </w:pPr>
    </w:p>
    <w:p w14:paraId="7BC3B1B3" w14:textId="77777777" w:rsidR="002B4FFB" w:rsidRDefault="001F7021">
      <w:pPr>
        <w:pStyle w:val="BodyText"/>
        <w:spacing w:before="1"/>
        <w:ind w:left="107"/>
        <w:jc w:val="both"/>
      </w:pPr>
      <w:r>
        <w:t>Since the issuance of the previous ROP, MACI has not been issued any new Permits to Install (PTI).</w:t>
      </w:r>
    </w:p>
    <w:p w14:paraId="1D8527E0" w14:textId="77777777" w:rsidR="002B4FFB" w:rsidRDefault="002B4FFB">
      <w:pPr>
        <w:pStyle w:val="BodyText"/>
        <w:spacing w:before="9"/>
        <w:rPr>
          <w:sz w:val="21"/>
        </w:rPr>
      </w:pPr>
    </w:p>
    <w:p w14:paraId="18577BFE" w14:textId="77777777" w:rsidR="002B4FFB" w:rsidRDefault="001F7021">
      <w:pPr>
        <w:pStyle w:val="BodyText"/>
        <w:ind w:left="107" w:right="881"/>
        <w:jc w:val="both"/>
      </w:pPr>
      <w:r>
        <w:t>Since</w:t>
      </w:r>
      <w:r>
        <w:rPr>
          <w:spacing w:val="-5"/>
        </w:rPr>
        <w:t xml:space="preserve"> </w:t>
      </w:r>
      <w:r>
        <w:t>the</w:t>
      </w:r>
      <w:r>
        <w:rPr>
          <w:spacing w:val="-7"/>
        </w:rPr>
        <w:t xml:space="preserve"> </w:t>
      </w:r>
      <w:r>
        <w:t>issuance</w:t>
      </w:r>
      <w:r>
        <w:rPr>
          <w:spacing w:val="-7"/>
        </w:rPr>
        <w:t xml:space="preserve"> </w:t>
      </w:r>
      <w:r>
        <w:t>of</w:t>
      </w:r>
      <w:r>
        <w:rPr>
          <w:spacing w:val="-6"/>
        </w:rPr>
        <w:t xml:space="preserve"> </w:t>
      </w:r>
      <w:r>
        <w:t>the</w:t>
      </w:r>
      <w:r>
        <w:rPr>
          <w:spacing w:val="-7"/>
        </w:rPr>
        <w:t xml:space="preserve"> </w:t>
      </w:r>
      <w:r>
        <w:t>previous</w:t>
      </w:r>
      <w:r>
        <w:rPr>
          <w:spacing w:val="-4"/>
        </w:rPr>
        <w:t xml:space="preserve"> </w:t>
      </w:r>
      <w:r>
        <w:t>ROP,</w:t>
      </w:r>
      <w:r>
        <w:rPr>
          <w:spacing w:val="-8"/>
        </w:rPr>
        <w:t xml:space="preserve"> </w:t>
      </w:r>
      <w:r>
        <w:t>MACI</w:t>
      </w:r>
      <w:r>
        <w:rPr>
          <w:spacing w:val="-6"/>
        </w:rPr>
        <w:t xml:space="preserve"> </w:t>
      </w:r>
      <w:r>
        <w:t>has</w:t>
      </w:r>
      <w:r>
        <w:rPr>
          <w:spacing w:val="-5"/>
        </w:rPr>
        <w:t xml:space="preserve"> </w:t>
      </w:r>
      <w:r>
        <w:t>submitt</w:t>
      </w:r>
      <w:r>
        <w:t>ed</w:t>
      </w:r>
      <w:r>
        <w:rPr>
          <w:spacing w:val="-7"/>
        </w:rPr>
        <w:t xml:space="preserve"> </w:t>
      </w:r>
      <w:r>
        <w:t>an</w:t>
      </w:r>
      <w:r>
        <w:rPr>
          <w:spacing w:val="-6"/>
        </w:rPr>
        <w:t xml:space="preserve"> </w:t>
      </w:r>
      <w:r>
        <w:t>exemption</w:t>
      </w:r>
      <w:r>
        <w:rPr>
          <w:spacing w:val="-5"/>
        </w:rPr>
        <w:t xml:space="preserve"> </w:t>
      </w:r>
      <w:r>
        <w:t>demonstration</w:t>
      </w:r>
      <w:r>
        <w:rPr>
          <w:spacing w:val="-10"/>
        </w:rPr>
        <w:t xml:space="preserve"> </w:t>
      </w:r>
      <w:r>
        <w:t>for</w:t>
      </w:r>
      <w:r>
        <w:rPr>
          <w:spacing w:val="-6"/>
        </w:rPr>
        <w:t xml:space="preserve"> </w:t>
      </w:r>
      <w:r>
        <w:t>exhausting die cast machines through the roof under R 336.1285(2)(l)(ii). In August of 2019, AQD staff indicated to MACI that the information submitted appeared to show that MACI may be able to meet the demonstrated exemption.</w:t>
      </w:r>
    </w:p>
    <w:p w14:paraId="6F3C7AEA" w14:textId="77777777" w:rsidR="002B4FFB" w:rsidRDefault="002B4FFB">
      <w:pPr>
        <w:pStyle w:val="BodyText"/>
        <w:spacing w:before="2"/>
      </w:pPr>
    </w:p>
    <w:p w14:paraId="7E445352" w14:textId="77777777" w:rsidR="002B4FFB" w:rsidRDefault="001F7021">
      <w:pPr>
        <w:pStyle w:val="BodyText"/>
        <w:ind w:left="107" w:right="883"/>
        <w:jc w:val="both"/>
      </w:pPr>
      <w:r>
        <w:t>Since the issuance of the pr</w:t>
      </w:r>
      <w:r>
        <w:t>evious ROP, MACI has removed and replaced emission units (EU) that were included in the previous ROP. As indicated in the current ROP application and confirmed during the most recent compliance inspection, MACI has removed EUHUBLINE3, EUFAC-BOILER4, EUHB3C</w:t>
      </w:r>
      <w:r>
        <w:t>C1, EUHB3CC2, and FGRULE287(c) (comprised of EURA0026, EURA0027, EURA0028). These units have been dismantled. Furthermore, MACI has replaced EUFAC-BOILER5 and EUFAC-BOILER6 with new, high-efficiency boilers.</w:t>
      </w:r>
    </w:p>
    <w:p w14:paraId="1E3D7BC9" w14:textId="77777777" w:rsidR="002B4FFB" w:rsidRDefault="002B4FFB">
      <w:pPr>
        <w:pStyle w:val="BodyText"/>
        <w:spacing w:before="9"/>
        <w:rPr>
          <w:sz w:val="21"/>
        </w:rPr>
      </w:pPr>
    </w:p>
    <w:p w14:paraId="37C27F66" w14:textId="77777777" w:rsidR="002B4FFB" w:rsidRDefault="001F7021">
      <w:pPr>
        <w:pStyle w:val="BodyText"/>
        <w:ind w:left="106" w:right="885"/>
        <w:jc w:val="both"/>
      </w:pPr>
      <w:bookmarkStart w:id="8" w:name="EUEMERGEN4_at_the_stationary_source_is_s"/>
      <w:bookmarkEnd w:id="8"/>
      <w:r>
        <w:t xml:space="preserve">EUEMERGEN4 at the stationary source is subject </w:t>
      </w:r>
      <w:r>
        <w:t>to the Standards of Performance for Stationary Compression</w:t>
      </w:r>
      <w:r>
        <w:rPr>
          <w:spacing w:val="-10"/>
        </w:rPr>
        <w:t xml:space="preserve"> </w:t>
      </w:r>
      <w:r>
        <w:t>Ignition</w:t>
      </w:r>
      <w:r>
        <w:rPr>
          <w:spacing w:val="-10"/>
        </w:rPr>
        <w:t xml:space="preserve"> </w:t>
      </w:r>
      <w:r>
        <w:t>Internal</w:t>
      </w:r>
      <w:r>
        <w:rPr>
          <w:spacing w:val="-8"/>
        </w:rPr>
        <w:t xml:space="preserve"> </w:t>
      </w:r>
      <w:r>
        <w:t>Combustion</w:t>
      </w:r>
      <w:r>
        <w:rPr>
          <w:spacing w:val="-7"/>
        </w:rPr>
        <w:t xml:space="preserve"> </w:t>
      </w:r>
      <w:r>
        <w:t>Engines</w:t>
      </w:r>
      <w:r>
        <w:rPr>
          <w:spacing w:val="-6"/>
        </w:rPr>
        <w:t xml:space="preserve"> </w:t>
      </w:r>
      <w:r>
        <w:t>promulgated</w:t>
      </w:r>
      <w:r>
        <w:rPr>
          <w:spacing w:val="-9"/>
        </w:rPr>
        <w:t xml:space="preserve"> </w:t>
      </w:r>
      <w:r>
        <w:t>in</w:t>
      </w:r>
      <w:r>
        <w:rPr>
          <w:spacing w:val="-7"/>
        </w:rPr>
        <w:t xml:space="preserve"> </w:t>
      </w:r>
      <w:r>
        <w:t>40</w:t>
      </w:r>
      <w:r>
        <w:rPr>
          <w:spacing w:val="-10"/>
        </w:rPr>
        <w:t xml:space="preserve"> </w:t>
      </w:r>
      <w:r>
        <w:t>CFR</w:t>
      </w:r>
      <w:r>
        <w:rPr>
          <w:spacing w:val="-8"/>
        </w:rPr>
        <w:t xml:space="preserve"> </w:t>
      </w:r>
      <w:r>
        <w:t>Part</w:t>
      </w:r>
      <w:r>
        <w:rPr>
          <w:spacing w:val="-8"/>
        </w:rPr>
        <w:t xml:space="preserve"> </w:t>
      </w:r>
      <w:r>
        <w:t>60,</w:t>
      </w:r>
      <w:r>
        <w:rPr>
          <w:spacing w:val="-6"/>
        </w:rPr>
        <w:t xml:space="preserve"> </w:t>
      </w:r>
      <w:r>
        <w:t>Subparts</w:t>
      </w:r>
      <w:r>
        <w:rPr>
          <w:spacing w:val="-7"/>
        </w:rPr>
        <w:t xml:space="preserve"> </w:t>
      </w:r>
      <w:r>
        <w:t>A</w:t>
      </w:r>
      <w:r>
        <w:rPr>
          <w:spacing w:val="-9"/>
        </w:rPr>
        <w:t xml:space="preserve"> </w:t>
      </w:r>
      <w:r>
        <w:t>and</w:t>
      </w:r>
      <w:r>
        <w:rPr>
          <w:spacing w:val="-7"/>
        </w:rPr>
        <w:t xml:space="preserve"> </w:t>
      </w:r>
      <w:r>
        <w:t>IIII.</w:t>
      </w:r>
      <w:r>
        <w:rPr>
          <w:spacing w:val="44"/>
        </w:rPr>
        <w:t xml:space="preserve"> </w:t>
      </w:r>
      <w:r>
        <w:t>It appears that previous ROP renewals did not include a table for this regulation, however, since the engine</w:t>
      </w:r>
      <w:r>
        <w:t xml:space="preserve"> was installed on December 1, 2012 it is subject to this performance standard. A new table was added to this ROP to address</w:t>
      </w:r>
      <w:r>
        <w:rPr>
          <w:spacing w:val="-6"/>
        </w:rPr>
        <w:t xml:space="preserve"> </w:t>
      </w:r>
      <w:r>
        <w:t>this.</w:t>
      </w:r>
    </w:p>
    <w:p w14:paraId="3B9E3A6E" w14:textId="77777777" w:rsidR="002B4FFB" w:rsidRDefault="002B4FFB">
      <w:pPr>
        <w:pStyle w:val="BodyText"/>
        <w:spacing w:before="1"/>
      </w:pPr>
    </w:p>
    <w:p w14:paraId="403467A7" w14:textId="77777777" w:rsidR="002B4FFB" w:rsidRDefault="001F7021">
      <w:pPr>
        <w:pStyle w:val="BodyText"/>
        <w:spacing w:line="252" w:lineRule="exact"/>
        <w:ind w:left="106"/>
        <w:jc w:val="both"/>
      </w:pPr>
      <w:r>
        <w:t>EUHUBLINE1, EUHUBLINE4, EUHUBLINE5, EUHUBLINE6, EUROTORLINE1, and EUSTATORLINE at</w:t>
      </w:r>
    </w:p>
    <w:p w14:paraId="35793567" w14:textId="77777777" w:rsidR="002B4FFB" w:rsidRDefault="001F7021">
      <w:pPr>
        <w:pStyle w:val="BodyText"/>
        <w:ind w:left="106" w:right="882"/>
        <w:jc w:val="both"/>
      </w:pPr>
      <w:r>
        <w:t xml:space="preserve">the stationary source </w:t>
      </w:r>
      <w:proofErr w:type="gramStart"/>
      <w:r>
        <w:t>are</w:t>
      </w:r>
      <w:proofErr w:type="gramEnd"/>
      <w:r>
        <w:t xml:space="preserve"> subject to the National Emission Standard for Hazardous Air Pollutants for Surface Coating of Miscellaneous Metal Parts and Products promulgated in </w:t>
      </w:r>
      <w:r>
        <w:t>40 CFR Part 61, Subparts A and MMMM. An affected source is a new affected source if construction commenced after August 13, 2002</w:t>
      </w:r>
      <w:r>
        <w:rPr>
          <w:spacing w:val="-5"/>
        </w:rPr>
        <w:t xml:space="preserve"> </w:t>
      </w:r>
      <w:r>
        <w:t>and</w:t>
      </w:r>
      <w:r>
        <w:rPr>
          <w:spacing w:val="-4"/>
        </w:rPr>
        <w:t xml:space="preserve"> </w:t>
      </w:r>
      <w:r>
        <w:t>the</w:t>
      </w:r>
      <w:r>
        <w:rPr>
          <w:spacing w:val="-5"/>
        </w:rPr>
        <w:t xml:space="preserve"> </w:t>
      </w:r>
      <w:r>
        <w:t>construction</w:t>
      </w:r>
      <w:r>
        <w:rPr>
          <w:spacing w:val="-4"/>
        </w:rPr>
        <w:t xml:space="preserve"> </w:t>
      </w:r>
      <w:r>
        <w:t>is</w:t>
      </w:r>
      <w:r>
        <w:rPr>
          <w:spacing w:val="-4"/>
        </w:rPr>
        <w:t xml:space="preserve"> </w:t>
      </w:r>
      <w:r>
        <w:t>of</w:t>
      </w:r>
      <w:r>
        <w:rPr>
          <w:spacing w:val="-4"/>
        </w:rPr>
        <w:t xml:space="preserve"> </w:t>
      </w:r>
      <w:r>
        <w:t>a</w:t>
      </w:r>
      <w:r>
        <w:rPr>
          <w:spacing w:val="-4"/>
        </w:rPr>
        <w:t xml:space="preserve"> </w:t>
      </w:r>
      <w:r>
        <w:t>completely</w:t>
      </w:r>
      <w:r>
        <w:rPr>
          <w:spacing w:val="-5"/>
        </w:rPr>
        <w:t xml:space="preserve"> </w:t>
      </w:r>
      <w:r>
        <w:t>new</w:t>
      </w:r>
      <w:r>
        <w:rPr>
          <w:spacing w:val="-7"/>
        </w:rPr>
        <w:t xml:space="preserve"> </w:t>
      </w:r>
      <w:r>
        <w:t>miscellaneous</w:t>
      </w:r>
      <w:r>
        <w:rPr>
          <w:spacing w:val="-4"/>
        </w:rPr>
        <w:t xml:space="preserve"> </w:t>
      </w:r>
      <w:r>
        <w:t>metal</w:t>
      </w:r>
      <w:r>
        <w:rPr>
          <w:spacing w:val="-6"/>
        </w:rPr>
        <w:t xml:space="preserve"> </w:t>
      </w:r>
      <w:r>
        <w:t>parts</w:t>
      </w:r>
      <w:r>
        <w:rPr>
          <w:spacing w:val="-4"/>
        </w:rPr>
        <w:t xml:space="preserve"> </w:t>
      </w:r>
      <w:r>
        <w:t>and</w:t>
      </w:r>
      <w:r>
        <w:rPr>
          <w:spacing w:val="-5"/>
        </w:rPr>
        <w:t xml:space="preserve"> </w:t>
      </w:r>
      <w:r>
        <w:t>products</w:t>
      </w:r>
      <w:r>
        <w:rPr>
          <w:spacing w:val="-4"/>
        </w:rPr>
        <w:t xml:space="preserve"> </w:t>
      </w:r>
      <w:r>
        <w:t>surface</w:t>
      </w:r>
      <w:r>
        <w:rPr>
          <w:spacing w:val="-4"/>
        </w:rPr>
        <w:t xml:space="preserve"> </w:t>
      </w:r>
      <w:r>
        <w:t>coating facility where previously no</w:t>
      </w:r>
      <w:r>
        <w:t xml:space="preserve"> miscellaneous metal parts and products coating facility existed. An affected source is reconstructed if it meets the criteria as defined in 40 CFR 63.2. An affected source exists if it is not new or reconstructed. For an existing affected source (construc</w:t>
      </w:r>
      <w:r>
        <w:t>ted before August 13, 2002), the compliance date is January 2,</w:t>
      </w:r>
      <w:r>
        <w:rPr>
          <w:spacing w:val="1"/>
        </w:rPr>
        <w:t xml:space="preserve"> </w:t>
      </w:r>
      <w:r>
        <w:t>2007.</w:t>
      </w:r>
    </w:p>
    <w:p w14:paraId="0602920E" w14:textId="77777777" w:rsidR="002B4FFB" w:rsidRDefault="002B4FFB">
      <w:pPr>
        <w:pStyle w:val="BodyText"/>
      </w:pPr>
    </w:p>
    <w:p w14:paraId="2BA9CA33" w14:textId="77777777" w:rsidR="002B4FFB" w:rsidRDefault="001F7021">
      <w:pPr>
        <w:pStyle w:val="BodyText"/>
        <w:spacing w:line="252" w:lineRule="exact"/>
        <w:ind w:left="106"/>
        <w:jc w:val="both"/>
      </w:pPr>
      <w:r>
        <w:t>EUFAC-AHUS, EUFAC-BOILER1, EUFAC-BOILER2, EUFAC-BOILER3, EUFAC-BOILER5,</w:t>
      </w:r>
      <w:r>
        <w:rPr>
          <w:spacing w:val="54"/>
        </w:rPr>
        <w:t xml:space="preserve"> </w:t>
      </w:r>
      <w:r>
        <w:t>EUFAC-</w:t>
      </w:r>
    </w:p>
    <w:p w14:paraId="2BBED953" w14:textId="77777777" w:rsidR="002B4FFB" w:rsidRDefault="001F7021">
      <w:pPr>
        <w:pStyle w:val="BodyText"/>
        <w:ind w:left="106" w:right="883"/>
        <w:jc w:val="both"/>
      </w:pPr>
      <w:r>
        <w:t>BOILER6, and EUFAC-HEATERS at the stationary source are subject to the National Emission Standard for Hazar</w:t>
      </w:r>
      <w:r>
        <w:t>dous Air Pollutants for Major Sources for Industrial, Commercial, and Institutional Boilers and Process Heaters promulgated in 40 CFR Part 63, Subparts A and DDDDD. This standard is also referred to</w:t>
      </w:r>
      <w:r>
        <w:rPr>
          <w:spacing w:val="-10"/>
        </w:rPr>
        <w:t xml:space="preserve"> </w:t>
      </w:r>
      <w:r>
        <w:t>as</w:t>
      </w:r>
      <w:r>
        <w:rPr>
          <w:spacing w:val="-8"/>
        </w:rPr>
        <w:t xml:space="preserve"> </w:t>
      </w:r>
      <w:r>
        <w:t>a</w:t>
      </w:r>
      <w:r>
        <w:rPr>
          <w:spacing w:val="-11"/>
        </w:rPr>
        <w:t xml:space="preserve"> </w:t>
      </w:r>
      <w:r>
        <w:t>Maximum</w:t>
      </w:r>
      <w:r>
        <w:rPr>
          <w:spacing w:val="-8"/>
        </w:rPr>
        <w:t xml:space="preserve"> </w:t>
      </w:r>
      <w:r>
        <w:t>Achievable</w:t>
      </w:r>
      <w:r>
        <w:rPr>
          <w:spacing w:val="-9"/>
        </w:rPr>
        <w:t xml:space="preserve"> </w:t>
      </w:r>
      <w:r>
        <w:t>Control</w:t>
      </w:r>
      <w:r>
        <w:rPr>
          <w:spacing w:val="-9"/>
        </w:rPr>
        <w:t xml:space="preserve"> </w:t>
      </w:r>
      <w:r>
        <w:t>Technology</w:t>
      </w:r>
      <w:r>
        <w:rPr>
          <w:spacing w:val="-11"/>
        </w:rPr>
        <w:t xml:space="preserve"> </w:t>
      </w:r>
      <w:r>
        <w:t>(MACT)</w:t>
      </w:r>
      <w:r>
        <w:rPr>
          <w:spacing w:val="-10"/>
        </w:rPr>
        <w:t xml:space="preserve"> </w:t>
      </w:r>
      <w:r>
        <w:t>standard,</w:t>
      </w:r>
      <w:r>
        <w:rPr>
          <w:spacing w:val="-11"/>
        </w:rPr>
        <w:t xml:space="preserve"> </w:t>
      </w:r>
      <w:r>
        <w:t>and</w:t>
      </w:r>
      <w:r>
        <w:rPr>
          <w:spacing w:val="-9"/>
        </w:rPr>
        <w:t xml:space="preserve"> </w:t>
      </w:r>
      <w:r>
        <w:t>it</w:t>
      </w:r>
      <w:r>
        <w:rPr>
          <w:spacing w:val="-12"/>
        </w:rPr>
        <w:t xml:space="preserve"> </w:t>
      </w:r>
      <w:r>
        <w:t>has</w:t>
      </w:r>
      <w:r>
        <w:rPr>
          <w:spacing w:val="-8"/>
        </w:rPr>
        <w:t xml:space="preserve"> </w:t>
      </w:r>
      <w:r>
        <w:t>been</w:t>
      </w:r>
      <w:r>
        <w:rPr>
          <w:spacing w:val="-9"/>
        </w:rPr>
        <w:t xml:space="preserve"> </w:t>
      </w:r>
      <w:r>
        <w:t>cited</w:t>
      </w:r>
      <w:r>
        <w:rPr>
          <w:spacing w:val="-11"/>
        </w:rPr>
        <w:t xml:space="preserve"> </w:t>
      </w:r>
      <w:r>
        <w:t>as</w:t>
      </w:r>
      <w:r>
        <w:rPr>
          <w:spacing w:val="-8"/>
        </w:rPr>
        <w:t xml:space="preserve"> </w:t>
      </w:r>
      <w:r>
        <w:t>an</w:t>
      </w:r>
      <w:r>
        <w:rPr>
          <w:spacing w:val="-11"/>
        </w:rPr>
        <w:t xml:space="preserve"> </w:t>
      </w:r>
      <w:r>
        <w:t>applicable requirement in the FGBOILERMACT table of the</w:t>
      </w:r>
      <w:r>
        <w:rPr>
          <w:spacing w:val="-4"/>
        </w:rPr>
        <w:t xml:space="preserve"> </w:t>
      </w:r>
      <w:r>
        <w:t>ROP.</w:t>
      </w:r>
    </w:p>
    <w:p w14:paraId="53A413FA" w14:textId="77777777" w:rsidR="002B4FFB" w:rsidRDefault="002B4FFB">
      <w:pPr>
        <w:pStyle w:val="BodyText"/>
      </w:pPr>
    </w:p>
    <w:p w14:paraId="589F3AF4" w14:textId="77777777" w:rsidR="002B4FFB" w:rsidRDefault="001F7021">
      <w:pPr>
        <w:pStyle w:val="BodyText"/>
        <w:ind w:left="107" w:right="883"/>
        <w:jc w:val="both"/>
      </w:pPr>
      <w:r>
        <w:t>EUEMERGEN1, EUEMERGEN2, EUEMERGEN3, and EUEMERGEN4 at the stationary source are subject</w:t>
      </w:r>
      <w:r>
        <w:rPr>
          <w:spacing w:val="-6"/>
        </w:rPr>
        <w:t xml:space="preserve"> </w:t>
      </w:r>
      <w:r>
        <w:t>to</w:t>
      </w:r>
      <w:r>
        <w:rPr>
          <w:spacing w:val="-7"/>
        </w:rPr>
        <w:t xml:space="preserve"> </w:t>
      </w:r>
      <w:r>
        <w:t>the</w:t>
      </w:r>
      <w:r>
        <w:rPr>
          <w:spacing w:val="-5"/>
        </w:rPr>
        <w:t xml:space="preserve"> </w:t>
      </w:r>
      <w:r>
        <w:t>National</w:t>
      </w:r>
      <w:r>
        <w:rPr>
          <w:spacing w:val="-6"/>
        </w:rPr>
        <w:t xml:space="preserve"> </w:t>
      </w:r>
      <w:r>
        <w:t>Emissions</w:t>
      </w:r>
      <w:r>
        <w:rPr>
          <w:spacing w:val="-5"/>
        </w:rPr>
        <w:t xml:space="preserve"> </w:t>
      </w:r>
      <w:r>
        <w:t>Standards</w:t>
      </w:r>
      <w:r>
        <w:rPr>
          <w:spacing w:val="-9"/>
        </w:rPr>
        <w:t xml:space="preserve"> </w:t>
      </w:r>
      <w:r>
        <w:t>for</w:t>
      </w:r>
      <w:r>
        <w:rPr>
          <w:spacing w:val="-6"/>
        </w:rPr>
        <w:t xml:space="preserve"> </w:t>
      </w:r>
      <w:r>
        <w:t>Hazardous</w:t>
      </w:r>
      <w:r>
        <w:rPr>
          <w:spacing w:val="-7"/>
        </w:rPr>
        <w:t xml:space="preserve"> </w:t>
      </w:r>
      <w:r>
        <w:t>Air</w:t>
      </w:r>
      <w:r>
        <w:rPr>
          <w:spacing w:val="-6"/>
        </w:rPr>
        <w:t xml:space="preserve"> </w:t>
      </w:r>
      <w:r>
        <w:t>Pollutants</w:t>
      </w:r>
      <w:r>
        <w:rPr>
          <w:spacing w:val="-9"/>
        </w:rPr>
        <w:t xml:space="preserve"> </w:t>
      </w:r>
      <w:r>
        <w:t>for</w:t>
      </w:r>
      <w:r>
        <w:rPr>
          <w:spacing w:val="-6"/>
        </w:rPr>
        <w:t xml:space="preserve"> </w:t>
      </w:r>
      <w:r>
        <w:t>Major</w:t>
      </w:r>
      <w:r>
        <w:rPr>
          <w:spacing w:val="-6"/>
        </w:rPr>
        <w:t xml:space="preserve"> </w:t>
      </w:r>
      <w:r>
        <w:t>Sources</w:t>
      </w:r>
      <w:r>
        <w:rPr>
          <w:spacing w:val="-7"/>
        </w:rPr>
        <w:t xml:space="preserve"> </w:t>
      </w:r>
      <w:r>
        <w:t>for</w:t>
      </w:r>
      <w:r>
        <w:rPr>
          <w:spacing w:val="-6"/>
        </w:rPr>
        <w:t xml:space="preserve"> </w:t>
      </w:r>
      <w:r>
        <w:t>Stationary Reciprocating Internal Combustion Engines promulgated in 40 CFR Part 63, Subparts A and ZZZZ. This standard is also referred to as a Maximum Achievable Control Technology (MACT) standard, and it has been cited as an applicable</w:t>
      </w:r>
      <w:r>
        <w:t xml:space="preserve"> requirement in the FGRICEMACT table of the</w:t>
      </w:r>
      <w:r>
        <w:rPr>
          <w:spacing w:val="-12"/>
        </w:rPr>
        <w:t xml:space="preserve"> </w:t>
      </w:r>
      <w:r>
        <w:t>ROP.</w:t>
      </w:r>
    </w:p>
    <w:p w14:paraId="6FA59A60" w14:textId="77777777" w:rsidR="002B4FFB" w:rsidRDefault="002B4FFB">
      <w:pPr>
        <w:jc w:val="both"/>
        <w:sectPr w:rsidR="002B4FFB">
          <w:pgSz w:w="12240" w:h="15840"/>
          <w:pgMar w:top="940" w:right="120" w:bottom="940" w:left="900" w:header="0" w:footer="743" w:gutter="0"/>
          <w:cols w:space="720"/>
        </w:sectPr>
      </w:pPr>
    </w:p>
    <w:p w14:paraId="3F2038C1" w14:textId="77777777" w:rsidR="002B4FFB" w:rsidRDefault="001F7021">
      <w:pPr>
        <w:pStyle w:val="BodyText"/>
        <w:spacing w:before="80"/>
        <w:ind w:left="107" w:right="883"/>
        <w:jc w:val="both"/>
      </w:pPr>
      <w:r>
        <w:lastRenderedPageBreak/>
        <w:t>On July 19, 2019 USEPA awarded EGLE the delegation for implementation and enforcement of 40 CFR Part 63, Subparts DDDDD and ZZZZ. Subsequently, EGLE, AQD has revised the related ROP templates f</w:t>
      </w:r>
      <w:r>
        <w:t>or</w:t>
      </w:r>
      <w:r>
        <w:rPr>
          <w:spacing w:val="-5"/>
        </w:rPr>
        <w:t xml:space="preserve"> </w:t>
      </w:r>
      <w:r>
        <w:t>Subpart</w:t>
      </w:r>
      <w:r>
        <w:rPr>
          <w:spacing w:val="-5"/>
        </w:rPr>
        <w:t xml:space="preserve"> </w:t>
      </w:r>
      <w:r>
        <w:t>DDDDD,</w:t>
      </w:r>
      <w:r>
        <w:rPr>
          <w:spacing w:val="-5"/>
        </w:rPr>
        <w:t xml:space="preserve"> </w:t>
      </w:r>
      <w:r>
        <w:t>and</w:t>
      </w:r>
      <w:r>
        <w:rPr>
          <w:spacing w:val="-9"/>
        </w:rPr>
        <w:t xml:space="preserve"> </w:t>
      </w:r>
      <w:r>
        <w:t>the</w:t>
      </w:r>
      <w:r>
        <w:rPr>
          <w:spacing w:val="-6"/>
        </w:rPr>
        <w:t xml:space="preserve"> </w:t>
      </w:r>
      <w:r>
        <w:t>newly</w:t>
      </w:r>
      <w:r>
        <w:rPr>
          <w:spacing w:val="-6"/>
        </w:rPr>
        <w:t xml:space="preserve"> </w:t>
      </w:r>
      <w:r>
        <w:t>revised</w:t>
      </w:r>
      <w:r>
        <w:rPr>
          <w:spacing w:val="-6"/>
        </w:rPr>
        <w:t xml:space="preserve"> </w:t>
      </w:r>
      <w:r>
        <w:t>template</w:t>
      </w:r>
      <w:r>
        <w:rPr>
          <w:spacing w:val="-6"/>
        </w:rPr>
        <w:t xml:space="preserve"> </w:t>
      </w:r>
      <w:r>
        <w:t>was</w:t>
      </w:r>
      <w:r>
        <w:rPr>
          <w:spacing w:val="-6"/>
        </w:rPr>
        <w:t xml:space="preserve"> </w:t>
      </w:r>
      <w:r>
        <w:t>used</w:t>
      </w:r>
      <w:r>
        <w:rPr>
          <w:spacing w:val="-6"/>
        </w:rPr>
        <w:t xml:space="preserve"> </w:t>
      </w:r>
      <w:r>
        <w:t>for</w:t>
      </w:r>
      <w:r>
        <w:rPr>
          <w:spacing w:val="-8"/>
        </w:rPr>
        <w:t xml:space="preserve"> </w:t>
      </w:r>
      <w:r>
        <w:t>the</w:t>
      </w:r>
      <w:r>
        <w:rPr>
          <w:spacing w:val="-5"/>
        </w:rPr>
        <w:t xml:space="preserve"> </w:t>
      </w:r>
      <w:r>
        <w:t>FGBOILERMACT</w:t>
      </w:r>
      <w:r>
        <w:rPr>
          <w:spacing w:val="-7"/>
        </w:rPr>
        <w:t xml:space="preserve"> </w:t>
      </w:r>
      <w:r>
        <w:t>table</w:t>
      </w:r>
      <w:r>
        <w:rPr>
          <w:spacing w:val="-6"/>
        </w:rPr>
        <w:t xml:space="preserve"> </w:t>
      </w:r>
      <w:r>
        <w:t>in</w:t>
      </w:r>
      <w:r>
        <w:rPr>
          <w:spacing w:val="-6"/>
        </w:rPr>
        <w:t xml:space="preserve"> </w:t>
      </w:r>
      <w:r>
        <w:t>this</w:t>
      </w:r>
      <w:r>
        <w:rPr>
          <w:spacing w:val="-6"/>
        </w:rPr>
        <w:t xml:space="preserve"> </w:t>
      </w:r>
      <w:r>
        <w:t>ROP renewal.</w:t>
      </w:r>
    </w:p>
    <w:p w14:paraId="522E22E6" w14:textId="77777777" w:rsidR="002B4FFB" w:rsidRDefault="002B4FFB">
      <w:pPr>
        <w:pStyle w:val="BodyText"/>
        <w:spacing w:before="11"/>
        <w:rPr>
          <w:sz w:val="21"/>
        </w:rPr>
      </w:pPr>
    </w:p>
    <w:p w14:paraId="4EFDA2C7" w14:textId="77777777" w:rsidR="002B4FFB" w:rsidRDefault="001F7021">
      <w:pPr>
        <w:pStyle w:val="BodyText"/>
        <w:ind w:left="107" w:right="883"/>
        <w:jc w:val="both"/>
      </w:pPr>
      <w:r>
        <w:t>There have not been any enforcement issues since the last ROP issuance. Therefore, Appendix 2 of the ROP does not include a compliance schedule.</w:t>
      </w:r>
    </w:p>
    <w:p w14:paraId="735A823C" w14:textId="77777777" w:rsidR="002B4FFB" w:rsidRDefault="002B4FFB">
      <w:pPr>
        <w:pStyle w:val="BodyText"/>
        <w:spacing w:before="1"/>
      </w:pPr>
    </w:p>
    <w:p w14:paraId="72431EBF" w14:textId="77777777" w:rsidR="002B4FFB" w:rsidRDefault="001F7021">
      <w:pPr>
        <w:pStyle w:val="BodyText"/>
        <w:spacing w:before="1"/>
        <w:ind w:left="107" w:right="887"/>
        <w:jc w:val="both"/>
      </w:pPr>
      <w:r>
        <w:t>The monitoring conditions contained in the ROP are necessary to demonstrate compliance with all applicable req</w:t>
      </w:r>
      <w:r>
        <w:t>uirements and are consistent with the "Procedure for Evaluating Periodic Monitoring Submittals."</w:t>
      </w:r>
    </w:p>
    <w:p w14:paraId="13FF7568" w14:textId="77777777" w:rsidR="002B4FFB" w:rsidRDefault="002B4FFB">
      <w:pPr>
        <w:pStyle w:val="BodyText"/>
        <w:spacing w:before="9"/>
        <w:rPr>
          <w:sz w:val="21"/>
        </w:rPr>
      </w:pPr>
    </w:p>
    <w:p w14:paraId="4A47DF89" w14:textId="77777777" w:rsidR="002B4FFB" w:rsidRDefault="001F7021">
      <w:pPr>
        <w:pStyle w:val="BodyText"/>
        <w:ind w:left="107" w:right="884"/>
        <w:jc w:val="both"/>
      </w:pPr>
      <w:r>
        <w:t>The emission limitation(s) or standard(s) for Hazardous Air Pollutants (HAPs) from EUHUBLINE1, EUHUBLINE4,</w:t>
      </w:r>
      <w:r>
        <w:rPr>
          <w:spacing w:val="14"/>
        </w:rPr>
        <w:t xml:space="preserve"> </w:t>
      </w:r>
      <w:r>
        <w:t>EUHUBLINE5,</w:t>
      </w:r>
      <w:r>
        <w:rPr>
          <w:spacing w:val="15"/>
        </w:rPr>
        <w:t xml:space="preserve"> </w:t>
      </w:r>
      <w:r>
        <w:t>EUHUBLINE6,</w:t>
      </w:r>
      <w:r>
        <w:rPr>
          <w:spacing w:val="14"/>
        </w:rPr>
        <w:t xml:space="preserve"> </w:t>
      </w:r>
      <w:r>
        <w:t>EUROTORLINE1,</w:t>
      </w:r>
      <w:r>
        <w:rPr>
          <w:spacing w:val="15"/>
        </w:rPr>
        <w:t xml:space="preserve"> </w:t>
      </w:r>
      <w:r>
        <w:t>and</w:t>
      </w:r>
      <w:r>
        <w:rPr>
          <w:spacing w:val="10"/>
        </w:rPr>
        <w:t xml:space="preserve"> </w:t>
      </w:r>
      <w:r>
        <w:t>EUSTATORL</w:t>
      </w:r>
      <w:r>
        <w:t>INE</w:t>
      </w:r>
      <w:r>
        <w:rPr>
          <w:spacing w:val="13"/>
        </w:rPr>
        <w:t xml:space="preserve"> </w:t>
      </w:r>
      <w:r>
        <w:t>at</w:t>
      </w:r>
      <w:r>
        <w:rPr>
          <w:spacing w:val="12"/>
        </w:rPr>
        <w:t xml:space="preserve"> </w:t>
      </w:r>
      <w:r>
        <w:t>the</w:t>
      </w:r>
      <w:r>
        <w:rPr>
          <w:spacing w:val="10"/>
        </w:rPr>
        <w:t xml:space="preserve"> </w:t>
      </w:r>
      <w:r>
        <w:t>stationary</w:t>
      </w:r>
    </w:p>
    <w:p w14:paraId="425772EC" w14:textId="77777777" w:rsidR="002B4FFB" w:rsidRDefault="001F7021">
      <w:pPr>
        <w:pStyle w:val="BodyText"/>
        <w:spacing w:before="1"/>
        <w:ind w:left="107" w:right="884"/>
        <w:jc w:val="both"/>
      </w:pPr>
      <w:proofErr w:type="gramStart"/>
      <w:r>
        <w:t>source</w:t>
      </w:r>
      <w:proofErr w:type="gramEnd"/>
      <w:r>
        <w:t xml:space="preserve"> are exempt from the federal Compliance Assurance Monitoring (CAM) regulation under 40 CFR Part 64 because HAPs are addressed by the major source MACT standard - 40 CFR Part 63, Subpart MMMM – Surface Coating of Miscellaneous Metal Parts and Products</w:t>
      </w:r>
      <w:r>
        <w:t xml:space="preserve">. Therefore, EUHUBLINE1, EUHUBLINE4, EUHUBLINE5, EUHUBLINE6, EUROTORLINE1, and EUSTATORLINE are </w:t>
      </w:r>
      <w:proofErr w:type="gramStart"/>
      <w:r>
        <w:t xml:space="preserve">exempt </w:t>
      </w:r>
      <w:r>
        <w:rPr>
          <w:spacing w:val="3"/>
        </w:rPr>
        <w:t xml:space="preserve"> </w:t>
      </w:r>
      <w:r>
        <w:t>from</w:t>
      </w:r>
      <w:proofErr w:type="gramEnd"/>
    </w:p>
    <w:p w14:paraId="2FE08DA5" w14:textId="77777777" w:rsidR="002B4FFB" w:rsidRDefault="001F7021">
      <w:pPr>
        <w:pStyle w:val="BodyText"/>
        <w:ind w:left="107"/>
        <w:jc w:val="both"/>
      </w:pPr>
      <w:r>
        <w:t>CAM requirements for HAPs.</w:t>
      </w:r>
    </w:p>
    <w:p w14:paraId="54A6B879" w14:textId="77777777" w:rsidR="002B4FFB" w:rsidRDefault="002B4FFB">
      <w:pPr>
        <w:pStyle w:val="BodyText"/>
      </w:pPr>
    </w:p>
    <w:p w14:paraId="1AFFE961" w14:textId="77777777" w:rsidR="002B4FFB" w:rsidRDefault="001F7021">
      <w:pPr>
        <w:pStyle w:val="BodyText"/>
        <w:spacing w:before="1"/>
        <w:ind w:left="107" w:right="883"/>
        <w:jc w:val="both"/>
      </w:pPr>
      <w:r>
        <w:t>No other emission units have emission limitations or standards that are subject to the federal Compliance Assurance</w:t>
      </w:r>
      <w:r>
        <w:rPr>
          <w:spacing w:val="-11"/>
        </w:rPr>
        <w:t xml:space="preserve"> </w:t>
      </w:r>
      <w:r>
        <w:t>Mon</w:t>
      </w:r>
      <w:r>
        <w:t>itoring</w:t>
      </w:r>
      <w:r>
        <w:rPr>
          <w:spacing w:val="-11"/>
        </w:rPr>
        <w:t xml:space="preserve"> </w:t>
      </w:r>
      <w:r>
        <w:t>rule</w:t>
      </w:r>
      <w:r>
        <w:rPr>
          <w:spacing w:val="-9"/>
        </w:rPr>
        <w:t xml:space="preserve"> </w:t>
      </w:r>
      <w:r>
        <w:t>pursuant</w:t>
      </w:r>
      <w:r>
        <w:rPr>
          <w:spacing w:val="-10"/>
        </w:rPr>
        <w:t xml:space="preserve"> </w:t>
      </w:r>
      <w:r>
        <w:t>to</w:t>
      </w:r>
      <w:r>
        <w:rPr>
          <w:spacing w:val="-11"/>
        </w:rPr>
        <w:t xml:space="preserve"> </w:t>
      </w:r>
      <w:r>
        <w:t>40</w:t>
      </w:r>
      <w:r>
        <w:rPr>
          <w:spacing w:val="-11"/>
        </w:rPr>
        <w:t xml:space="preserve"> </w:t>
      </w:r>
      <w:r>
        <w:t>CFR</w:t>
      </w:r>
      <w:r>
        <w:rPr>
          <w:spacing w:val="-9"/>
        </w:rPr>
        <w:t xml:space="preserve"> </w:t>
      </w:r>
      <w:r>
        <w:t>Part</w:t>
      </w:r>
      <w:r>
        <w:rPr>
          <w:spacing w:val="-10"/>
        </w:rPr>
        <w:t xml:space="preserve"> </w:t>
      </w:r>
      <w:r>
        <w:t>64,</w:t>
      </w:r>
      <w:r>
        <w:rPr>
          <w:spacing w:val="-10"/>
        </w:rPr>
        <w:t xml:space="preserve"> </w:t>
      </w:r>
      <w:r>
        <w:t>because</w:t>
      </w:r>
      <w:r>
        <w:rPr>
          <w:spacing w:val="-11"/>
        </w:rPr>
        <w:t xml:space="preserve"> </w:t>
      </w:r>
      <w:r>
        <w:t>all</w:t>
      </w:r>
      <w:r>
        <w:rPr>
          <w:spacing w:val="-10"/>
        </w:rPr>
        <w:t xml:space="preserve"> </w:t>
      </w:r>
      <w:r>
        <w:t>emission</w:t>
      </w:r>
      <w:r>
        <w:rPr>
          <w:spacing w:val="-9"/>
        </w:rPr>
        <w:t xml:space="preserve"> </w:t>
      </w:r>
      <w:r>
        <w:t>units</w:t>
      </w:r>
      <w:r>
        <w:rPr>
          <w:spacing w:val="-11"/>
        </w:rPr>
        <w:t xml:space="preserve"> </w:t>
      </w:r>
      <w:r>
        <w:t>at</w:t>
      </w:r>
      <w:r>
        <w:rPr>
          <w:spacing w:val="-11"/>
        </w:rPr>
        <w:t xml:space="preserve"> </w:t>
      </w:r>
      <w:r>
        <w:t>the</w:t>
      </w:r>
      <w:r>
        <w:rPr>
          <w:spacing w:val="-10"/>
        </w:rPr>
        <w:t xml:space="preserve"> </w:t>
      </w:r>
      <w:r>
        <w:t>stationary</w:t>
      </w:r>
      <w:r>
        <w:rPr>
          <w:spacing w:val="-10"/>
        </w:rPr>
        <w:t xml:space="preserve"> </w:t>
      </w:r>
      <w:r>
        <w:t>source either do not have a control device or those with a control device do not have potential pre-control emissions over the major source thresholds. (This includes the</w:t>
      </w:r>
      <w:r>
        <w:t xml:space="preserve"> above EUs evaluated for VOCs, and FGFURNACES evaluated for criteria</w:t>
      </w:r>
      <w:r>
        <w:rPr>
          <w:spacing w:val="-1"/>
        </w:rPr>
        <w:t xml:space="preserve"> </w:t>
      </w:r>
      <w:r>
        <w:t>pollutants)</w:t>
      </w:r>
    </w:p>
    <w:p w14:paraId="66A8E589" w14:textId="77777777" w:rsidR="002B4FFB" w:rsidRDefault="002B4FFB">
      <w:pPr>
        <w:pStyle w:val="BodyText"/>
        <w:spacing w:before="10"/>
        <w:rPr>
          <w:sz w:val="21"/>
        </w:rPr>
      </w:pPr>
    </w:p>
    <w:p w14:paraId="787A948E" w14:textId="77777777" w:rsidR="002B4FFB" w:rsidRDefault="001F7021">
      <w:pPr>
        <w:pStyle w:val="BodyText"/>
        <w:ind w:left="107" w:right="885"/>
        <w:jc w:val="both"/>
      </w:pPr>
      <w:r>
        <w:t>Please</w:t>
      </w:r>
      <w:r>
        <w:rPr>
          <w:spacing w:val="-6"/>
        </w:rPr>
        <w:t xml:space="preserve"> </w:t>
      </w:r>
      <w:r>
        <w:t>refer</w:t>
      </w:r>
      <w:r>
        <w:rPr>
          <w:spacing w:val="-8"/>
        </w:rPr>
        <w:t xml:space="preserve"> </w:t>
      </w:r>
      <w:r>
        <w:t>to</w:t>
      </w:r>
      <w:r>
        <w:rPr>
          <w:spacing w:val="-9"/>
        </w:rPr>
        <w:t xml:space="preserve"> </w:t>
      </w:r>
      <w:r>
        <w:t>Parts</w:t>
      </w:r>
      <w:r>
        <w:rPr>
          <w:spacing w:val="-6"/>
        </w:rPr>
        <w:t xml:space="preserve"> </w:t>
      </w:r>
      <w:r>
        <w:t>B,</w:t>
      </w:r>
      <w:r>
        <w:rPr>
          <w:spacing w:val="-7"/>
        </w:rPr>
        <w:t xml:space="preserve"> </w:t>
      </w:r>
      <w:r>
        <w:t>C</w:t>
      </w:r>
      <w:r>
        <w:rPr>
          <w:spacing w:val="-7"/>
        </w:rPr>
        <w:t xml:space="preserve"> </w:t>
      </w:r>
      <w:r>
        <w:t>and</w:t>
      </w:r>
      <w:r>
        <w:rPr>
          <w:spacing w:val="-6"/>
        </w:rPr>
        <w:t xml:space="preserve"> </w:t>
      </w:r>
      <w:r>
        <w:t>D</w:t>
      </w:r>
      <w:r>
        <w:rPr>
          <w:spacing w:val="-9"/>
        </w:rPr>
        <w:t xml:space="preserve"> </w:t>
      </w:r>
      <w:r>
        <w:t>in</w:t>
      </w:r>
      <w:r>
        <w:rPr>
          <w:spacing w:val="-6"/>
        </w:rPr>
        <w:t xml:space="preserve"> </w:t>
      </w:r>
      <w:r>
        <w:t>the</w:t>
      </w:r>
      <w:r>
        <w:rPr>
          <w:spacing w:val="-8"/>
        </w:rPr>
        <w:t xml:space="preserve"> </w:t>
      </w:r>
      <w:r>
        <w:t>draft</w:t>
      </w:r>
      <w:r>
        <w:rPr>
          <w:spacing w:val="-5"/>
        </w:rPr>
        <w:t xml:space="preserve"> </w:t>
      </w:r>
      <w:r>
        <w:t>ROP</w:t>
      </w:r>
      <w:r>
        <w:rPr>
          <w:spacing w:val="-9"/>
        </w:rPr>
        <w:t xml:space="preserve"> </w:t>
      </w:r>
      <w:r>
        <w:t>for</w:t>
      </w:r>
      <w:r>
        <w:rPr>
          <w:spacing w:val="-5"/>
        </w:rPr>
        <w:t xml:space="preserve"> </w:t>
      </w:r>
      <w:r>
        <w:t>detailed</w:t>
      </w:r>
      <w:r>
        <w:rPr>
          <w:spacing w:val="-6"/>
        </w:rPr>
        <w:t xml:space="preserve"> </w:t>
      </w:r>
      <w:r>
        <w:t>regulatory</w:t>
      </w:r>
      <w:r>
        <w:rPr>
          <w:spacing w:val="-8"/>
        </w:rPr>
        <w:t xml:space="preserve"> </w:t>
      </w:r>
      <w:r>
        <w:t>citations</w:t>
      </w:r>
      <w:r>
        <w:rPr>
          <w:spacing w:val="-8"/>
        </w:rPr>
        <w:t xml:space="preserve"> </w:t>
      </w:r>
      <w:r>
        <w:t>for</w:t>
      </w:r>
      <w:r>
        <w:rPr>
          <w:spacing w:val="-8"/>
        </w:rPr>
        <w:t xml:space="preserve"> </w:t>
      </w:r>
      <w:r>
        <w:t>the</w:t>
      </w:r>
      <w:r>
        <w:rPr>
          <w:spacing w:val="-9"/>
        </w:rPr>
        <w:t xml:space="preserve"> </w:t>
      </w:r>
      <w:r>
        <w:t>stationary</w:t>
      </w:r>
      <w:r>
        <w:rPr>
          <w:spacing w:val="-8"/>
        </w:rPr>
        <w:t xml:space="preserve"> </w:t>
      </w:r>
      <w:r>
        <w:t>source. Part A contains regulatory citations for general</w:t>
      </w:r>
      <w:r>
        <w:rPr>
          <w:spacing w:val="2"/>
        </w:rPr>
        <w:t xml:space="preserve"> </w:t>
      </w:r>
      <w:r>
        <w:t>conditions.</w:t>
      </w:r>
    </w:p>
    <w:p w14:paraId="11A1F8FC" w14:textId="77777777" w:rsidR="002B4FFB" w:rsidRDefault="002B4FFB">
      <w:pPr>
        <w:pStyle w:val="BodyText"/>
      </w:pPr>
    </w:p>
    <w:p w14:paraId="0DD99685" w14:textId="77777777" w:rsidR="002B4FFB" w:rsidRDefault="001F7021">
      <w:pPr>
        <w:pStyle w:val="Heading1"/>
        <w:spacing w:before="1"/>
        <w:jc w:val="both"/>
        <w:rPr>
          <w:u w:val="none"/>
        </w:rPr>
      </w:pPr>
      <w:r>
        <w:rPr>
          <w:u w:val="thick"/>
        </w:rPr>
        <w:t>Source-Wide Permit to Install (PTI)</w:t>
      </w:r>
    </w:p>
    <w:p w14:paraId="6F701DEB" w14:textId="77777777" w:rsidR="002B4FFB" w:rsidRDefault="002B4FFB">
      <w:pPr>
        <w:pStyle w:val="BodyText"/>
        <w:spacing w:before="10"/>
        <w:rPr>
          <w:b/>
          <w:sz w:val="13"/>
        </w:rPr>
      </w:pPr>
    </w:p>
    <w:p w14:paraId="3B38A3A7" w14:textId="77777777" w:rsidR="002B4FFB" w:rsidRDefault="001F7021">
      <w:pPr>
        <w:pStyle w:val="BodyText"/>
        <w:spacing w:before="94"/>
        <w:ind w:left="108" w:right="885"/>
        <w:jc w:val="both"/>
      </w:pPr>
      <w:r>
        <w:t>Rule</w:t>
      </w:r>
      <w:r>
        <w:rPr>
          <w:spacing w:val="-7"/>
        </w:rPr>
        <w:t xml:space="preserve"> </w:t>
      </w:r>
      <w:r>
        <w:t>214a</w:t>
      </w:r>
      <w:r>
        <w:rPr>
          <w:spacing w:val="-10"/>
        </w:rPr>
        <w:t xml:space="preserve"> </w:t>
      </w:r>
      <w:r>
        <w:t>requires</w:t>
      </w:r>
      <w:r>
        <w:rPr>
          <w:spacing w:val="-11"/>
        </w:rPr>
        <w:t xml:space="preserve"> </w:t>
      </w:r>
      <w:r>
        <w:t>the</w:t>
      </w:r>
      <w:r>
        <w:rPr>
          <w:spacing w:val="-7"/>
        </w:rPr>
        <w:t xml:space="preserve"> </w:t>
      </w:r>
      <w:r>
        <w:t>issuance</w:t>
      </w:r>
      <w:r>
        <w:rPr>
          <w:spacing w:val="-7"/>
        </w:rPr>
        <w:t xml:space="preserve"> </w:t>
      </w:r>
      <w:r>
        <w:t>of</w:t>
      </w:r>
      <w:r>
        <w:rPr>
          <w:spacing w:val="-8"/>
        </w:rPr>
        <w:t xml:space="preserve"> </w:t>
      </w:r>
      <w:r>
        <w:t>a</w:t>
      </w:r>
      <w:r>
        <w:rPr>
          <w:spacing w:val="-9"/>
        </w:rPr>
        <w:t xml:space="preserve"> </w:t>
      </w:r>
      <w:r>
        <w:t>Source-Wide</w:t>
      </w:r>
      <w:r>
        <w:rPr>
          <w:spacing w:val="-10"/>
        </w:rPr>
        <w:t xml:space="preserve"> </w:t>
      </w:r>
      <w:r>
        <w:t>PTI</w:t>
      </w:r>
      <w:r>
        <w:rPr>
          <w:spacing w:val="-8"/>
        </w:rPr>
        <w:t xml:space="preserve"> </w:t>
      </w:r>
      <w:r>
        <w:t>within</w:t>
      </w:r>
      <w:r>
        <w:rPr>
          <w:spacing w:val="-9"/>
        </w:rPr>
        <w:t xml:space="preserve"> </w:t>
      </w:r>
      <w:r>
        <w:t>the</w:t>
      </w:r>
      <w:r>
        <w:rPr>
          <w:spacing w:val="-10"/>
        </w:rPr>
        <w:t xml:space="preserve"> </w:t>
      </w:r>
      <w:r>
        <w:t>ROP</w:t>
      </w:r>
      <w:r>
        <w:rPr>
          <w:spacing w:val="-10"/>
        </w:rPr>
        <w:t xml:space="preserve"> </w:t>
      </w:r>
      <w:r>
        <w:t>for</w:t>
      </w:r>
      <w:r>
        <w:rPr>
          <w:spacing w:val="-8"/>
        </w:rPr>
        <w:t xml:space="preserve"> </w:t>
      </w:r>
      <w:r>
        <w:t>conditions</w:t>
      </w:r>
      <w:r>
        <w:rPr>
          <w:spacing w:val="-7"/>
        </w:rPr>
        <w:t xml:space="preserve"> </w:t>
      </w:r>
      <w:r>
        <w:t>established</w:t>
      </w:r>
      <w:r>
        <w:rPr>
          <w:spacing w:val="-7"/>
        </w:rPr>
        <w:t xml:space="preserve"> </w:t>
      </w:r>
      <w:r>
        <w:t>pursuant to Rule 201. All terms and conditions that we</w:t>
      </w:r>
      <w:r>
        <w:t>re initially established in a PTI are identified with a footnote designation in the integrated ROP/PTI</w:t>
      </w:r>
      <w:r>
        <w:rPr>
          <w:spacing w:val="-4"/>
        </w:rPr>
        <w:t xml:space="preserve"> </w:t>
      </w:r>
      <w:r>
        <w:t>document.</w:t>
      </w:r>
    </w:p>
    <w:p w14:paraId="06EB0B13" w14:textId="77777777" w:rsidR="002B4FFB" w:rsidRDefault="002B4FFB">
      <w:pPr>
        <w:pStyle w:val="BodyText"/>
      </w:pPr>
    </w:p>
    <w:p w14:paraId="02147D5F" w14:textId="77777777" w:rsidR="002B4FFB" w:rsidRDefault="001F7021">
      <w:pPr>
        <w:pStyle w:val="BodyText"/>
        <w:ind w:left="108" w:right="890"/>
        <w:jc w:val="both"/>
      </w:pPr>
      <w:r>
        <w:t>The following table lists all individual PTIs that were incorporated into previous ROPs. PTIs issued after the effective date of ROP No. MI-RO</w:t>
      </w:r>
      <w:r>
        <w:t>P-N1966-2015 are identified in Appendix 6 of the ROP.</w:t>
      </w:r>
    </w:p>
    <w:p w14:paraId="671A5218" w14:textId="77777777" w:rsidR="002B4FFB" w:rsidRDefault="002B4FFB">
      <w:pPr>
        <w:pStyle w:val="BodyText"/>
        <w:spacing w:before="10" w:after="1"/>
      </w:pPr>
    </w:p>
    <w:tbl>
      <w:tblPr>
        <w:tblW w:w="0" w:type="auto"/>
        <w:tblInd w:w="24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566"/>
        <w:gridCol w:w="2566"/>
        <w:gridCol w:w="2566"/>
        <w:gridCol w:w="2564"/>
      </w:tblGrid>
      <w:tr w:rsidR="002B4FFB" w14:paraId="71AC3D94" w14:textId="77777777">
        <w:trPr>
          <w:trHeight w:val="252"/>
        </w:trPr>
        <w:tc>
          <w:tcPr>
            <w:tcW w:w="10262" w:type="dxa"/>
            <w:gridSpan w:val="4"/>
            <w:tcBorders>
              <w:bottom w:val="single" w:sz="4" w:space="0" w:color="000000"/>
            </w:tcBorders>
            <w:shd w:val="clear" w:color="auto" w:fill="E4E4E4"/>
          </w:tcPr>
          <w:p w14:paraId="77CC3F7B" w14:textId="77777777" w:rsidR="002B4FFB" w:rsidRDefault="001F7021">
            <w:pPr>
              <w:pStyle w:val="TableParagraph"/>
              <w:spacing w:line="232" w:lineRule="exact"/>
              <w:ind w:left="4482" w:right="4475"/>
              <w:jc w:val="center"/>
              <w:rPr>
                <w:b/>
              </w:rPr>
            </w:pPr>
            <w:r>
              <w:rPr>
                <w:b/>
              </w:rPr>
              <w:t>PTI Number</w:t>
            </w:r>
          </w:p>
        </w:tc>
      </w:tr>
      <w:tr w:rsidR="002B4FFB" w14:paraId="3EA25E9B" w14:textId="77777777">
        <w:trPr>
          <w:trHeight w:val="251"/>
        </w:trPr>
        <w:tc>
          <w:tcPr>
            <w:tcW w:w="2566" w:type="dxa"/>
            <w:tcBorders>
              <w:top w:val="single" w:sz="4" w:space="0" w:color="000000"/>
              <w:bottom w:val="single" w:sz="6" w:space="0" w:color="000000"/>
              <w:right w:val="single" w:sz="6" w:space="0" w:color="000000"/>
            </w:tcBorders>
          </w:tcPr>
          <w:p w14:paraId="77C3462E" w14:textId="77777777" w:rsidR="002B4FFB" w:rsidRDefault="001F7021">
            <w:pPr>
              <w:pStyle w:val="TableParagraph"/>
              <w:ind w:left="97"/>
            </w:pPr>
            <w:r>
              <w:t>609-88</w:t>
            </w:r>
          </w:p>
        </w:tc>
        <w:tc>
          <w:tcPr>
            <w:tcW w:w="2566" w:type="dxa"/>
            <w:tcBorders>
              <w:top w:val="single" w:sz="4" w:space="0" w:color="000000"/>
              <w:left w:val="single" w:sz="6" w:space="0" w:color="000000"/>
              <w:bottom w:val="single" w:sz="6" w:space="0" w:color="000000"/>
              <w:right w:val="single" w:sz="6" w:space="0" w:color="000000"/>
            </w:tcBorders>
          </w:tcPr>
          <w:p w14:paraId="196856D0" w14:textId="77777777" w:rsidR="002B4FFB" w:rsidRDefault="001F7021">
            <w:pPr>
              <w:pStyle w:val="TableParagraph"/>
              <w:ind w:left="104"/>
            </w:pPr>
            <w:r>
              <w:t>610-88</w:t>
            </w:r>
          </w:p>
        </w:tc>
        <w:tc>
          <w:tcPr>
            <w:tcW w:w="2566" w:type="dxa"/>
            <w:tcBorders>
              <w:top w:val="single" w:sz="4" w:space="0" w:color="000000"/>
              <w:left w:val="single" w:sz="6" w:space="0" w:color="000000"/>
              <w:bottom w:val="single" w:sz="6" w:space="0" w:color="000000"/>
              <w:right w:val="single" w:sz="6" w:space="0" w:color="000000"/>
            </w:tcBorders>
          </w:tcPr>
          <w:p w14:paraId="52D72607" w14:textId="77777777" w:rsidR="002B4FFB" w:rsidRDefault="001F7021">
            <w:pPr>
              <w:pStyle w:val="TableParagraph"/>
              <w:ind w:left="104"/>
            </w:pPr>
            <w:r>
              <w:t>611-88D</w:t>
            </w:r>
          </w:p>
        </w:tc>
        <w:tc>
          <w:tcPr>
            <w:tcW w:w="2564" w:type="dxa"/>
            <w:tcBorders>
              <w:top w:val="single" w:sz="4" w:space="0" w:color="000000"/>
              <w:left w:val="single" w:sz="6" w:space="0" w:color="000000"/>
              <w:bottom w:val="single" w:sz="6" w:space="0" w:color="000000"/>
            </w:tcBorders>
          </w:tcPr>
          <w:p w14:paraId="22DACACA" w14:textId="77777777" w:rsidR="002B4FFB" w:rsidRDefault="001F7021">
            <w:pPr>
              <w:pStyle w:val="TableParagraph"/>
              <w:ind w:left="101"/>
            </w:pPr>
            <w:r>
              <w:t>612-88</w:t>
            </w:r>
          </w:p>
        </w:tc>
      </w:tr>
      <w:tr w:rsidR="002B4FFB" w14:paraId="442B2C47" w14:textId="77777777">
        <w:trPr>
          <w:trHeight w:val="253"/>
        </w:trPr>
        <w:tc>
          <w:tcPr>
            <w:tcW w:w="2566" w:type="dxa"/>
            <w:tcBorders>
              <w:top w:val="single" w:sz="6" w:space="0" w:color="000000"/>
              <w:bottom w:val="single" w:sz="6" w:space="0" w:color="000000"/>
              <w:right w:val="single" w:sz="6" w:space="0" w:color="000000"/>
            </w:tcBorders>
          </w:tcPr>
          <w:p w14:paraId="76143520" w14:textId="77777777" w:rsidR="002B4FFB" w:rsidRDefault="001F7021">
            <w:pPr>
              <w:pStyle w:val="TableParagraph"/>
              <w:spacing w:before="2" w:line="232" w:lineRule="exact"/>
              <w:ind w:left="97"/>
            </w:pPr>
            <w:r>
              <w:t>613-88A</w:t>
            </w:r>
          </w:p>
        </w:tc>
        <w:tc>
          <w:tcPr>
            <w:tcW w:w="2566" w:type="dxa"/>
            <w:tcBorders>
              <w:top w:val="single" w:sz="6" w:space="0" w:color="000000"/>
              <w:left w:val="single" w:sz="6" w:space="0" w:color="000000"/>
              <w:bottom w:val="single" w:sz="6" w:space="0" w:color="000000"/>
              <w:right w:val="single" w:sz="6" w:space="0" w:color="000000"/>
            </w:tcBorders>
          </w:tcPr>
          <w:p w14:paraId="0046FE25" w14:textId="77777777" w:rsidR="002B4FFB" w:rsidRDefault="001F7021">
            <w:pPr>
              <w:pStyle w:val="TableParagraph"/>
              <w:spacing w:before="2" w:line="232" w:lineRule="exact"/>
              <w:ind w:left="104"/>
            </w:pPr>
            <w:r>
              <w:t>614-88</w:t>
            </w:r>
          </w:p>
        </w:tc>
        <w:tc>
          <w:tcPr>
            <w:tcW w:w="2566" w:type="dxa"/>
            <w:tcBorders>
              <w:top w:val="single" w:sz="6" w:space="0" w:color="000000"/>
              <w:left w:val="single" w:sz="6" w:space="0" w:color="000000"/>
              <w:bottom w:val="single" w:sz="6" w:space="0" w:color="000000"/>
              <w:right w:val="single" w:sz="6" w:space="0" w:color="000000"/>
            </w:tcBorders>
          </w:tcPr>
          <w:p w14:paraId="3E908C1C" w14:textId="77777777" w:rsidR="002B4FFB" w:rsidRDefault="001F7021">
            <w:pPr>
              <w:pStyle w:val="TableParagraph"/>
              <w:spacing w:before="2" w:line="232" w:lineRule="exact"/>
              <w:ind w:left="104"/>
            </w:pPr>
            <w:r>
              <w:t>615-88</w:t>
            </w:r>
          </w:p>
        </w:tc>
        <w:tc>
          <w:tcPr>
            <w:tcW w:w="2564" w:type="dxa"/>
            <w:tcBorders>
              <w:top w:val="single" w:sz="6" w:space="0" w:color="000000"/>
              <w:left w:val="single" w:sz="6" w:space="0" w:color="000000"/>
              <w:bottom w:val="single" w:sz="6" w:space="0" w:color="000000"/>
            </w:tcBorders>
          </w:tcPr>
          <w:p w14:paraId="4A5BF0A1" w14:textId="77777777" w:rsidR="002B4FFB" w:rsidRDefault="001F7021">
            <w:pPr>
              <w:pStyle w:val="TableParagraph"/>
              <w:spacing w:before="2" w:line="232" w:lineRule="exact"/>
              <w:ind w:left="101"/>
            </w:pPr>
            <w:r>
              <w:t>616-88</w:t>
            </w:r>
          </w:p>
        </w:tc>
      </w:tr>
      <w:tr w:rsidR="002B4FFB" w14:paraId="1FE2A057" w14:textId="77777777">
        <w:trPr>
          <w:trHeight w:val="253"/>
        </w:trPr>
        <w:tc>
          <w:tcPr>
            <w:tcW w:w="2566" w:type="dxa"/>
            <w:tcBorders>
              <w:top w:val="single" w:sz="6" w:space="0" w:color="000000"/>
              <w:bottom w:val="single" w:sz="6" w:space="0" w:color="000000"/>
              <w:right w:val="single" w:sz="6" w:space="0" w:color="000000"/>
            </w:tcBorders>
          </w:tcPr>
          <w:p w14:paraId="474E66D3" w14:textId="77777777" w:rsidR="002B4FFB" w:rsidRDefault="001F7021">
            <w:pPr>
              <w:pStyle w:val="TableParagraph"/>
              <w:spacing w:line="234" w:lineRule="exact"/>
              <w:ind w:left="97"/>
            </w:pPr>
            <w:r>
              <w:t>617-88</w:t>
            </w:r>
          </w:p>
        </w:tc>
        <w:tc>
          <w:tcPr>
            <w:tcW w:w="2566" w:type="dxa"/>
            <w:tcBorders>
              <w:top w:val="single" w:sz="6" w:space="0" w:color="000000"/>
              <w:left w:val="single" w:sz="6" w:space="0" w:color="000000"/>
              <w:bottom w:val="single" w:sz="6" w:space="0" w:color="000000"/>
              <w:right w:val="single" w:sz="6" w:space="0" w:color="000000"/>
            </w:tcBorders>
          </w:tcPr>
          <w:p w14:paraId="25CB8DFC" w14:textId="77777777" w:rsidR="002B4FFB" w:rsidRDefault="001F7021">
            <w:pPr>
              <w:pStyle w:val="TableParagraph"/>
              <w:spacing w:line="234" w:lineRule="exact"/>
              <w:ind w:left="104"/>
            </w:pPr>
            <w:r>
              <w:t>618-88</w:t>
            </w:r>
          </w:p>
        </w:tc>
        <w:tc>
          <w:tcPr>
            <w:tcW w:w="2566" w:type="dxa"/>
            <w:tcBorders>
              <w:top w:val="single" w:sz="6" w:space="0" w:color="000000"/>
              <w:left w:val="single" w:sz="6" w:space="0" w:color="000000"/>
              <w:bottom w:val="single" w:sz="6" w:space="0" w:color="000000"/>
              <w:right w:val="single" w:sz="6" w:space="0" w:color="000000"/>
            </w:tcBorders>
          </w:tcPr>
          <w:p w14:paraId="0D12D484" w14:textId="77777777" w:rsidR="002B4FFB" w:rsidRDefault="001F7021">
            <w:pPr>
              <w:pStyle w:val="TableParagraph"/>
              <w:spacing w:line="234" w:lineRule="exact"/>
              <w:ind w:left="104"/>
            </w:pPr>
            <w:r>
              <w:t>849-89</w:t>
            </w:r>
          </w:p>
        </w:tc>
        <w:tc>
          <w:tcPr>
            <w:tcW w:w="2564" w:type="dxa"/>
            <w:tcBorders>
              <w:top w:val="single" w:sz="6" w:space="0" w:color="000000"/>
              <w:left w:val="single" w:sz="6" w:space="0" w:color="000000"/>
              <w:bottom w:val="single" w:sz="6" w:space="0" w:color="000000"/>
            </w:tcBorders>
          </w:tcPr>
          <w:p w14:paraId="266F88DF" w14:textId="77777777" w:rsidR="002B4FFB" w:rsidRDefault="001F7021">
            <w:pPr>
              <w:pStyle w:val="TableParagraph"/>
              <w:spacing w:line="234" w:lineRule="exact"/>
              <w:ind w:left="101"/>
            </w:pPr>
            <w:r>
              <w:t>850-89</w:t>
            </w:r>
          </w:p>
        </w:tc>
      </w:tr>
      <w:tr w:rsidR="002B4FFB" w14:paraId="749C78F3" w14:textId="77777777">
        <w:trPr>
          <w:trHeight w:val="251"/>
        </w:trPr>
        <w:tc>
          <w:tcPr>
            <w:tcW w:w="2566" w:type="dxa"/>
            <w:tcBorders>
              <w:top w:val="single" w:sz="6" w:space="0" w:color="000000"/>
              <w:bottom w:val="single" w:sz="6" w:space="0" w:color="000000"/>
              <w:right w:val="single" w:sz="6" w:space="0" w:color="000000"/>
            </w:tcBorders>
          </w:tcPr>
          <w:p w14:paraId="542DEE77" w14:textId="77777777" w:rsidR="002B4FFB" w:rsidRDefault="001F7021">
            <w:pPr>
              <w:pStyle w:val="TableParagraph"/>
              <w:ind w:left="97"/>
            </w:pPr>
            <w:r>
              <w:t>151-92</w:t>
            </w:r>
          </w:p>
        </w:tc>
        <w:tc>
          <w:tcPr>
            <w:tcW w:w="2566" w:type="dxa"/>
            <w:tcBorders>
              <w:top w:val="single" w:sz="6" w:space="0" w:color="000000"/>
              <w:left w:val="single" w:sz="6" w:space="0" w:color="000000"/>
              <w:bottom w:val="single" w:sz="6" w:space="0" w:color="000000"/>
              <w:right w:val="single" w:sz="6" w:space="0" w:color="000000"/>
            </w:tcBorders>
          </w:tcPr>
          <w:p w14:paraId="0122224D" w14:textId="77777777" w:rsidR="002B4FFB" w:rsidRDefault="001F7021">
            <w:pPr>
              <w:pStyle w:val="TableParagraph"/>
              <w:ind w:left="104"/>
            </w:pPr>
            <w:r>
              <w:t>152-92</w:t>
            </w:r>
          </w:p>
        </w:tc>
        <w:tc>
          <w:tcPr>
            <w:tcW w:w="2566" w:type="dxa"/>
            <w:tcBorders>
              <w:top w:val="single" w:sz="6" w:space="0" w:color="000000"/>
              <w:left w:val="single" w:sz="6" w:space="0" w:color="000000"/>
              <w:bottom w:val="single" w:sz="6" w:space="0" w:color="000000"/>
              <w:right w:val="single" w:sz="6" w:space="0" w:color="000000"/>
            </w:tcBorders>
          </w:tcPr>
          <w:p w14:paraId="158A9A00" w14:textId="77777777" w:rsidR="002B4FFB" w:rsidRDefault="001F7021">
            <w:pPr>
              <w:pStyle w:val="TableParagraph"/>
              <w:ind w:left="104"/>
            </w:pPr>
            <w:r>
              <w:t>153-92</w:t>
            </w:r>
          </w:p>
        </w:tc>
        <w:tc>
          <w:tcPr>
            <w:tcW w:w="2564" w:type="dxa"/>
            <w:tcBorders>
              <w:top w:val="single" w:sz="6" w:space="0" w:color="000000"/>
              <w:left w:val="single" w:sz="6" w:space="0" w:color="000000"/>
              <w:bottom w:val="single" w:sz="6" w:space="0" w:color="000000"/>
            </w:tcBorders>
          </w:tcPr>
          <w:p w14:paraId="0142A40F" w14:textId="77777777" w:rsidR="002B4FFB" w:rsidRDefault="001F7021">
            <w:pPr>
              <w:pStyle w:val="TableParagraph"/>
              <w:ind w:left="101"/>
            </w:pPr>
            <w:r>
              <w:t>894-93</w:t>
            </w:r>
          </w:p>
        </w:tc>
      </w:tr>
      <w:tr w:rsidR="002B4FFB" w14:paraId="267F93B1" w14:textId="77777777">
        <w:trPr>
          <w:trHeight w:val="253"/>
        </w:trPr>
        <w:tc>
          <w:tcPr>
            <w:tcW w:w="2566" w:type="dxa"/>
            <w:tcBorders>
              <w:top w:val="single" w:sz="6" w:space="0" w:color="000000"/>
              <w:bottom w:val="single" w:sz="6" w:space="0" w:color="000000"/>
              <w:right w:val="single" w:sz="6" w:space="0" w:color="000000"/>
            </w:tcBorders>
          </w:tcPr>
          <w:p w14:paraId="31D8EBE4" w14:textId="77777777" w:rsidR="002B4FFB" w:rsidRDefault="001F7021">
            <w:pPr>
              <w:pStyle w:val="TableParagraph"/>
              <w:spacing w:before="2" w:line="232" w:lineRule="exact"/>
              <w:ind w:left="97"/>
            </w:pPr>
            <w:r>
              <w:t>929-93</w:t>
            </w:r>
          </w:p>
        </w:tc>
        <w:tc>
          <w:tcPr>
            <w:tcW w:w="2566" w:type="dxa"/>
            <w:tcBorders>
              <w:top w:val="single" w:sz="6" w:space="0" w:color="000000"/>
              <w:left w:val="single" w:sz="6" w:space="0" w:color="000000"/>
              <w:bottom w:val="single" w:sz="6" w:space="0" w:color="000000"/>
              <w:right w:val="single" w:sz="6" w:space="0" w:color="000000"/>
            </w:tcBorders>
          </w:tcPr>
          <w:p w14:paraId="69DE5CEC" w14:textId="77777777" w:rsidR="002B4FFB" w:rsidRDefault="001F7021">
            <w:pPr>
              <w:pStyle w:val="TableParagraph"/>
              <w:spacing w:before="2" w:line="232" w:lineRule="exact"/>
              <w:ind w:left="104"/>
            </w:pPr>
            <w:r>
              <w:t>448-95A</w:t>
            </w:r>
          </w:p>
        </w:tc>
        <w:tc>
          <w:tcPr>
            <w:tcW w:w="2566" w:type="dxa"/>
            <w:tcBorders>
              <w:top w:val="single" w:sz="6" w:space="0" w:color="000000"/>
              <w:left w:val="single" w:sz="6" w:space="0" w:color="000000"/>
              <w:bottom w:val="single" w:sz="6" w:space="0" w:color="000000"/>
              <w:right w:val="single" w:sz="6" w:space="0" w:color="000000"/>
            </w:tcBorders>
          </w:tcPr>
          <w:p w14:paraId="129FB46F" w14:textId="77777777" w:rsidR="002B4FFB" w:rsidRDefault="001F7021">
            <w:pPr>
              <w:pStyle w:val="TableParagraph"/>
              <w:spacing w:before="2" w:line="232" w:lineRule="exact"/>
              <w:ind w:left="104"/>
            </w:pPr>
            <w:r>
              <w:t>614-95</w:t>
            </w:r>
          </w:p>
        </w:tc>
        <w:tc>
          <w:tcPr>
            <w:tcW w:w="2564" w:type="dxa"/>
            <w:tcBorders>
              <w:top w:val="single" w:sz="6" w:space="0" w:color="000000"/>
              <w:left w:val="single" w:sz="6" w:space="0" w:color="000000"/>
              <w:bottom w:val="single" w:sz="6" w:space="0" w:color="000000"/>
            </w:tcBorders>
          </w:tcPr>
          <w:p w14:paraId="13D9D2FB" w14:textId="77777777" w:rsidR="002B4FFB" w:rsidRDefault="001F7021">
            <w:pPr>
              <w:pStyle w:val="TableParagraph"/>
              <w:spacing w:before="2" w:line="232" w:lineRule="exact"/>
              <w:ind w:left="101"/>
            </w:pPr>
            <w:r>
              <w:t>35-96</w:t>
            </w:r>
          </w:p>
        </w:tc>
      </w:tr>
      <w:tr w:rsidR="002B4FFB" w14:paraId="71C9F14F" w14:textId="77777777">
        <w:trPr>
          <w:trHeight w:val="253"/>
        </w:trPr>
        <w:tc>
          <w:tcPr>
            <w:tcW w:w="2566" w:type="dxa"/>
            <w:tcBorders>
              <w:top w:val="single" w:sz="6" w:space="0" w:color="000000"/>
              <w:bottom w:val="single" w:sz="6" w:space="0" w:color="000000"/>
              <w:right w:val="single" w:sz="6" w:space="0" w:color="000000"/>
            </w:tcBorders>
          </w:tcPr>
          <w:p w14:paraId="0751C319" w14:textId="77777777" w:rsidR="002B4FFB" w:rsidRDefault="001F7021">
            <w:pPr>
              <w:pStyle w:val="TableParagraph"/>
              <w:spacing w:line="234" w:lineRule="exact"/>
              <w:ind w:left="97"/>
            </w:pPr>
            <w:r>
              <w:t>97-96</w:t>
            </w:r>
          </w:p>
        </w:tc>
        <w:tc>
          <w:tcPr>
            <w:tcW w:w="2566" w:type="dxa"/>
            <w:tcBorders>
              <w:top w:val="single" w:sz="6" w:space="0" w:color="000000"/>
              <w:left w:val="single" w:sz="6" w:space="0" w:color="000000"/>
              <w:bottom w:val="single" w:sz="6" w:space="0" w:color="000000"/>
              <w:right w:val="single" w:sz="6" w:space="0" w:color="000000"/>
            </w:tcBorders>
          </w:tcPr>
          <w:p w14:paraId="66B648BB" w14:textId="77777777" w:rsidR="002B4FFB" w:rsidRDefault="001F7021">
            <w:pPr>
              <w:pStyle w:val="TableParagraph"/>
              <w:spacing w:line="234" w:lineRule="exact"/>
              <w:ind w:left="104"/>
            </w:pPr>
            <w:r>
              <w:t>38-99</w:t>
            </w:r>
          </w:p>
        </w:tc>
        <w:tc>
          <w:tcPr>
            <w:tcW w:w="2566" w:type="dxa"/>
            <w:tcBorders>
              <w:top w:val="single" w:sz="6" w:space="0" w:color="000000"/>
              <w:left w:val="single" w:sz="6" w:space="0" w:color="000000"/>
              <w:bottom w:val="single" w:sz="6" w:space="0" w:color="000000"/>
              <w:right w:val="single" w:sz="6" w:space="0" w:color="000000"/>
            </w:tcBorders>
          </w:tcPr>
          <w:p w14:paraId="7A11260A" w14:textId="77777777" w:rsidR="002B4FFB" w:rsidRDefault="001F7021">
            <w:pPr>
              <w:pStyle w:val="TableParagraph"/>
              <w:spacing w:line="234" w:lineRule="exact"/>
              <w:ind w:left="104"/>
            </w:pPr>
            <w:r>
              <w:t>136-01</w:t>
            </w:r>
          </w:p>
        </w:tc>
        <w:tc>
          <w:tcPr>
            <w:tcW w:w="2564" w:type="dxa"/>
            <w:tcBorders>
              <w:top w:val="single" w:sz="6" w:space="0" w:color="000000"/>
              <w:left w:val="single" w:sz="6" w:space="0" w:color="000000"/>
              <w:bottom w:val="single" w:sz="6" w:space="0" w:color="000000"/>
            </w:tcBorders>
          </w:tcPr>
          <w:p w14:paraId="7EED545A" w14:textId="77777777" w:rsidR="002B4FFB" w:rsidRDefault="001F7021">
            <w:pPr>
              <w:pStyle w:val="TableParagraph"/>
              <w:spacing w:line="234" w:lineRule="exact"/>
              <w:ind w:left="101"/>
            </w:pPr>
            <w:r>
              <w:t>137-01</w:t>
            </w:r>
          </w:p>
        </w:tc>
      </w:tr>
      <w:tr w:rsidR="002B4FFB" w14:paraId="3578E6DC" w14:textId="77777777">
        <w:trPr>
          <w:trHeight w:val="251"/>
        </w:trPr>
        <w:tc>
          <w:tcPr>
            <w:tcW w:w="2566" w:type="dxa"/>
            <w:tcBorders>
              <w:top w:val="single" w:sz="6" w:space="0" w:color="000000"/>
              <w:bottom w:val="single" w:sz="6" w:space="0" w:color="000000"/>
              <w:right w:val="single" w:sz="6" w:space="0" w:color="000000"/>
            </w:tcBorders>
          </w:tcPr>
          <w:p w14:paraId="6B3B6433" w14:textId="77777777" w:rsidR="002B4FFB" w:rsidRDefault="001F7021">
            <w:pPr>
              <w:pStyle w:val="TableParagraph"/>
              <w:ind w:left="97"/>
            </w:pPr>
            <w:r>
              <w:t>138-01</w:t>
            </w:r>
          </w:p>
        </w:tc>
        <w:tc>
          <w:tcPr>
            <w:tcW w:w="2566" w:type="dxa"/>
            <w:tcBorders>
              <w:top w:val="single" w:sz="6" w:space="0" w:color="000000"/>
              <w:left w:val="single" w:sz="6" w:space="0" w:color="000000"/>
              <w:bottom w:val="single" w:sz="6" w:space="0" w:color="000000"/>
              <w:right w:val="single" w:sz="6" w:space="0" w:color="000000"/>
            </w:tcBorders>
          </w:tcPr>
          <w:p w14:paraId="607FE625" w14:textId="77777777" w:rsidR="002B4FFB" w:rsidRDefault="001F7021">
            <w:pPr>
              <w:pStyle w:val="TableParagraph"/>
              <w:ind w:left="104"/>
            </w:pPr>
            <w:r>
              <w:t>163-02</w:t>
            </w:r>
          </w:p>
        </w:tc>
        <w:tc>
          <w:tcPr>
            <w:tcW w:w="2566" w:type="dxa"/>
            <w:tcBorders>
              <w:top w:val="single" w:sz="6" w:space="0" w:color="000000"/>
              <w:left w:val="single" w:sz="6" w:space="0" w:color="000000"/>
              <w:bottom w:val="single" w:sz="6" w:space="0" w:color="000000"/>
              <w:right w:val="single" w:sz="6" w:space="0" w:color="000000"/>
            </w:tcBorders>
          </w:tcPr>
          <w:p w14:paraId="25AD0FC1" w14:textId="77777777" w:rsidR="002B4FFB" w:rsidRDefault="001F7021">
            <w:pPr>
              <w:pStyle w:val="TableParagraph"/>
              <w:ind w:left="104"/>
            </w:pPr>
            <w:r>
              <w:t>200-04A</w:t>
            </w:r>
          </w:p>
        </w:tc>
        <w:tc>
          <w:tcPr>
            <w:tcW w:w="2564" w:type="dxa"/>
            <w:tcBorders>
              <w:top w:val="single" w:sz="6" w:space="0" w:color="000000"/>
              <w:left w:val="single" w:sz="6" w:space="0" w:color="000000"/>
              <w:bottom w:val="single" w:sz="6" w:space="0" w:color="000000"/>
            </w:tcBorders>
          </w:tcPr>
          <w:p w14:paraId="7B4231AE" w14:textId="77777777" w:rsidR="002B4FFB" w:rsidRDefault="001F7021">
            <w:pPr>
              <w:pStyle w:val="TableParagraph"/>
              <w:ind w:left="101"/>
            </w:pPr>
            <w:r>
              <w:t>47-14</w:t>
            </w:r>
          </w:p>
        </w:tc>
      </w:tr>
      <w:tr w:rsidR="002B4FFB" w14:paraId="6E18E075" w14:textId="77777777">
        <w:trPr>
          <w:trHeight w:val="255"/>
        </w:trPr>
        <w:tc>
          <w:tcPr>
            <w:tcW w:w="2566" w:type="dxa"/>
            <w:tcBorders>
              <w:top w:val="single" w:sz="6" w:space="0" w:color="000000"/>
              <w:bottom w:val="double" w:sz="2" w:space="0" w:color="000000"/>
              <w:right w:val="single" w:sz="6" w:space="0" w:color="000000"/>
            </w:tcBorders>
          </w:tcPr>
          <w:p w14:paraId="7A3D4921" w14:textId="77777777" w:rsidR="002B4FFB" w:rsidRDefault="001F7021">
            <w:pPr>
              <w:pStyle w:val="TableParagraph"/>
              <w:spacing w:before="2" w:line="233" w:lineRule="exact"/>
              <w:ind w:left="97"/>
            </w:pPr>
            <w:r>
              <w:t>170-11B</w:t>
            </w:r>
          </w:p>
        </w:tc>
        <w:tc>
          <w:tcPr>
            <w:tcW w:w="2566" w:type="dxa"/>
            <w:tcBorders>
              <w:top w:val="single" w:sz="6" w:space="0" w:color="000000"/>
              <w:left w:val="single" w:sz="6" w:space="0" w:color="000000"/>
              <w:bottom w:val="double" w:sz="2" w:space="0" w:color="000000"/>
              <w:right w:val="single" w:sz="6" w:space="0" w:color="000000"/>
            </w:tcBorders>
          </w:tcPr>
          <w:p w14:paraId="1C2B7492" w14:textId="77777777" w:rsidR="002B4FFB" w:rsidRDefault="002B4FFB">
            <w:pPr>
              <w:pStyle w:val="TableParagraph"/>
              <w:spacing w:line="240" w:lineRule="auto"/>
              <w:ind w:left="0"/>
              <w:rPr>
                <w:rFonts w:ascii="Times New Roman"/>
                <w:sz w:val="18"/>
              </w:rPr>
            </w:pPr>
          </w:p>
        </w:tc>
        <w:tc>
          <w:tcPr>
            <w:tcW w:w="2566" w:type="dxa"/>
            <w:tcBorders>
              <w:top w:val="single" w:sz="6" w:space="0" w:color="000000"/>
              <w:left w:val="single" w:sz="6" w:space="0" w:color="000000"/>
              <w:bottom w:val="double" w:sz="2" w:space="0" w:color="000000"/>
              <w:right w:val="single" w:sz="6" w:space="0" w:color="000000"/>
            </w:tcBorders>
          </w:tcPr>
          <w:p w14:paraId="4A23C900" w14:textId="77777777" w:rsidR="002B4FFB" w:rsidRDefault="002B4FFB">
            <w:pPr>
              <w:pStyle w:val="TableParagraph"/>
              <w:spacing w:line="240" w:lineRule="auto"/>
              <w:ind w:left="0"/>
              <w:rPr>
                <w:rFonts w:ascii="Times New Roman"/>
                <w:sz w:val="18"/>
              </w:rPr>
            </w:pPr>
          </w:p>
        </w:tc>
        <w:tc>
          <w:tcPr>
            <w:tcW w:w="2564" w:type="dxa"/>
            <w:tcBorders>
              <w:top w:val="single" w:sz="6" w:space="0" w:color="000000"/>
              <w:left w:val="single" w:sz="6" w:space="0" w:color="000000"/>
              <w:bottom w:val="double" w:sz="2" w:space="0" w:color="000000"/>
            </w:tcBorders>
          </w:tcPr>
          <w:p w14:paraId="59E2D52C" w14:textId="77777777" w:rsidR="002B4FFB" w:rsidRDefault="002B4FFB">
            <w:pPr>
              <w:pStyle w:val="TableParagraph"/>
              <w:spacing w:line="240" w:lineRule="auto"/>
              <w:ind w:left="0"/>
              <w:rPr>
                <w:rFonts w:ascii="Times New Roman"/>
                <w:sz w:val="18"/>
              </w:rPr>
            </w:pPr>
          </w:p>
        </w:tc>
      </w:tr>
    </w:tbl>
    <w:p w14:paraId="4B67E2C9" w14:textId="77777777" w:rsidR="002B4FFB" w:rsidRDefault="002B4FFB">
      <w:pPr>
        <w:pStyle w:val="BodyText"/>
        <w:spacing w:before="1"/>
        <w:rPr>
          <w:sz w:val="23"/>
        </w:rPr>
      </w:pPr>
    </w:p>
    <w:p w14:paraId="6B7423A4" w14:textId="77777777" w:rsidR="002B4FFB" w:rsidRDefault="001F7021">
      <w:pPr>
        <w:pStyle w:val="Heading1"/>
        <w:spacing w:before="1"/>
        <w:jc w:val="both"/>
        <w:rPr>
          <w:u w:val="none"/>
        </w:rPr>
      </w:pPr>
      <w:r>
        <w:rPr>
          <w:u w:val="thick"/>
        </w:rPr>
        <w:t>Streamlined/Subsumed Requirements</w:t>
      </w:r>
    </w:p>
    <w:p w14:paraId="6188369F" w14:textId="77777777" w:rsidR="002B4FFB" w:rsidRDefault="002B4FFB">
      <w:pPr>
        <w:pStyle w:val="BodyText"/>
        <w:spacing w:before="10"/>
        <w:rPr>
          <w:b/>
          <w:sz w:val="13"/>
        </w:rPr>
      </w:pPr>
    </w:p>
    <w:p w14:paraId="41A46F44" w14:textId="77777777" w:rsidR="002B4FFB" w:rsidRDefault="001F7021">
      <w:pPr>
        <w:pStyle w:val="BodyText"/>
        <w:spacing w:before="94"/>
        <w:ind w:left="107"/>
      </w:pPr>
      <w:r>
        <w:t>This ROP does not include any streamlined/subsumed requirements pursuant to Rules 213(2) and 213(6).</w:t>
      </w:r>
    </w:p>
    <w:p w14:paraId="5C4D670E" w14:textId="77777777" w:rsidR="002B4FFB" w:rsidRDefault="002B4FFB">
      <w:pPr>
        <w:sectPr w:rsidR="002B4FFB">
          <w:pgSz w:w="12240" w:h="15840"/>
          <w:pgMar w:top="1180" w:right="120" w:bottom="940" w:left="900" w:header="0" w:footer="743" w:gutter="0"/>
          <w:cols w:space="720"/>
        </w:sectPr>
      </w:pPr>
    </w:p>
    <w:p w14:paraId="20777EBF" w14:textId="77777777" w:rsidR="002B4FFB" w:rsidRDefault="001F7021">
      <w:pPr>
        <w:pStyle w:val="Heading1"/>
        <w:spacing w:before="68"/>
        <w:rPr>
          <w:u w:val="none"/>
        </w:rPr>
      </w:pPr>
      <w:r>
        <w:rPr>
          <w:u w:val="thick"/>
        </w:rPr>
        <w:lastRenderedPageBreak/>
        <w:t>Non-applicable Requirements</w:t>
      </w:r>
    </w:p>
    <w:p w14:paraId="23462620" w14:textId="77777777" w:rsidR="002B4FFB" w:rsidRDefault="002B4FFB">
      <w:pPr>
        <w:pStyle w:val="BodyText"/>
        <w:spacing w:before="10"/>
        <w:rPr>
          <w:b/>
          <w:sz w:val="13"/>
        </w:rPr>
      </w:pPr>
    </w:p>
    <w:p w14:paraId="55317111" w14:textId="77777777" w:rsidR="002B4FFB" w:rsidRDefault="001F7021">
      <w:pPr>
        <w:pStyle w:val="BodyText"/>
        <w:spacing w:before="94"/>
        <w:ind w:left="107" w:right="884"/>
        <w:jc w:val="both"/>
      </w:pPr>
      <w:r>
        <w:t>Part E of the ROP lists requirements that are not applicable to this source as determined by the AQD, if any were proposed in the ROP Application. These determinations are incorporated into the permit shield provision</w:t>
      </w:r>
      <w:r>
        <w:rPr>
          <w:spacing w:val="-4"/>
        </w:rPr>
        <w:t xml:space="preserve"> </w:t>
      </w:r>
      <w:r>
        <w:t>set</w:t>
      </w:r>
      <w:r>
        <w:rPr>
          <w:spacing w:val="-5"/>
        </w:rPr>
        <w:t xml:space="preserve"> </w:t>
      </w:r>
      <w:r>
        <w:t>forth</w:t>
      </w:r>
      <w:r>
        <w:rPr>
          <w:spacing w:val="-4"/>
        </w:rPr>
        <w:t xml:space="preserve"> </w:t>
      </w:r>
      <w:r>
        <w:t>in</w:t>
      </w:r>
      <w:r>
        <w:rPr>
          <w:spacing w:val="-4"/>
        </w:rPr>
        <w:t xml:space="preserve"> </w:t>
      </w:r>
      <w:r>
        <w:t>Part</w:t>
      </w:r>
      <w:r>
        <w:rPr>
          <w:spacing w:val="-5"/>
        </w:rPr>
        <w:t xml:space="preserve"> </w:t>
      </w:r>
      <w:r>
        <w:t>A</w:t>
      </w:r>
      <w:r>
        <w:rPr>
          <w:spacing w:val="-4"/>
        </w:rPr>
        <w:t xml:space="preserve"> </w:t>
      </w:r>
      <w:r>
        <w:t>(General</w:t>
      </w:r>
      <w:r>
        <w:rPr>
          <w:spacing w:val="-5"/>
        </w:rPr>
        <w:t xml:space="preserve"> </w:t>
      </w:r>
      <w:r>
        <w:t>Conditions</w:t>
      </w:r>
      <w:r>
        <w:rPr>
          <w:spacing w:val="-4"/>
        </w:rPr>
        <w:t xml:space="preserve"> </w:t>
      </w:r>
      <w:r>
        <w:t>26</w:t>
      </w:r>
      <w:r>
        <w:rPr>
          <w:spacing w:val="-4"/>
        </w:rPr>
        <w:t xml:space="preserve"> </w:t>
      </w:r>
      <w:r>
        <w:t>through</w:t>
      </w:r>
      <w:r>
        <w:rPr>
          <w:spacing w:val="-4"/>
        </w:rPr>
        <w:t xml:space="preserve"> </w:t>
      </w:r>
      <w:r>
        <w:t>29)</w:t>
      </w:r>
      <w:r>
        <w:rPr>
          <w:spacing w:val="-3"/>
        </w:rPr>
        <w:t xml:space="preserve"> </w:t>
      </w:r>
      <w:r>
        <w:t>of</w:t>
      </w:r>
      <w:r>
        <w:rPr>
          <w:spacing w:val="-3"/>
        </w:rPr>
        <w:t xml:space="preserve"> </w:t>
      </w:r>
      <w:r>
        <w:t>the</w:t>
      </w:r>
      <w:r>
        <w:rPr>
          <w:spacing w:val="-4"/>
        </w:rPr>
        <w:t xml:space="preserve"> </w:t>
      </w:r>
      <w:r>
        <w:t>ROP</w:t>
      </w:r>
      <w:r>
        <w:rPr>
          <w:spacing w:val="-7"/>
        </w:rPr>
        <w:t xml:space="preserve"> </w:t>
      </w:r>
      <w:r>
        <w:t>pursuant</w:t>
      </w:r>
      <w:r>
        <w:rPr>
          <w:spacing w:val="-5"/>
        </w:rPr>
        <w:t xml:space="preserve"> </w:t>
      </w:r>
      <w:r>
        <w:t>to</w:t>
      </w:r>
      <w:r>
        <w:rPr>
          <w:spacing w:val="-4"/>
        </w:rPr>
        <w:t xml:space="preserve"> </w:t>
      </w:r>
      <w:r>
        <w:t>Rule</w:t>
      </w:r>
      <w:r>
        <w:rPr>
          <w:spacing w:val="1"/>
        </w:rPr>
        <w:t xml:space="preserve"> </w:t>
      </w:r>
      <w:r>
        <w:t>213(6)(a)(ii).</w:t>
      </w:r>
    </w:p>
    <w:p w14:paraId="64CB720A" w14:textId="77777777" w:rsidR="002B4FFB" w:rsidRDefault="002B4FFB">
      <w:pPr>
        <w:pStyle w:val="BodyText"/>
        <w:spacing w:before="9"/>
        <w:rPr>
          <w:sz w:val="21"/>
        </w:rPr>
      </w:pPr>
    </w:p>
    <w:p w14:paraId="6BE2D3CE" w14:textId="77777777" w:rsidR="002B4FFB" w:rsidRDefault="001F7021">
      <w:pPr>
        <w:pStyle w:val="Heading1"/>
        <w:spacing w:before="1"/>
        <w:jc w:val="both"/>
        <w:rPr>
          <w:u w:val="none"/>
        </w:rPr>
      </w:pPr>
      <w:r>
        <w:rPr>
          <w:u w:val="thick"/>
        </w:rPr>
        <w:t>Processes in Application Not Identified in Draft ROP</w:t>
      </w:r>
    </w:p>
    <w:p w14:paraId="77E46E6F" w14:textId="77777777" w:rsidR="002B4FFB" w:rsidRDefault="002B4FFB">
      <w:pPr>
        <w:pStyle w:val="BodyText"/>
        <w:spacing w:before="10"/>
        <w:rPr>
          <w:b/>
          <w:sz w:val="13"/>
        </w:rPr>
      </w:pPr>
    </w:p>
    <w:p w14:paraId="116D880C" w14:textId="77777777" w:rsidR="002B4FFB" w:rsidRDefault="001F7021">
      <w:pPr>
        <w:pStyle w:val="BodyText"/>
        <w:spacing w:before="94"/>
        <w:ind w:left="107" w:right="885"/>
        <w:jc w:val="both"/>
      </w:pPr>
      <w:r>
        <w:t>The following table lists processes that were included in the ROP Application as exempt devices under Rule 212(4). These processes a</w:t>
      </w:r>
      <w:r>
        <w:t>re not subject to any process-specific emission limits or standards in any applicable requirement.</w:t>
      </w:r>
    </w:p>
    <w:p w14:paraId="3208E13E" w14:textId="77777777" w:rsidR="002B4FFB" w:rsidRDefault="002B4FFB">
      <w:pPr>
        <w:pStyle w:val="BodyText"/>
        <w:spacing w:before="3"/>
        <w:rPr>
          <w:sz w:val="23"/>
        </w:rPr>
      </w:pPr>
    </w:p>
    <w:tbl>
      <w:tblPr>
        <w:tblW w:w="0" w:type="auto"/>
        <w:tblInd w:w="2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249"/>
        <w:gridCol w:w="3111"/>
        <w:gridCol w:w="2341"/>
        <w:gridCol w:w="2471"/>
      </w:tblGrid>
      <w:tr w:rsidR="002B4FFB" w14:paraId="4028BE5B" w14:textId="77777777">
        <w:trPr>
          <w:trHeight w:val="504"/>
        </w:trPr>
        <w:tc>
          <w:tcPr>
            <w:tcW w:w="2249" w:type="dxa"/>
            <w:tcBorders>
              <w:right w:val="single" w:sz="6" w:space="0" w:color="000000"/>
            </w:tcBorders>
            <w:shd w:val="clear" w:color="auto" w:fill="E4E4E4"/>
          </w:tcPr>
          <w:p w14:paraId="19B5D9CC" w14:textId="77777777" w:rsidR="002B4FFB" w:rsidRDefault="001F7021">
            <w:pPr>
              <w:pStyle w:val="TableParagraph"/>
              <w:spacing w:before="6" w:line="252" w:lineRule="exact"/>
              <w:ind w:left="234" w:right="217" w:firstLine="276"/>
              <w:rPr>
                <w:b/>
              </w:rPr>
            </w:pPr>
            <w:r>
              <w:rPr>
                <w:b/>
              </w:rPr>
              <w:t>PTI Exempt Emission Unit ID</w:t>
            </w:r>
          </w:p>
        </w:tc>
        <w:tc>
          <w:tcPr>
            <w:tcW w:w="3111" w:type="dxa"/>
            <w:tcBorders>
              <w:left w:val="single" w:sz="6" w:space="0" w:color="000000"/>
              <w:right w:val="single" w:sz="6" w:space="0" w:color="000000"/>
            </w:tcBorders>
            <w:shd w:val="clear" w:color="auto" w:fill="E4E4E4"/>
          </w:tcPr>
          <w:p w14:paraId="70712B84" w14:textId="77777777" w:rsidR="002B4FFB" w:rsidRDefault="001F7021">
            <w:pPr>
              <w:pStyle w:val="TableParagraph"/>
              <w:spacing w:before="6" w:line="252" w:lineRule="exact"/>
              <w:ind w:left="390" w:right="363" w:firstLine="220"/>
              <w:rPr>
                <w:b/>
              </w:rPr>
            </w:pPr>
            <w:r>
              <w:rPr>
                <w:b/>
              </w:rPr>
              <w:t>Description of PTI Exempt Emission Unit</w:t>
            </w:r>
          </w:p>
        </w:tc>
        <w:tc>
          <w:tcPr>
            <w:tcW w:w="2341" w:type="dxa"/>
            <w:tcBorders>
              <w:left w:val="single" w:sz="6" w:space="0" w:color="000000"/>
              <w:right w:val="single" w:sz="4" w:space="0" w:color="000000"/>
            </w:tcBorders>
            <w:shd w:val="clear" w:color="auto" w:fill="E4E4E4"/>
          </w:tcPr>
          <w:p w14:paraId="409F60F0" w14:textId="77777777" w:rsidR="002B4FFB" w:rsidRDefault="001F7021">
            <w:pPr>
              <w:pStyle w:val="TableParagraph"/>
              <w:spacing w:before="6" w:line="252" w:lineRule="exact"/>
              <w:ind w:left="759" w:right="553" w:hanging="178"/>
              <w:rPr>
                <w:b/>
              </w:rPr>
            </w:pPr>
            <w:r>
              <w:rPr>
                <w:b/>
              </w:rPr>
              <w:t>Rule 212(4) Citation</w:t>
            </w:r>
          </w:p>
        </w:tc>
        <w:tc>
          <w:tcPr>
            <w:tcW w:w="2471" w:type="dxa"/>
            <w:tcBorders>
              <w:left w:val="single" w:sz="4" w:space="0" w:color="000000"/>
            </w:tcBorders>
            <w:shd w:val="clear" w:color="auto" w:fill="E4E4E4"/>
          </w:tcPr>
          <w:p w14:paraId="3D56A5F0" w14:textId="77777777" w:rsidR="002B4FFB" w:rsidRDefault="001F7021">
            <w:pPr>
              <w:pStyle w:val="TableParagraph"/>
              <w:spacing w:before="6" w:line="252" w:lineRule="exact"/>
              <w:ind w:left="823" w:right="158" w:hanging="624"/>
              <w:rPr>
                <w:b/>
              </w:rPr>
            </w:pPr>
            <w:r>
              <w:rPr>
                <w:b/>
              </w:rPr>
              <w:t>PTI Exemption Rule Citation</w:t>
            </w:r>
          </w:p>
        </w:tc>
      </w:tr>
      <w:tr w:rsidR="002B4FFB" w14:paraId="7DC3EB11" w14:textId="77777777">
        <w:trPr>
          <w:trHeight w:val="250"/>
        </w:trPr>
        <w:tc>
          <w:tcPr>
            <w:tcW w:w="2249" w:type="dxa"/>
            <w:tcBorders>
              <w:bottom w:val="single" w:sz="6" w:space="0" w:color="000000"/>
              <w:right w:val="single" w:sz="6" w:space="0" w:color="000000"/>
            </w:tcBorders>
          </w:tcPr>
          <w:p w14:paraId="761B7E8C" w14:textId="77777777" w:rsidR="002B4FFB" w:rsidRDefault="001F7021">
            <w:pPr>
              <w:pStyle w:val="TableParagraph"/>
              <w:spacing w:line="230" w:lineRule="exact"/>
            </w:pPr>
            <w:r>
              <w:t>EU-</w:t>
            </w:r>
            <w:proofErr w:type="spellStart"/>
            <w:r>
              <w:t>StressRelief</w:t>
            </w:r>
            <w:proofErr w:type="spellEnd"/>
          </w:p>
        </w:tc>
        <w:tc>
          <w:tcPr>
            <w:tcW w:w="3111" w:type="dxa"/>
            <w:tcBorders>
              <w:left w:val="single" w:sz="6" w:space="0" w:color="000000"/>
              <w:bottom w:val="single" w:sz="6" w:space="0" w:color="000000"/>
              <w:right w:val="single" w:sz="6" w:space="0" w:color="000000"/>
            </w:tcBorders>
          </w:tcPr>
          <w:p w14:paraId="17D2CABB" w14:textId="77777777" w:rsidR="002B4FFB" w:rsidRDefault="001F7021">
            <w:pPr>
              <w:pStyle w:val="TableParagraph"/>
              <w:spacing w:line="230" w:lineRule="exact"/>
              <w:ind w:left="107"/>
            </w:pPr>
            <w:r>
              <w:t>Stress relief furnaces</w:t>
            </w:r>
          </w:p>
        </w:tc>
        <w:tc>
          <w:tcPr>
            <w:tcW w:w="2341" w:type="dxa"/>
            <w:tcBorders>
              <w:left w:val="single" w:sz="6" w:space="0" w:color="000000"/>
              <w:bottom w:val="single" w:sz="6" w:space="0" w:color="000000"/>
              <w:right w:val="single" w:sz="6" w:space="0" w:color="000000"/>
            </w:tcBorders>
          </w:tcPr>
          <w:p w14:paraId="0CB823CE" w14:textId="77777777" w:rsidR="002B4FFB" w:rsidRDefault="001F7021">
            <w:pPr>
              <w:pStyle w:val="TableParagraph"/>
              <w:spacing w:line="230" w:lineRule="exact"/>
              <w:ind w:left="0" w:right="451"/>
              <w:jc w:val="right"/>
            </w:pPr>
            <w:r>
              <w:t>Rule 212(4)(c)</w:t>
            </w:r>
          </w:p>
        </w:tc>
        <w:tc>
          <w:tcPr>
            <w:tcW w:w="2471" w:type="dxa"/>
            <w:tcBorders>
              <w:left w:val="single" w:sz="6" w:space="0" w:color="000000"/>
              <w:bottom w:val="single" w:sz="6" w:space="0" w:color="000000"/>
            </w:tcBorders>
          </w:tcPr>
          <w:p w14:paraId="0F424E56" w14:textId="77777777" w:rsidR="002B4FFB" w:rsidRDefault="001F7021">
            <w:pPr>
              <w:pStyle w:val="TableParagraph"/>
              <w:spacing w:line="230" w:lineRule="exact"/>
              <w:ind w:left="235" w:right="207"/>
              <w:jc w:val="center"/>
            </w:pPr>
            <w:r>
              <w:t>Rule 282(2)(a)(</w:t>
            </w:r>
            <w:proofErr w:type="spellStart"/>
            <w:r>
              <w:t>i</w:t>
            </w:r>
            <w:proofErr w:type="spellEnd"/>
            <w:r>
              <w:t>)</w:t>
            </w:r>
          </w:p>
        </w:tc>
      </w:tr>
      <w:tr w:rsidR="002B4FFB" w14:paraId="11E13B27" w14:textId="77777777">
        <w:trPr>
          <w:trHeight w:val="251"/>
        </w:trPr>
        <w:tc>
          <w:tcPr>
            <w:tcW w:w="2249" w:type="dxa"/>
            <w:tcBorders>
              <w:top w:val="single" w:sz="6" w:space="0" w:color="000000"/>
              <w:bottom w:val="single" w:sz="6" w:space="0" w:color="000000"/>
              <w:right w:val="single" w:sz="6" w:space="0" w:color="000000"/>
            </w:tcBorders>
          </w:tcPr>
          <w:p w14:paraId="601DE35C" w14:textId="77777777" w:rsidR="002B4FFB" w:rsidRDefault="001F7021">
            <w:pPr>
              <w:pStyle w:val="TableParagraph"/>
            </w:pPr>
            <w:r>
              <w:t>EU-NDOILTANKS</w:t>
            </w:r>
          </w:p>
        </w:tc>
        <w:tc>
          <w:tcPr>
            <w:tcW w:w="3111" w:type="dxa"/>
            <w:tcBorders>
              <w:top w:val="single" w:sz="6" w:space="0" w:color="000000"/>
              <w:left w:val="single" w:sz="6" w:space="0" w:color="000000"/>
              <w:bottom w:val="single" w:sz="6" w:space="0" w:color="000000"/>
              <w:right w:val="single" w:sz="6" w:space="0" w:color="000000"/>
            </w:tcBorders>
          </w:tcPr>
          <w:p w14:paraId="75A827BF" w14:textId="77777777" w:rsidR="002B4FFB" w:rsidRDefault="001F7021">
            <w:pPr>
              <w:pStyle w:val="TableParagraph"/>
              <w:ind w:left="107"/>
            </w:pPr>
            <w:r>
              <w:t>Two 5,600 gallon oil tanks</w:t>
            </w:r>
          </w:p>
        </w:tc>
        <w:tc>
          <w:tcPr>
            <w:tcW w:w="2341" w:type="dxa"/>
            <w:tcBorders>
              <w:top w:val="single" w:sz="6" w:space="0" w:color="000000"/>
              <w:left w:val="single" w:sz="6" w:space="0" w:color="000000"/>
              <w:bottom w:val="single" w:sz="6" w:space="0" w:color="000000"/>
              <w:right w:val="single" w:sz="6" w:space="0" w:color="000000"/>
            </w:tcBorders>
          </w:tcPr>
          <w:p w14:paraId="4F09B6BC" w14:textId="77777777" w:rsidR="002B4FFB" w:rsidRDefault="001F7021">
            <w:pPr>
              <w:pStyle w:val="TableParagraph"/>
              <w:ind w:left="0" w:right="444"/>
              <w:jc w:val="right"/>
            </w:pPr>
            <w:r>
              <w:t>Rule 212(4)(d)</w:t>
            </w:r>
          </w:p>
        </w:tc>
        <w:tc>
          <w:tcPr>
            <w:tcW w:w="2471" w:type="dxa"/>
            <w:tcBorders>
              <w:top w:val="single" w:sz="6" w:space="0" w:color="000000"/>
              <w:left w:val="single" w:sz="6" w:space="0" w:color="000000"/>
              <w:bottom w:val="single" w:sz="6" w:space="0" w:color="000000"/>
            </w:tcBorders>
          </w:tcPr>
          <w:p w14:paraId="42B416F3" w14:textId="77777777" w:rsidR="002B4FFB" w:rsidRDefault="001F7021">
            <w:pPr>
              <w:pStyle w:val="TableParagraph"/>
              <w:ind w:left="235" w:right="208"/>
              <w:jc w:val="center"/>
            </w:pPr>
            <w:r>
              <w:t>Rule 284(2)(</w:t>
            </w:r>
            <w:proofErr w:type="spellStart"/>
            <w:r>
              <w:t>i</w:t>
            </w:r>
            <w:proofErr w:type="spellEnd"/>
            <w:r>
              <w:t>)</w:t>
            </w:r>
          </w:p>
        </w:tc>
      </w:tr>
      <w:tr w:rsidR="002B4FFB" w14:paraId="18B1E47B" w14:textId="77777777">
        <w:trPr>
          <w:trHeight w:val="505"/>
        </w:trPr>
        <w:tc>
          <w:tcPr>
            <w:tcW w:w="2249" w:type="dxa"/>
            <w:tcBorders>
              <w:top w:val="single" w:sz="6" w:space="0" w:color="000000"/>
              <w:bottom w:val="single" w:sz="6" w:space="0" w:color="000000"/>
              <w:right w:val="single" w:sz="6" w:space="0" w:color="000000"/>
            </w:tcBorders>
          </w:tcPr>
          <w:p w14:paraId="08A6F69A" w14:textId="77777777" w:rsidR="002B4FFB" w:rsidRDefault="001F7021">
            <w:pPr>
              <w:pStyle w:val="TableParagraph"/>
              <w:spacing w:before="7" w:line="252" w:lineRule="exact"/>
              <w:ind w:right="860"/>
            </w:pPr>
            <w:r>
              <w:t>EU-ROTOR- TURNING</w:t>
            </w:r>
          </w:p>
        </w:tc>
        <w:tc>
          <w:tcPr>
            <w:tcW w:w="3111" w:type="dxa"/>
            <w:tcBorders>
              <w:top w:val="single" w:sz="6" w:space="0" w:color="000000"/>
              <w:left w:val="single" w:sz="6" w:space="0" w:color="000000"/>
              <w:bottom w:val="single" w:sz="6" w:space="0" w:color="000000"/>
              <w:right w:val="single" w:sz="6" w:space="0" w:color="000000"/>
            </w:tcBorders>
          </w:tcPr>
          <w:p w14:paraId="084F249A" w14:textId="77777777" w:rsidR="002B4FFB" w:rsidRDefault="001F7021">
            <w:pPr>
              <w:pStyle w:val="TableParagraph"/>
              <w:spacing w:before="2" w:line="240" w:lineRule="auto"/>
              <w:ind w:left="107"/>
            </w:pPr>
            <w:r>
              <w:t>14 metal turning machines</w:t>
            </w:r>
          </w:p>
        </w:tc>
        <w:tc>
          <w:tcPr>
            <w:tcW w:w="2341" w:type="dxa"/>
            <w:tcBorders>
              <w:top w:val="single" w:sz="6" w:space="0" w:color="000000"/>
              <w:left w:val="single" w:sz="6" w:space="0" w:color="000000"/>
              <w:bottom w:val="single" w:sz="6" w:space="0" w:color="000000"/>
              <w:right w:val="single" w:sz="6" w:space="0" w:color="000000"/>
            </w:tcBorders>
          </w:tcPr>
          <w:p w14:paraId="5F3BD354" w14:textId="77777777" w:rsidR="002B4FFB" w:rsidRDefault="001F7021">
            <w:pPr>
              <w:pStyle w:val="TableParagraph"/>
              <w:spacing w:before="2" w:line="240" w:lineRule="auto"/>
              <w:ind w:left="0" w:right="444"/>
              <w:jc w:val="right"/>
            </w:pPr>
            <w:r>
              <w:t>Rule 212(4)(e)</w:t>
            </w:r>
          </w:p>
        </w:tc>
        <w:tc>
          <w:tcPr>
            <w:tcW w:w="2471" w:type="dxa"/>
            <w:tcBorders>
              <w:top w:val="single" w:sz="6" w:space="0" w:color="000000"/>
              <w:left w:val="single" w:sz="6" w:space="0" w:color="000000"/>
              <w:bottom w:val="single" w:sz="6" w:space="0" w:color="000000"/>
            </w:tcBorders>
          </w:tcPr>
          <w:p w14:paraId="15271DE0" w14:textId="77777777" w:rsidR="002B4FFB" w:rsidRDefault="001F7021">
            <w:pPr>
              <w:pStyle w:val="TableParagraph"/>
              <w:spacing w:before="2" w:line="240" w:lineRule="auto"/>
              <w:ind w:left="235" w:right="209"/>
              <w:jc w:val="center"/>
            </w:pPr>
            <w:r>
              <w:t>Rule 285(2)(l)(vi)(C)</w:t>
            </w:r>
          </w:p>
        </w:tc>
      </w:tr>
      <w:tr w:rsidR="002B4FFB" w14:paraId="683BD755" w14:textId="77777777">
        <w:trPr>
          <w:trHeight w:val="500"/>
        </w:trPr>
        <w:tc>
          <w:tcPr>
            <w:tcW w:w="2249" w:type="dxa"/>
            <w:tcBorders>
              <w:top w:val="single" w:sz="6" w:space="0" w:color="000000"/>
              <w:bottom w:val="single" w:sz="6" w:space="0" w:color="000000"/>
              <w:right w:val="single" w:sz="6" w:space="0" w:color="000000"/>
            </w:tcBorders>
          </w:tcPr>
          <w:p w14:paraId="7B970ECF" w14:textId="77777777" w:rsidR="002B4FFB" w:rsidRDefault="001F7021">
            <w:pPr>
              <w:pStyle w:val="TableParagraph"/>
              <w:spacing w:before="1" w:line="252" w:lineRule="exact"/>
              <w:ind w:right="701"/>
            </w:pPr>
            <w:r>
              <w:t>EU-DIECAST- SHOTBLAST</w:t>
            </w:r>
          </w:p>
        </w:tc>
        <w:tc>
          <w:tcPr>
            <w:tcW w:w="3111" w:type="dxa"/>
            <w:tcBorders>
              <w:top w:val="single" w:sz="6" w:space="0" w:color="000000"/>
              <w:left w:val="single" w:sz="6" w:space="0" w:color="000000"/>
              <w:bottom w:val="single" w:sz="6" w:space="0" w:color="000000"/>
              <w:right w:val="single" w:sz="6" w:space="0" w:color="000000"/>
            </w:tcBorders>
          </w:tcPr>
          <w:p w14:paraId="6D200A04" w14:textId="77777777" w:rsidR="002B4FFB" w:rsidRDefault="001F7021">
            <w:pPr>
              <w:pStyle w:val="TableParagraph"/>
              <w:spacing w:line="250" w:lineRule="exact"/>
              <w:ind w:left="107"/>
            </w:pPr>
            <w:r>
              <w:t>2 shot blast machines</w:t>
            </w:r>
          </w:p>
        </w:tc>
        <w:tc>
          <w:tcPr>
            <w:tcW w:w="2341" w:type="dxa"/>
            <w:tcBorders>
              <w:top w:val="single" w:sz="6" w:space="0" w:color="000000"/>
              <w:left w:val="single" w:sz="6" w:space="0" w:color="000000"/>
              <w:bottom w:val="single" w:sz="6" w:space="0" w:color="000000"/>
              <w:right w:val="single" w:sz="6" w:space="0" w:color="000000"/>
            </w:tcBorders>
          </w:tcPr>
          <w:p w14:paraId="012D2E2C" w14:textId="77777777" w:rsidR="002B4FFB" w:rsidRDefault="001F7021">
            <w:pPr>
              <w:pStyle w:val="TableParagraph"/>
              <w:spacing w:line="250" w:lineRule="exact"/>
              <w:ind w:left="0" w:right="444"/>
              <w:jc w:val="right"/>
            </w:pPr>
            <w:r>
              <w:t>Rule 212(4)(e)</w:t>
            </w:r>
          </w:p>
        </w:tc>
        <w:tc>
          <w:tcPr>
            <w:tcW w:w="2471" w:type="dxa"/>
            <w:tcBorders>
              <w:top w:val="single" w:sz="6" w:space="0" w:color="000000"/>
              <w:left w:val="single" w:sz="6" w:space="0" w:color="000000"/>
              <w:bottom w:val="single" w:sz="6" w:space="0" w:color="000000"/>
            </w:tcBorders>
          </w:tcPr>
          <w:p w14:paraId="3D51050F" w14:textId="77777777" w:rsidR="002B4FFB" w:rsidRDefault="001F7021">
            <w:pPr>
              <w:pStyle w:val="TableParagraph"/>
              <w:spacing w:line="250" w:lineRule="exact"/>
              <w:ind w:left="235" w:right="209"/>
              <w:jc w:val="center"/>
            </w:pPr>
            <w:r>
              <w:t>Rule 285(2)(l)(vi)(C)</w:t>
            </w:r>
          </w:p>
        </w:tc>
      </w:tr>
      <w:tr w:rsidR="002B4FFB" w14:paraId="4E3ECBA4" w14:textId="77777777">
        <w:trPr>
          <w:trHeight w:val="251"/>
        </w:trPr>
        <w:tc>
          <w:tcPr>
            <w:tcW w:w="2249" w:type="dxa"/>
            <w:tcBorders>
              <w:top w:val="single" w:sz="6" w:space="0" w:color="000000"/>
              <w:right w:val="single" w:sz="6" w:space="0" w:color="000000"/>
            </w:tcBorders>
          </w:tcPr>
          <w:p w14:paraId="5AC0B6BD" w14:textId="77777777" w:rsidR="002B4FFB" w:rsidRDefault="001F7021">
            <w:pPr>
              <w:pStyle w:val="TableParagraph"/>
            </w:pPr>
            <w:r>
              <w:t>EU-HUB4-WASHER</w:t>
            </w:r>
          </w:p>
        </w:tc>
        <w:tc>
          <w:tcPr>
            <w:tcW w:w="3111" w:type="dxa"/>
            <w:tcBorders>
              <w:top w:val="single" w:sz="6" w:space="0" w:color="000000"/>
              <w:left w:val="single" w:sz="6" w:space="0" w:color="000000"/>
              <w:right w:val="single" w:sz="6" w:space="0" w:color="000000"/>
            </w:tcBorders>
          </w:tcPr>
          <w:p w14:paraId="2E2F48DA" w14:textId="77777777" w:rsidR="002B4FFB" w:rsidRDefault="001F7021">
            <w:pPr>
              <w:pStyle w:val="TableParagraph"/>
              <w:ind w:left="107"/>
            </w:pPr>
            <w:r>
              <w:t>Part washer water heater</w:t>
            </w:r>
          </w:p>
        </w:tc>
        <w:tc>
          <w:tcPr>
            <w:tcW w:w="2341" w:type="dxa"/>
            <w:tcBorders>
              <w:top w:val="single" w:sz="6" w:space="0" w:color="000000"/>
              <w:left w:val="single" w:sz="6" w:space="0" w:color="000000"/>
              <w:right w:val="single" w:sz="6" w:space="0" w:color="000000"/>
            </w:tcBorders>
          </w:tcPr>
          <w:p w14:paraId="670AA504" w14:textId="77777777" w:rsidR="002B4FFB" w:rsidRDefault="001F7021">
            <w:pPr>
              <w:pStyle w:val="TableParagraph"/>
              <w:ind w:left="0" w:right="451"/>
              <w:jc w:val="right"/>
            </w:pPr>
            <w:r>
              <w:t>Rule 212(4)(c)</w:t>
            </w:r>
          </w:p>
        </w:tc>
        <w:tc>
          <w:tcPr>
            <w:tcW w:w="2471" w:type="dxa"/>
            <w:tcBorders>
              <w:top w:val="single" w:sz="6" w:space="0" w:color="000000"/>
              <w:left w:val="single" w:sz="6" w:space="0" w:color="000000"/>
            </w:tcBorders>
          </w:tcPr>
          <w:p w14:paraId="1E6971C8" w14:textId="77777777" w:rsidR="002B4FFB" w:rsidRDefault="001F7021">
            <w:pPr>
              <w:pStyle w:val="TableParagraph"/>
              <w:ind w:left="235" w:right="207"/>
              <w:jc w:val="center"/>
            </w:pPr>
            <w:r>
              <w:t>Rule 282(2)(b)(</w:t>
            </w:r>
            <w:proofErr w:type="spellStart"/>
            <w:r>
              <w:t>i</w:t>
            </w:r>
            <w:proofErr w:type="spellEnd"/>
            <w:r>
              <w:t>)</w:t>
            </w:r>
          </w:p>
        </w:tc>
      </w:tr>
    </w:tbl>
    <w:p w14:paraId="5A171F14" w14:textId="77777777" w:rsidR="002B4FFB" w:rsidRDefault="002B4FFB">
      <w:pPr>
        <w:pStyle w:val="BodyText"/>
        <w:spacing w:before="1"/>
        <w:rPr>
          <w:sz w:val="23"/>
        </w:rPr>
      </w:pPr>
    </w:p>
    <w:p w14:paraId="44102D90" w14:textId="77777777" w:rsidR="002B4FFB" w:rsidRDefault="001F7021">
      <w:pPr>
        <w:pStyle w:val="Heading1"/>
        <w:spacing w:before="1"/>
        <w:jc w:val="both"/>
        <w:rPr>
          <w:u w:val="none"/>
        </w:rPr>
      </w:pPr>
      <w:r>
        <w:rPr>
          <w:u w:val="thick"/>
        </w:rPr>
        <w:t>Draft ROP Terms/Conditions Not Agreed to by Applicant</w:t>
      </w:r>
    </w:p>
    <w:p w14:paraId="3BB0CB59" w14:textId="77777777" w:rsidR="002B4FFB" w:rsidRDefault="002B4FFB">
      <w:pPr>
        <w:pStyle w:val="BodyText"/>
        <w:spacing w:before="10"/>
        <w:rPr>
          <w:b/>
          <w:sz w:val="13"/>
        </w:rPr>
      </w:pPr>
    </w:p>
    <w:p w14:paraId="0875ED9A" w14:textId="77777777" w:rsidR="002B4FFB" w:rsidRDefault="001F7021">
      <w:pPr>
        <w:pStyle w:val="BodyText"/>
        <w:spacing w:before="94"/>
        <w:ind w:left="108" w:right="764"/>
      </w:pPr>
      <w:r>
        <w:t>This</w:t>
      </w:r>
      <w:r>
        <w:rPr>
          <w:spacing w:val="-6"/>
        </w:rPr>
        <w:t xml:space="preserve"> </w:t>
      </w:r>
      <w:r>
        <w:t>draft</w:t>
      </w:r>
      <w:r>
        <w:rPr>
          <w:spacing w:val="-5"/>
        </w:rPr>
        <w:t xml:space="preserve"> </w:t>
      </w:r>
      <w:r>
        <w:t>ROP</w:t>
      </w:r>
      <w:r>
        <w:rPr>
          <w:spacing w:val="-6"/>
        </w:rPr>
        <w:t xml:space="preserve"> </w:t>
      </w:r>
      <w:r>
        <w:t>does</w:t>
      </w:r>
      <w:r>
        <w:rPr>
          <w:spacing w:val="-8"/>
        </w:rPr>
        <w:t xml:space="preserve"> </w:t>
      </w:r>
      <w:r>
        <w:t>not</w:t>
      </w:r>
      <w:r>
        <w:rPr>
          <w:spacing w:val="-7"/>
        </w:rPr>
        <w:t xml:space="preserve"> </w:t>
      </w:r>
      <w:r>
        <w:t>contain</w:t>
      </w:r>
      <w:r>
        <w:rPr>
          <w:spacing w:val="-5"/>
        </w:rPr>
        <w:t xml:space="preserve"> </w:t>
      </w:r>
      <w:r>
        <w:t>any</w:t>
      </w:r>
      <w:r>
        <w:rPr>
          <w:spacing w:val="-8"/>
        </w:rPr>
        <w:t xml:space="preserve"> </w:t>
      </w:r>
      <w:r>
        <w:t>terms</w:t>
      </w:r>
      <w:r>
        <w:rPr>
          <w:spacing w:val="-8"/>
        </w:rPr>
        <w:t xml:space="preserve"> </w:t>
      </w:r>
      <w:r>
        <w:t>and/or</w:t>
      </w:r>
      <w:r>
        <w:rPr>
          <w:spacing w:val="-7"/>
        </w:rPr>
        <w:t xml:space="preserve"> </w:t>
      </w:r>
      <w:r>
        <w:t>conditions</w:t>
      </w:r>
      <w:r>
        <w:rPr>
          <w:spacing w:val="-8"/>
        </w:rPr>
        <w:t xml:space="preserve"> </w:t>
      </w:r>
      <w:r>
        <w:t>that</w:t>
      </w:r>
      <w:r>
        <w:rPr>
          <w:spacing w:val="-6"/>
        </w:rPr>
        <w:t xml:space="preserve"> </w:t>
      </w:r>
      <w:r>
        <w:t>the</w:t>
      </w:r>
      <w:r>
        <w:rPr>
          <w:spacing w:val="-9"/>
        </w:rPr>
        <w:t xml:space="preserve"> </w:t>
      </w:r>
      <w:r>
        <w:t>AQD</w:t>
      </w:r>
      <w:r>
        <w:rPr>
          <w:spacing w:val="-11"/>
        </w:rPr>
        <w:t xml:space="preserve"> </w:t>
      </w:r>
      <w:r>
        <w:t>and</w:t>
      </w:r>
      <w:r>
        <w:rPr>
          <w:spacing w:val="-6"/>
        </w:rPr>
        <w:t xml:space="preserve"> </w:t>
      </w:r>
      <w:r>
        <w:t>the</w:t>
      </w:r>
      <w:r>
        <w:rPr>
          <w:spacing w:val="-9"/>
        </w:rPr>
        <w:t xml:space="preserve"> </w:t>
      </w:r>
      <w:r>
        <w:t>applicant</w:t>
      </w:r>
      <w:r>
        <w:rPr>
          <w:spacing w:val="-4"/>
        </w:rPr>
        <w:t xml:space="preserve"> </w:t>
      </w:r>
      <w:r>
        <w:t>did</w:t>
      </w:r>
      <w:r>
        <w:rPr>
          <w:spacing w:val="-6"/>
        </w:rPr>
        <w:t xml:space="preserve"> </w:t>
      </w:r>
      <w:r>
        <w:t>not</w:t>
      </w:r>
      <w:r>
        <w:rPr>
          <w:spacing w:val="-7"/>
        </w:rPr>
        <w:t xml:space="preserve"> </w:t>
      </w:r>
      <w:r>
        <w:t>agree upon pursuant to Rule</w:t>
      </w:r>
      <w:r>
        <w:rPr>
          <w:spacing w:val="-2"/>
        </w:rPr>
        <w:t xml:space="preserve"> </w:t>
      </w:r>
      <w:r>
        <w:t>214(2).</w:t>
      </w:r>
    </w:p>
    <w:p w14:paraId="2F28DF60" w14:textId="77777777" w:rsidR="002B4FFB" w:rsidRDefault="002B4FFB">
      <w:pPr>
        <w:pStyle w:val="BodyText"/>
        <w:spacing w:before="10"/>
        <w:rPr>
          <w:sz w:val="21"/>
        </w:rPr>
      </w:pPr>
    </w:p>
    <w:p w14:paraId="4E0E22B7" w14:textId="77777777" w:rsidR="002B4FFB" w:rsidRDefault="001F7021">
      <w:pPr>
        <w:pStyle w:val="Heading1"/>
        <w:spacing w:before="1"/>
        <w:rPr>
          <w:u w:val="none"/>
        </w:rPr>
      </w:pPr>
      <w:r>
        <w:rPr>
          <w:u w:val="thick"/>
        </w:rPr>
        <w:t>Compliance Status</w:t>
      </w:r>
    </w:p>
    <w:p w14:paraId="0F56B334" w14:textId="77777777" w:rsidR="002B4FFB" w:rsidRDefault="002B4FFB">
      <w:pPr>
        <w:pStyle w:val="BodyText"/>
        <w:spacing w:before="10"/>
        <w:rPr>
          <w:b/>
          <w:sz w:val="13"/>
        </w:rPr>
      </w:pPr>
    </w:p>
    <w:p w14:paraId="0C259AE0" w14:textId="77777777" w:rsidR="002B4FFB" w:rsidRDefault="001F7021">
      <w:pPr>
        <w:pStyle w:val="BodyText"/>
        <w:spacing w:before="93"/>
        <w:ind w:left="107" w:right="764"/>
      </w:pPr>
      <w:r>
        <w:t xml:space="preserve">The AQD finds that the stationary source is expected to </w:t>
      </w:r>
      <w:proofErr w:type="gramStart"/>
      <w:r>
        <w:t>be in compliance with</w:t>
      </w:r>
      <w:proofErr w:type="gramEnd"/>
      <w:r>
        <w:t xml:space="preserve"> all applicable requirements as of the effective date of this ROP.</w:t>
      </w:r>
    </w:p>
    <w:p w14:paraId="19B333B5" w14:textId="77777777" w:rsidR="002B4FFB" w:rsidRDefault="002B4FFB">
      <w:pPr>
        <w:pStyle w:val="BodyText"/>
      </w:pPr>
    </w:p>
    <w:p w14:paraId="0AD3604D" w14:textId="77777777" w:rsidR="002B4FFB" w:rsidRDefault="001F7021">
      <w:pPr>
        <w:pStyle w:val="Heading1"/>
        <w:rPr>
          <w:u w:val="none"/>
        </w:rPr>
      </w:pPr>
      <w:r>
        <w:rPr>
          <w:u w:val="thick"/>
        </w:rPr>
        <w:t>Action taken by EGLE, AQD</w:t>
      </w:r>
    </w:p>
    <w:p w14:paraId="6A2230A1" w14:textId="77777777" w:rsidR="002B4FFB" w:rsidRDefault="002B4FFB">
      <w:pPr>
        <w:pStyle w:val="BodyText"/>
        <w:spacing w:before="10"/>
        <w:rPr>
          <w:b/>
          <w:sz w:val="13"/>
        </w:rPr>
      </w:pPr>
    </w:p>
    <w:p w14:paraId="3CB07558" w14:textId="77777777" w:rsidR="002B4FFB" w:rsidRDefault="001F7021">
      <w:pPr>
        <w:pStyle w:val="BodyText"/>
        <w:spacing w:before="94"/>
        <w:ind w:left="108" w:right="883" w:hanging="1"/>
        <w:jc w:val="both"/>
      </w:pPr>
      <w:r>
        <w:t>The</w:t>
      </w:r>
      <w:r>
        <w:rPr>
          <w:spacing w:val="-6"/>
        </w:rPr>
        <w:t xml:space="preserve"> </w:t>
      </w:r>
      <w:r>
        <w:t>AQD</w:t>
      </w:r>
      <w:r>
        <w:rPr>
          <w:spacing w:val="-7"/>
        </w:rPr>
        <w:t xml:space="preserve"> </w:t>
      </w:r>
      <w:r>
        <w:t>proposes</w:t>
      </w:r>
      <w:r>
        <w:rPr>
          <w:spacing w:val="-11"/>
        </w:rPr>
        <w:t xml:space="preserve"> </w:t>
      </w:r>
      <w:r>
        <w:t>to</w:t>
      </w:r>
      <w:r>
        <w:rPr>
          <w:spacing w:val="-9"/>
        </w:rPr>
        <w:t xml:space="preserve"> </w:t>
      </w:r>
      <w:r>
        <w:t>approve</w:t>
      </w:r>
      <w:r>
        <w:rPr>
          <w:spacing w:val="-8"/>
        </w:rPr>
        <w:t xml:space="preserve"> </w:t>
      </w:r>
      <w:r>
        <w:t>this</w:t>
      </w:r>
      <w:r>
        <w:rPr>
          <w:spacing w:val="-8"/>
        </w:rPr>
        <w:t xml:space="preserve"> </w:t>
      </w:r>
      <w:r>
        <w:t>ROP.</w:t>
      </w:r>
      <w:r>
        <w:rPr>
          <w:spacing w:val="46"/>
        </w:rPr>
        <w:t xml:space="preserve"> </w:t>
      </w:r>
      <w:r>
        <w:t>A</w:t>
      </w:r>
      <w:r>
        <w:rPr>
          <w:spacing w:val="-8"/>
        </w:rPr>
        <w:t xml:space="preserve"> </w:t>
      </w:r>
      <w:r>
        <w:t>final</w:t>
      </w:r>
      <w:r>
        <w:rPr>
          <w:spacing w:val="-7"/>
        </w:rPr>
        <w:t xml:space="preserve"> </w:t>
      </w:r>
      <w:r>
        <w:t>decision</w:t>
      </w:r>
      <w:r>
        <w:rPr>
          <w:spacing w:val="-6"/>
        </w:rPr>
        <w:t xml:space="preserve"> </w:t>
      </w:r>
      <w:r>
        <w:t>on</w:t>
      </w:r>
      <w:r>
        <w:rPr>
          <w:spacing w:val="-9"/>
        </w:rPr>
        <w:t xml:space="preserve"> </w:t>
      </w:r>
      <w:r>
        <w:t>the</w:t>
      </w:r>
      <w:r>
        <w:rPr>
          <w:spacing w:val="-8"/>
        </w:rPr>
        <w:t xml:space="preserve"> </w:t>
      </w:r>
      <w:r>
        <w:t>ROP</w:t>
      </w:r>
      <w:r>
        <w:rPr>
          <w:spacing w:val="-6"/>
        </w:rPr>
        <w:t xml:space="preserve"> </w:t>
      </w:r>
      <w:r>
        <w:t>will</w:t>
      </w:r>
      <w:r>
        <w:rPr>
          <w:spacing w:val="-7"/>
        </w:rPr>
        <w:t xml:space="preserve"> </w:t>
      </w:r>
      <w:r>
        <w:t>not</w:t>
      </w:r>
      <w:r>
        <w:rPr>
          <w:spacing w:val="-7"/>
        </w:rPr>
        <w:t xml:space="preserve"> </w:t>
      </w:r>
      <w:r>
        <w:t>be</w:t>
      </w:r>
      <w:r>
        <w:rPr>
          <w:spacing w:val="-9"/>
        </w:rPr>
        <w:t xml:space="preserve"> </w:t>
      </w:r>
      <w:r>
        <w:t>made</w:t>
      </w:r>
      <w:r>
        <w:rPr>
          <w:spacing w:val="-8"/>
        </w:rPr>
        <w:t xml:space="preserve"> </w:t>
      </w:r>
      <w:r>
        <w:t>until</w:t>
      </w:r>
      <w:r>
        <w:rPr>
          <w:spacing w:val="-7"/>
        </w:rPr>
        <w:t xml:space="preserve"> </w:t>
      </w:r>
      <w:r>
        <w:t>the</w:t>
      </w:r>
      <w:r>
        <w:rPr>
          <w:spacing w:val="-9"/>
        </w:rPr>
        <w:t xml:space="preserve"> </w:t>
      </w:r>
      <w:r>
        <w:t>public</w:t>
      </w:r>
      <w:r>
        <w:rPr>
          <w:spacing w:val="-6"/>
        </w:rPr>
        <w:t xml:space="preserve"> </w:t>
      </w:r>
      <w:r>
        <w:t>and affected states have had an opportunity to comment on the AQD’s proposed action and draft permit. In addition, the USEPA is allowed up to 45 days to review the draft ROP and related material. The AQD is not required to accept reco</w:t>
      </w:r>
      <w:r>
        <w:t>mmendations that are not based on applicable requirements. The delegated decision maker for the AQD is Scott Miller, Jackson District Supervisor. The final determination for ROP approval/disapproval</w:t>
      </w:r>
      <w:r>
        <w:rPr>
          <w:spacing w:val="-6"/>
        </w:rPr>
        <w:t xml:space="preserve"> </w:t>
      </w:r>
      <w:r>
        <w:t>will</w:t>
      </w:r>
      <w:r>
        <w:rPr>
          <w:spacing w:val="-2"/>
        </w:rPr>
        <w:t xml:space="preserve"> </w:t>
      </w:r>
      <w:r>
        <w:t>be</w:t>
      </w:r>
      <w:r>
        <w:rPr>
          <w:spacing w:val="-4"/>
        </w:rPr>
        <w:t xml:space="preserve"> </w:t>
      </w:r>
      <w:r>
        <w:t>based</w:t>
      </w:r>
      <w:r>
        <w:rPr>
          <w:spacing w:val="-5"/>
        </w:rPr>
        <w:t xml:space="preserve"> </w:t>
      </w:r>
      <w:r>
        <w:t>on</w:t>
      </w:r>
      <w:r>
        <w:rPr>
          <w:spacing w:val="-4"/>
        </w:rPr>
        <w:t xml:space="preserve"> </w:t>
      </w:r>
      <w:r>
        <w:t>the</w:t>
      </w:r>
      <w:r>
        <w:rPr>
          <w:spacing w:val="-4"/>
        </w:rPr>
        <w:t xml:space="preserve"> </w:t>
      </w:r>
      <w:r>
        <w:t>contents</w:t>
      </w:r>
      <w:r>
        <w:rPr>
          <w:spacing w:val="-2"/>
        </w:rPr>
        <w:t xml:space="preserve"> </w:t>
      </w:r>
      <w:r>
        <w:t>of</w:t>
      </w:r>
      <w:r>
        <w:rPr>
          <w:spacing w:val="-3"/>
        </w:rPr>
        <w:t xml:space="preserve"> </w:t>
      </w:r>
      <w:r>
        <w:t>the</w:t>
      </w:r>
      <w:r>
        <w:rPr>
          <w:spacing w:val="-5"/>
        </w:rPr>
        <w:t xml:space="preserve"> </w:t>
      </w:r>
      <w:r>
        <w:t>ROP</w:t>
      </w:r>
      <w:r>
        <w:rPr>
          <w:spacing w:val="-4"/>
        </w:rPr>
        <w:t xml:space="preserve"> </w:t>
      </w:r>
      <w:r>
        <w:t>Application,</w:t>
      </w:r>
      <w:r>
        <w:rPr>
          <w:spacing w:val="-3"/>
        </w:rPr>
        <w:t xml:space="preserve"> </w:t>
      </w:r>
      <w:r>
        <w:t>a</w:t>
      </w:r>
      <w:r>
        <w:rPr>
          <w:spacing w:val="-5"/>
        </w:rPr>
        <w:t xml:space="preserve"> </w:t>
      </w:r>
      <w:r>
        <w:t>j</w:t>
      </w:r>
      <w:r>
        <w:t>udgment</w:t>
      </w:r>
      <w:r>
        <w:rPr>
          <w:spacing w:val="-3"/>
        </w:rPr>
        <w:t xml:space="preserve"> </w:t>
      </w:r>
      <w:r>
        <w:t>that</w:t>
      </w:r>
      <w:r>
        <w:rPr>
          <w:spacing w:val="-3"/>
        </w:rPr>
        <w:t xml:space="preserve"> </w:t>
      </w:r>
      <w:r>
        <w:t>the</w:t>
      </w:r>
      <w:r>
        <w:rPr>
          <w:spacing w:val="-5"/>
        </w:rPr>
        <w:t xml:space="preserve"> </w:t>
      </w:r>
      <w:r>
        <w:t>stationary source</w:t>
      </w:r>
      <w:r>
        <w:rPr>
          <w:spacing w:val="-15"/>
        </w:rPr>
        <w:t xml:space="preserve"> </w:t>
      </w:r>
      <w:r>
        <w:t>will</w:t>
      </w:r>
      <w:r>
        <w:rPr>
          <w:spacing w:val="-13"/>
        </w:rPr>
        <w:t xml:space="preserve"> </w:t>
      </w:r>
      <w:r>
        <w:t>be</w:t>
      </w:r>
      <w:r>
        <w:rPr>
          <w:spacing w:val="-12"/>
        </w:rPr>
        <w:t xml:space="preserve"> </w:t>
      </w:r>
      <w:r>
        <w:t>able</w:t>
      </w:r>
      <w:r>
        <w:rPr>
          <w:spacing w:val="-17"/>
        </w:rPr>
        <w:t xml:space="preserve"> </w:t>
      </w:r>
      <w:r>
        <w:t>to</w:t>
      </w:r>
      <w:r>
        <w:rPr>
          <w:spacing w:val="-15"/>
        </w:rPr>
        <w:t xml:space="preserve"> </w:t>
      </w:r>
      <w:r>
        <w:t>comply</w:t>
      </w:r>
      <w:r>
        <w:rPr>
          <w:spacing w:val="-12"/>
        </w:rPr>
        <w:t xml:space="preserve"> </w:t>
      </w:r>
      <w:r>
        <w:t>with</w:t>
      </w:r>
      <w:r>
        <w:rPr>
          <w:spacing w:val="-15"/>
        </w:rPr>
        <w:t xml:space="preserve"> </w:t>
      </w:r>
      <w:r>
        <w:t>applicable</w:t>
      </w:r>
      <w:r>
        <w:rPr>
          <w:spacing w:val="-12"/>
        </w:rPr>
        <w:t xml:space="preserve"> </w:t>
      </w:r>
      <w:r>
        <w:t>emission</w:t>
      </w:r>
      <w:r>
        <w:rPr>
          <w:spacing w:val="-12"/>
        </w:rPr>
        <w:t xml:space="preserve"> </w:t>
      </w:r>
      <w:r>
        <w:t>limits</w:t>
      </w:r>
      <w:r>
        <w:rPr>
          <w:spacing w:val="-14"/>
        </w:rPr>
        <w:t xml:space="preserve"> </w:t>
      </w:r>
      <w:r>
        <w:t>and</w:t>
      </w:r>
      <w:r>
        <w:rPr>
          <w:spacing w:val="-14"/>
        </w:rPr>
        <w:t xml:space="preserve"> </w:t>
      </w:r>
      <w:r>
        <w:t>other</w:t>
      </w:r>
      <w:r>
        <w:rPr>
          <w:spacing w:val="-16"/>
        </w:rPr>
        <w:t xml:space="preserve"> </w:t>
      </w:r>
      <w:r>
        <w:t>terms</w:t>
      </w:r>
      <w:r>
        <w:rPr>
          <w:spacing w:val="-14"/>
        </w:rPr>
        <w:t xml:space="preserve"> </w:t>
      </w:r>
      <w:r>
        <w:t>and</w:t>
      </w:r>
      <w:r>
        <w:rPr>
          <w:spacing w:val="-15"/>
        </w:rPr>
        <w:t xml:space="preserve"> </w:t>
      </w:r>
      <w:r>
        <w:t>conditions,</w:t>
      </w:r>
      <w:r>
        <w:rPr>
          <w:spacing w:val="-13"/>
        </w:rPr>
        <w:t xml:space="preserve"> </w:t>
      </w:r>
      <w:r>
        <w:t>and</w:t>
      </w:r>
      <w:r>
        <w:rPr>
          <w:spacing w:val="-15"/>
        </w:rPr>
        <w:t xml:space="preserve"> </w:t>
      </w:r>
      <w:r>
        <w:t>resolution of any objections by the</w:t>
      </w:r>
      <w:r>
        <w:rPr>
          <w:spacing w:val="-7"/>
        </w:rPr>
        <w:t xml:space="preserve"> </w:t>
      </w:r>
      <w:r>
        <w:t>USEPA.</w:t>
      </w:r>
    </w:p>
    <w:p w14:paraId="5892772D" w14:textId="77777777" w:rsidR="002B4FFB" w:rsidRDefault="002B4FFB">
      <w:pPr>
        <w:jc w:val="both"/>
        <w:sectPr w:rsidR="002B4FFB">
          <w:pgSz w:w="12240" w:h="15840"/>
          <w:pgMar w:top="940" w:right="120" w:bottom="940" w:left="900" w:header="0" w:footer="743" w:gutter="0"/>
          <w:cols w:space="720"/>
        </w:sectPr>
      </w:pPr>
    </w:p>
    <w:tbl>
      <w:tblPr>
        <w:tblW w:w="0" w:type="auto"/>
        <w:tblInd w:w="273" w:type="dxa"/>
        <w:tblLayout w:type="fixed"/>
        <w:tblCellMar>
          <w:left w:w="0" w:type="dxa"/>
          <w:right w:w="0" w:type="dxa"/>
        </w:tblCellMar>
        <w:tblLook w:val="01E0" w:firstRow="1" w:lastRow="1" w:firstColumn="1" w:lastColumn="1" w:noHBand="0" w:noVBand="0"/>
      </w:tblPr>
      <w:tblGrid>
        <w:gridCol w:w="2591"/>
        <w:gridCol w:w="5520"/>
        <w:gridCol w:w="2103"/>
      </w:tblGrid>
      <w:tr w:rsidR="002B4FFB" w14:paraId="49FE9485" w14:textId="77777777">
        <w:trPr>
          <w:trHeight w:val="456"/>
        </w:trPr>
        <w:tc>
          <w:tcPr>
            <w:tcW w:w="10214" w:type="dxa"/>
            <w:gridSpan w:val="3"/>
          </w:tcPr>
          <w:p w14:paraId="05F2DAC2" w14:textId="77777777" w:rsidR="002B4FFB" w:rsidRDefault="001F7021">
            <w:pPr>
              <w:pStyle w:val="TableParagraph"/>
              <w:spacing w:line="223" w:lineRule="exact"/>
              <w:ind w:left="2462" w:right="2074"/>
              <w:jc w:val="center"/>
              <w:rPr>
                <w:sz w:val="20"/>
              </w:rPr>
            </w:pPr>
            <w:r>
              <w:rPr>
                <w:sz w:val="20"/>
              </w:rPr>
              <w:lastRenderedPageBreak/>
              <w:t>Michigan Department of Environment, Great Lakes, and Energy</w:t>
            </w:r>
          </w:p>
          <w:p w14:paraId="50BEFD0C" w14:textId="77777777" w:rsidR="002B4FFB" w:rsidRDefault="001F7021">
            <w:pPr>
              <w:pStyle w:val="TableParagraph"/>
              <w:spacing w:line="213" w:lineRule="exact"/>
              <w:ind w:left="2462" w:right="2071"/>
              <w:jc w:val="center"/>
              <w:rPr>
                <w:sz w:val="20"/>
              </w:rPr>
            </w:pPr>
            <w:r>
              <w:rPr>
                <w:sz w:val="20"/>
              </w:rPr>
              <w:t>Air Quality Division</w:t>
            </w:r>
          </w:p>
        </w:tc>
      </w:tr>
      <w:tr w:rsidR="002B4FFB" w14:paraId="13407789" w14:textId="77777777">
        <w:trPr>
          <w:trHeight w:val="328"/>
        </w:trPr>
        <w:tc>
          <w:tcPr>
            <w:tcW w:w="2591" w:type="dxa"/>
          </w:tcPr>
          <w:p w14:paraId="46948004" w14:textId="77777777" w:rsidR="002B4FFB" w:rsidRDefault="001F7021">
            <w:pPr>
              <w:pStyle w:val="TableParagraph"/>
              <w:spacing w:line="183" w:lineRule="exact"/>
              <w:ind w:left="181" w:right="350"/>
              <w:jc w:val="center"/>
              <w:rPr>
                <w:b/>
                <w:sz w:val="16"/>
              </w:rPr>
            </w:pPr>
            <w:r>
              <w:rPr>
                <w:b/>
                <w:sz w:val="16"/>
              </w:rPr>
              <w:t>State Registration Number</w:t>
            </w:r>
          </w:p>
        </w:tc>
        <w:tc>
          <w:tcPr>
            <w:tcW w:w="5520" w:type="dxa"/>
          </w:tcPr>
          <w:p w14:paraId="4A000127" w14:textId="77777777" w:rsidR="002B4FFB" w:rsidRDefault="001F7021">
            <w:pPr>
              <w:pStyle w:val="TableParagraph"/>
              <w:spacing w:line="308" w:lineRule="exact"/>
              <w:ind w:left="200" w:right="291"/>
              <w:jc w:val="center"/>
              <w:rPr>
                <w:b/>
                <w:sz w:val="28"/>
              </w:rPr>
            </w:pPr>
            <w:r>
              <w:rPr>
                <w:b/>
                <w:sz w:val="28"/>
              </w:rPr>
              <w:t>RENEWABLE OPERATING PERMIT</w:t>
            </w:r>
          </w:p>
        </w:tc>
        <w:tc>
          <w:tcPr>
            <w:tcW w:w="2103" w:type="dxa"/>
          </w:tcPr>
          <w:p w14:paraId="7D391DFD" w14:textId="77777777" w:rsidR="002B4FFB" w:rsidRDefault="001F7021">
            <w:pPr>
              <w:pStyle w:val="TableParagraph"/>
              <w:spacing w:line="183" w:lineRule="exact"/>
              <w:ind w:left="608"/>
              <w:rPr>
                <w:b/>
                <w:sz w:val="16"/>
              </w:rPr>
            </w:pPr>
            <w:r>
              <w:rPr>
                <w:b/>
                <w:sz w:val="16"/>
              </w:rPr>
              <w:t>ROP Number</w:t>
            </w:r>
          </w:p>
        </w:tc>
      </w:tr>
      <w:tr w:rsidR="002B4FFB" w14:paraId="7E0D378C" w14:textId="77777777">
        <w:trPr>
          <w:trHeight w:val="252"/>
        </w:trPr>
        <w:tc>
          <w:tcPr>
            <w:tcW w:w="2591" w:type="dxa"/>
          </w:tcPr>
          <w:p w14:paraId="2B3689BA" w14:textId="77777777" w:rsidR="002B4FFB" w:rsidRDefault="001F7021">
            <w:pPr>
              <w:pStyle w:val="TableParagraph"/>
              <w:spacing w:before="3" w:line="230" w:lineRule="exact"/>
              <w:ind w:left="181" w:right="349"/>
              <w:jc w:val="center"/>
            </w:pPr>
            <w:r>
              <w:t>N1966</w:t>
            </w:r>
          </w:p>
        </w:tc>
        <w:tc>
          <w:tcPr>
            <w:tcW w:w="5520" w:type="dxa"/>
          </w:tcPr>
          <w:p w14:paraId="664E7EEF" w14:textId="77777777" w:rsidR="002B4FFB" w:rsidRDefault="002B4FFB">
            <w:pPr>
              <w:pStyle w:val="TableParagraph"/>
              <w:spacing w:line="240" w:lineRule="auto"/>
              <w:ind w:left="0"/>
              <w:rPr>
                <w:rFonts w:ascii="Times New Roman"/>
                <w:sz w:val="18"/>
              </w:rPr>
            </w:pPr>
          </w:p>
        </w:tc>
        <w:tc>
          <w:tcPr>
            <w:tcW w:w="2103" w:type="dxa"/>
            <w:vMerge w:val="restart"/>
          </w:tcPr>
          <w:p w14:paraId="6C6872E9" w14:textId="77777777" w:rsidR="002B4FFB" w:rsidRDefault="001F7021">
            <w:pPr>
              <w:pStyle w:val="TableParagraph"/>
              <w:spacing w:before="7" w:line="252" w:lineRule="exact"/>
              <w:ind w:left="863" w:right="180" w:hanging="550"/>
            </w:pPr>
            <w:bookmarkStart w:id="9" w:name="October_15,_2020_-_STAFF_REPORT_ADDENDUM"/>
            <w:bookmarkEnd w:id="9"/>
            <w:r>
              <w:t>MI-ROP-N1966- 2020</w:t>
            </w:r>
          </w:p>
        </w:tc>
      </w:tr>
      <w:tr w:rsidR="002B4FFB" w14:paraId="14975B79" w14:textId="77777777">
        <w:trPr>
          <w:trHeight w:val="255"/>
        </w:trPr>
        <w:tc>
          <w:tcPr>
            <w:tcW w:w="2591" w:type="dxa"/>
          </w:tcPr>
          <w:p w14:paraId="5C18ED12" w14:textId="77777777" w:rsidR="002B4FFB" w:rsidRDefault="002B4FFB">
            <w:pPr>
              <w:pStyle w:val="TableParagraph"/>
              <w:spacing w:line="240" w:lineRule="auto"/>
              <w:ind w:left="0"/>
              <w:rPr>
                <w:rFonts w:ascii="Times New Roman"/>
                <w:sz w:val="18"/>
              </w:rPr>
            </w:pPr>
          </w:p>
        </w:tc>
        <w:tc>
          <w:tcPr>
            <w:tcW w:w="5520" w:type="dxa"/>
          </w:tcPr>
          <w:p w14:paraId="434BA514" w14:textId="77777777" w:rsidR="002B4FFB" w:rsidRDefault="001F7021">
            <w:pPr>
              <w:pStyle w:val="TableParagraph"/>
              <w:spacing w:line="235" w:lineRule="exact"/>
              <w:ind w:left="201" w:right="291"/>
              <w:jc w:val="center"/>
              <w:rPr>
                <w:b/>
              </w:rPr>
            </w:pPr>
            <w:r>
              <w:rPr>
                <w:b/>
              </w:rPr>
              <w:t>October 15, 2020 - STAFF REPORT ADDENDUM</w:t>
            </w:r>
          </w:p>
        </w:tc>
        <w:tc>
          <w:tcPr>
            <w:tcW w:w="2103" w:type="dxa"/>
            <w:vMerge/>
            <w:tcBorders>
              <w:top w:val="nil"/>
            </w:tcBorders>
          </w:tcPr>
          <w:p w14:paraId="4808CC6D" w14:textId="77777777" w:rsidR="002B4FFB" w:rsidRDefault="002B4FFB">
            <w:pPr>
              <w:rPr>
                <w:sz w:val="2"/>
                <w:szCs w:val="2"/>
              </w:rPr>
            </w:pPr>
          </w:p>
        </w:tc>
      </w:tr>
    </w:tbl>
    <w:p w14:paraId="0D9CFDB0" w14:textId="77777777" w:rsidR="002B4FFB" w:rsidRDefault="002B4FFB">
      <w:pPr>
        <w:pStyle w:val="BodyText"/>
        <w:rPr>
          <w:sz w:val="20"/>
        </w:rPr>
      </w:pPr>
    </w:p>
    <w:p w14:paraId="5ABCFC69" w14:textId="77777777" w:rsidR="002B4FFB" w:rsidRDefault="002B4FFB">
      <w:pPr>
        <w:pStyle w:val="BodyText"/>
        <w:spacing w:before="8"/>
        <w:rPr>
          <w:sz w:val="19"/>
        </w:rPr>
      </w:pPr>
    </w:p>
    <w:p w14:paraId="1F2C402F" w14:textId="77777777" w:rsidR="002B4FFB" w:rsidRDefault="001F7021">
      <w:pPr>
        <w:pStyle w:val="Heading1"/>
        <w:rPr>
          <w:u w:val="none"/>
        </w:rPr>
      </w:pPr>
      <w:r>
        <w:rPr>
          <w:u w:val="thick"/>
        </w:rPr>
        <w:t>Purpose</w:t>
      </w:r>
    </w:p>
    <w:p w14:paraId="7FA6FE19" w14:textId="77777777" w:rsidR="002B4FFB" w:rsidRDefault="002B4FFB">
      <w:pPr>
        <w:pStyle w:val="BodyText"/>
        <w:spacing w:before="11"/>
        <w:rPr>
          <w:b/>
          <w:sz w:val="13"/>
        </w:rPr>
      </w:pPr>
    </w:p>
    <w:p w14:paraId="446EF9AC" w14:textId="77777777" w:rsidR="002B4FFB" w:rsidRDefault="001F7021">
      <w:pPr>
        <w:pStyle w:val="BodyText"/>
        <w:spacing w:before="93"/>
        <w:ind w:left="107" w:right="882"/>
        <w:jc w:val="both"/>
      </w:pPr>
      <w:r>
        <w:t>A Staff Report dated September 14, 2020, was developed to set forth the applicable requirements and factual basis for the draft Renewable Operating Permit (ROP) terms and conditions as required by Rule 214(1)</w:t>
      </w:r>
      <w:r>
        <w:rPr>
          <w:spacing w:val="-12"/>
        </w:rPr>
        <w:t xml:space="preserve"> </w:t>
      </w:r>
      <w:r>
        <w:t>of</w:t>
      </w:r>
      <w:r>
        <w:rPr>
          <w:spacing w:val="-11"/>
        </w:rPr>
        <w:t xml:space="preserve"> </w:t>
      </w:r>
      <w:r>
        <w:t>the</w:t>
      </w:r>
      <w:r>
        <w:rPr>
          <w:spacing w:val="-10"/>
        </w:rPr>
        <w:t xml:space="preserve"> </w:t>
      </w:r>
      <w:r>
        <w:t>administrative</w:t>
      </w:r>
      <w:r>
        <w:rPr>
          <w:spacing w:val="-10"/>
        </w:rPr>
        <w:t xml:space="preserve"> </w:t>
      </w:r>
      <w:r>
        <w:t>rules</w:t>
      </w:r>
      <w:r>
        <w:rPr>
          <w:spacing w:val="-12"/>
        </w:rPr>
        <w:t xml:space="preserve"> </w:t>
      </w:r>
      <w:r>
        <w:t>promulgated</w:t>
      </w:r>
      <w:r>
        <w:rPr>
          <w:spacing w:val="-12"/>
        </w:rPr>
        <w:t xml:space="preserve"> </w:t>
      </w:r>
      <w:r>
        <w:t>under</w:t>
      </w:r>
      <w:r>
        <w:rPr>
          <w:spacing w:val="-9"/>
        </w:rPr>
        <w:t xml:space="preserve"> </w:t>
      </w:r>
      <w:r>
        <w:t>A</w:t>
      </w:r>
      <w:r>
        <w:t>ct</w:t>
      </w:r>
      <w:r>
        <w:rPr>
          <w:spacing w:val="-8"/>
        </w:rPr>
        <w:t xml:space="preserve"> </w:t>
      </w:r>
      <w:r>
        <w:t>451.</w:t>
      </w:r>
      <w:r>
        <w:rPr>
          <w:spacing w:val="41"/>
        </w:rPr>
        <w:t xml:space="preserve"> </w:t>
      </w:r>
      <w:r>
        <w:t>The</w:t>
      </w:r>
      <w:r>
        <w:rPr>
          <w:spacing w:val="-12"/>
        </w:rPr>
        <w:t xml:space="preserve"> </w:t>
      </w:r>
      <w:r>
        <w:t>purpose</w:t>
      </w:r>
      <w:r>
        <w:rPr>
          <w:spacing w:val="-11"/>
        </w:rPr>
        <w:t xml:space="preserve"> </w:t>
      </w:r>
      <w:r>
        <w:t>of</w:t>
      </w:r>
      <w:r>
        <w:rPr>
          <w:spacing w:val="-11"/>
        </w:rPr>
        <w:t xml:space="preserve"> </w:t>
      </w:r>
      <w:r>
        <w:t>this</w:t>
      </w:r>
      <w:r>
        <w:rPr>
          <w:spacing w:val="-9"/>
        </w:rPr>
        <w:t xml:space="preserve"> </w:t>
      </w:r>
      <w:r>
        <w:t>Staff</w:t>
      </w:r>
      <w:r>
        <w:rPr>
          <w:spacing w:val="-11"/>
        </w:rPr>
        <w:t xml:space="preserve"> </w:t>
      </w:r>
      <w:r>
        <w:t>Report</w:t>
      </w:r>
      <w:r>
        <w:rPr>
          <w:spacing w:val="-11"/>
        </w:rPr>
        <w:t xml:space="preserve"> </w:t>
      </w:r>
      <w:r>
        <w:t>Addendum is to summarize any significant comments received on the draft ROP during the 30-day public comment period as described in Rule 214(3). In addition, this addendum describes any changes to the draft ROP resu</w:t>
      </w:r>
      <w:r>
        <w:t>lting from these pertinent</w:t>
      </w:r>
      <w:r>
        <w:rPr>
          <w:spacing w:val="-1"/>
        </w:rPr>
        <w:t xml:space="preserve"> </w:t>
      </w:r>
      <w:r>
        <w:t>comments.</w:t>
      </w:r>
    </w:p>
    <w:p w14:paraId="706D073C" w14:textId="77777777" w:rsidR="002B4FFB" w:rsidRDefault="002B4FFB">
      <w:pPr>
        <w:pStyle w:val="BodyText"/>
        <w:spacing w:before="1"/>
      </w:pPr>
    </w:p>
    <w:p w14:paraId="21BB7B24" w14:textId="77777777" w:rsidR="002B4FFB" w:rsidRDefault="001F7021">
      <w:pPr>
        <w:pStyle w:val="Heading1"/>
        <w:jc w:val="both"/>
        <w:rPr>
          <w:u w:val="none"/>
        </w:rPr>
      </w:pPr>
      <w:r>
        <w:rPr>
          <w:u w:val="thick"/>
        </w:rPr>
        <w:t>General Information</w:t>
      </w:r>
    </w:p>
    <w:p w14:paraId="306FCEC0" w14:textId="77777777" w:rsidR="002B4FFB" w:rsidRDefault="002B4FFB">
      <w:pPr>
        <w:pStyle w:val="BodyText"/>
        <w:spacing w:before="3"/>
        <w:rPr>
          <w:b/>
          <w:sz w:val="23"/>
        </w:rPr>
      </w:pPr>
    </w:p>
    <w:tbl>
      <w:tblPr>
        <w:tblW w:w="0" w:type="auto"/>
        <w:tblInd w:w="2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464"/>
        <w:gridCol w:w="5796"/>
      </w:tblGrid>
      <w:tr w:rsidR="002B4FFB" w14:paraId="7AEB24D6" w14:textId="77777777">
        <w:trPr>
          <w:trHeight w:val="505"/>
        </w:trPr>
        <w:tc>
          <w:tcPr>
            <w:tcW w:w="4464" w:type="dxa"/>
            <w:tcBorders>
              <w:bottom w:val="single" w:sz="6" w:space="0" w:color="000000"/>
              <w:right w:val="single" w:sz="6" w:space="0" w:color="000000"/>
            </w:tcBorders>
          </w:tcPr>
          <w:p w14:paraId="4C5B57D8" w14:textId="77777777" w:rsidR="002B4FFB" w:rsidRDefault="001F7021">
            <w:pPr>
              <w:pStyle w:val="TableParagraph"/>
              <w:spacing w:before="1" w:line="240" w:lineRule="auto"/>
            </w:pPr>
            <w:r>
              <w:t>Responsible Official:</w:t>
            </w:r>
          </w:p>
        </w:tc>
        <w:tc>
          <w:tcPr>
            <w:tcW w:w="5796" w:type="dxa"/>
            <w:tcBorders>
              <w:left w:val="single" w:sz="6" w:space="0" w:color="000000"/>
              <w:bottom w:val="single" w:sz="6" w:space="0" w:color="000000"/>
            </w:tcBorders>
          </w:tcPr>
          <w:p w14:paraId="6745C6DE" w14:textId="77777777" w:rsidR="002B4FFB" w:rsidRDefault="001F7021">
            <w:pPr>
              <w:pStyle w:val="TableParagraph"/>
              <w:spacing w:before="6" w:line="252" w:lineRule="exact"/>
              <w:ind w:left="107" w:right="1289"/>
            </w:pPr>
            <w:r>
              <w:t xml:space="preserve">Bruce </w:t>
            </w:r>
            <w:proofErr w:type="spellStart"/>
            <w:r>
              <w:t>VerBurg</w:t>
            </w:r>
            <w:proofErr w:type="spellEnd"/>
            <w:r>
              <w:t>, Vice President of Operations 517-622-7000</w:t>
            </w:r>
          </w:p>
        </w:tc>
      </w:tr>
      <w:tr w:rsidR="002B4FFB" w14:paraId="3571D3D0" w14:textId="77777777">
        <w:trPr>
          <w:trHeight w:val="502"/>
        </w:trPr>
        <w:tc>
          <w:tcPr>
            <w:tcW w:w="4464" w:type="dxa"/>
            <w:tcBorders>
              <w:top w:val="single" w:sz="6" w:space="0" w:color="000000"/>
              <w:right w:val="single" w:sz="6" w:space="0" w:color="000000"/>
            </w:tcBorders>
          </w:tcPr>
          <w:p w14:paraId="29F11F0E" w14:textId="77777777" w:rsidR="002B4FFB" w:rsidRDefault="001F7021">
            <w:pPr>
              <w:pStyle w:val="TableParagraph"/>
              <w:spacing w:line="250" w:lineRule="exact"/>
            </w:pPr>
            <w:r>
              <w:t>AQD Contact:</w:t>
            </w:r>
          </w:p>
        </w:tc>
        <w:tc>
          <w:tcPr>
            <w:tcW w:w="5796" w:type="dxa"/>
            <w:tcBorders>
              <w:top w:val="single" w:sz="6" w:space="0" w:color="000000"/>
              <w:left w:val="single" w:sz="6" w:space="0" w:color="000000"/>
            </w:tcBorders>
          </w:tcPr>
          <w:p w14:paraId="22411290" w14:textId="77777777" w:rsidR="002B4FFB" w:rsidRDefault="001F7021">
            <w:pPr>
              <w:pStyle w:val="TableParagraph"/>
              <w:spacing w:before="2" w:line="252" w:lineRule="exact"/>
              <w:ind w:left="107" w:right="795"/>
            </w:pPr>
            <w:r>
              <w:t>Stephanie Weems, Environmental Quality Analyst 517-416-3351</w:t>
            </w:r>
          </w:p>
        </w:tc>
      </w:tr>
    </w:tbl>
    <w:p w14:paraId="6AD7A090" w14:textId="77777777" w:rsidR="002B4FFB" w:rsidRDefault="002B4FFB">
      <w:pPr>
        <w:pStyle w:val="BodyText"/>
        <w:spacing w:before="4"/>
        <w:rPr>
          <w:b/>
          <w:sz w:val="23"/>
        </w:rPr>
      </w:pPr>
    </w:p>
    <w:p w14:paraId="6D379185" w14:textId="77777777" w:rsidR="002B4FFB" w:rsidRDefault="001F7021">
      <w:pPr>
        <w:ind w:left="107"/>
        <w:jc w:val="both"/>
        <w:rPr>
          <w:b/>
        </w:rPr>
      </w:pPr>
      <w:r>
        <w:rPr>
          <w:b/>
          <w:u w:val="thick"/>
        </w:rPr>
        <w:t>Summary of Pertinent Comments</w:t>
      </w:r>
    </w:p>
    <w:p w14:paraId="07D69A06" w14:textId="77777777" w:rsidR="002B4FFB" w:rsidRDefault="002B4FFB">
      <w:pPr>
        <w:pStyle w:val="BodyText"/>
        <w:spacing w:before="8"/>
        <w:rPr>
          <w:b/>
          <w:sz w:val="13"/>
        </w:rPr>
      </w:pPr>
    </w:p>
    <w:p w14:paraId="4EDF91A6" w14:textId="77777777" w:rsidR="002B4FFB" w:rsidRDefault="001F7021">
      <w:pPr>
        <w:pStyle w:val="BodyText"/>
        <w:spacing w:before="94"/>
        <w:ind w:left="107"/>
      </w:pPr>
      <w:bookmarkStart w:id="10" w:name="No_pertinent_comments_were_received_duri"/>
      <w:bookmarkEnd w:id="10"/>
      <w:r>
        <w:t>No pertinent comments were received during the 30-day public comment period.</w:t>
      </w:r>
    </w:p>
    <w:p w14:paraId="71E3735B" w14:textId="77777777" w:rsidR="002B4FFB" w:rsidRDefault="002B4FFB">
      <w:pPr>
        <w:pStyle w:val="BodyText"/>
      </w:pPr>
    </w:p>
    <w:p w14:paraId="3DCD5309" w14:textId="77777777" w:rsidR="002B4FFB" w:rsidRDefault="001F7021">
      <w:pPr>
        <w:pStyle w:val="Heading1"/>
        <w:rPr>
          <w:u w:val="none"/>
        </w:rPr>
      </w:pPr>
      <w:r>
        <w:rPr>
          <w:u w:val="thick"/>
        </w:rPr>
        <w:t>Changes to the September 14, 2020 Draft ROP</w:t>
      </w:r>
    </w:p>
    <w:p w14:paraId="08F7462E" w14:textId="77777777" w:rsidR="002B4FFB" w:rsidRDefault="002B4FFB">
      <w:pPr>
        <w:pStyle w:val="BodyText"/>
        <w:spacing w:before="10"/>
        <w:rPr>
          <w:b/>
          <w:sz w:val="13"/>
        </w:rPr>
      </w:pPr>
    </w:p>
    <w:p w14:paraId="114C183F" w14:textId="77777777" w:rsidR="002B4FFB" w:rsidRDefault="001F7021">
      <w:pPr>
        <w:pStyle w:val="BodyText"/>
        <w:spacing w:before="94"/>
        <w:ind w:left="107"/>
      </w:pPr>
      <w:bookmarkStart w:id="11" w:name="No_changes_were_made_to_the__ROP."/>
      <w:bookmarkEnd w:id="11"/>
      <w:r>
        <w:t>No changes were made to the draft ROP.</w:t>
      </w:r>
    </w:p>
    <w:sectPr w:rsidR="002B4FFB">
      <w:pgSz w:w="12240" w:h="15840"/>
      <w:pgMar w:top="1220" w:right="120" w:bottom="940" w:left="90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D7C97" w14:textId="77777777" w:rsidR="001F7021" w:rsidRDefault="001F7021">
      <w:r>
        <w:separator/>
      </w:r>
    </w:p>
  </w:endnote>
  <w:endnote w:type="continuationSeparator" w:id="0">
    <w:p w14:paraId="05A69D57" w14:textId="77777777" w:rsidR="001F7021" w:rsidRDefault="001F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347B9" w14:textId="77777777" w:rsidR="00BA727C" w:rsidRDefault="00BA7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B68C2" w14:textId="77777777" w:rsidR="002B4FFB" w:rsidRDefault="001F7021">
    <w:pPr>
      <w:pStyle w:val="BodyText"/>
      <w:spacing w:line="14" w:lineRule="auto"/>
      <w:rPr>
        <w:sz w:val="20"/>
      </w:rPr>
    </w:pPr>
    <w:r>
      <w:pict w14:anchorId="3FD01B63">
        <v:shapetype id="_x0000_t202" coordsize="21600,21600" o:spt="202" path="m,l,21600r21600,l21600,xe">
          <v:stroke joinstyle="miter"/>
          <v:path gradientshapeok="t" o:connecttype="rect"/>
        </v:shapetype>
        <v:shape id="_x0000_s2049" type="#_x0000_t202" style="position:absolute;margin-left:270.45pt;margin-top:743.8pt;width:56.05pt;height:13.15pt;z-index:-251658752;mso-position-horizontal-relative:page;mso-position-vertical-relative:page" filled="f" stroked="f">
          <v:textbox inset="0,0,0,0">
            <w:txbxContent>
              <w:p w14:paraId="2DB78985" w14:textId="77777777" w:rsidR="002B4FFB" w:rsidRDefault="001F7021">
                <w:pPr>
                  <w:spacing w:before="13"/>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9CB0" w14:textId="77777777" w:rsidR="00BA727C" w:rsidRDefault="00BA7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B5FDF" w14:textId="77777777" w:rsidR="001F7021" w:rsidRDefault="001F7021">
      <w:r>
        <w:separator/>
      </w:r>
    </w:p>
  </w:footnote>
  <w:footnote w:type="continuationSeparator" w:id="0">
    <w:p w14:paraId="55EEC1A9" w14:textId="77777777" w:rsidR="001F7021" w:rsidRDefault="001F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768A2" w14:textId="77777777" w:rsidR="00BA727C" w:rsidRDefault="00BA7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EF911" w14:textId="77777777" w:rsidR="00BA727C" w:rsidRDefault="00BA7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27840" w14:textId="77777777" w:rsidR="00BA727C" w:rsidRDefault="00BA7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B4FFB"/>
    <w:rsid w:val="001F7021"/>
    <w:rsid w:val="002B4FFB"/>
    <w:rsid w:val="00BA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C004B9"/>
  <w15:docId w15:val="{447EF0B0-F9D4-4267-A0FE-9EBF984B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1" w:lineRule="exact"/>
      <w:ind w:left="92"/>
    </w:pPr>
  </w:style>
  <w:style w:type="paragraph" w:styleId="Header">
    <w:name w:val="header"/>
    <w:basedOn w:val="Normal"/>
    <w:link w:val="HeaderChar"/>
    <w:uiPriority w:val="99"/>
    <w:unhideWhenUsed/>
    <w:rsid w:val="00BA727C"/>
    <w:pPr>
      <w:tabs>
        <w:tab w:val="center" w:pos="4680"/>
        <w:tab w:val="right" w:pos="9360"/>
      </w:tabs>
    </w:pPr>
  </w:style>
  <w:style w:type="character" w:customStyle="1" w:styleId="HeaderChar">
    <w:name w:val="Header Char"/>
    <w:basedOn w:val="DefaultParagraphFont"/>
    <w:link w:val="Header"/>
    <w:uiPriority w:val="99"/>
    <w:rsid w:val="00BA727C"/>
    <w:rPr>
      <w:rFonts w:ascii="Arial" w:eastAsia="Arial" w:hAnsi="Arial" w:cs="Arial"/>
    </w:rPr>
  </w:style>
  <w:style w:type="paragraph" w:styleId="Footer">
    <w:name w:val="footer"/>
    <w:basedOn w:val="Normal"/>
    <w:link w:val="FooterChar"/>
    <w:uiPriority w:val="99"/>
    <w:unhideWhenUsed/>
    <w:rsid w:val="00BA727C"/>
    <w:pPr>
      <w:tabs>
        <w:tab w:val="center" w:pos="4680"/>
        <w:tab w:val="right" w:pos="9360"/>
      </w:tabs>
    </w:pPr>
  </w:style>
  <w:style w:type="character" w:customStyle="1" w:styleId="FooterChar">
    <w:name w:val="Footer Char"/>
    <w:basedOn w:val="DefaultParagraphFont"/>
    <w:link w:val="Footer"/>
    <w:uiPriority w:val="99"/>
    <w:rsid w:val="00BA727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13232</Characters>
  <Application>Microsoft Office Word</Application>
  <DocSecurity>0</DocSecurity>
  <Lines>367</Lines>
  <Paragraphs>190</Paragraphs>
  <ScaleCrop>false</ScaleCrop>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creator>Orent, Kelly (DEQ)</dc:creator>
  <cp:keywords>AQD-AIR-ROP-TITLE V, Staff Report</cp:keywords>
  <cp:lastModifiedBy>Brian Carley</cp:lastModifiedBy>
  <cp:revision>2</cp:revision>
  <dcterms:created xsi:type="dcterms:W3CDTF">2020-12-01T18:34:00Z</dcterms:created>
  <dcterms:modified xsi:type="dcterms:W3CDTF">2020-12-01T18:34:00Z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Acrobat PDFMaker 20 for Word</vt:lpwstr>
  </property>
  <property fmtid="{D5CDD505-2E9C-101B-9397-08002B2CF9AE}" pid="4" name="LastSaved">
    <vt:filetime>2020-12-01T00:00:00Z</vt:filetime>
  </property>
  <property fmtid="{D5CDD505-2E9C-101B-9397-08002B2CF9AE}" pid="5" name="MSIP_Label_3a2fed65-62e7-46ea-af74-187e0c17143a_Enabled">
    <vt:lpwstr>True</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Owner">
    <vt:lpwstr>CARLEYB@michigan.gov</vt:lpwstr>
  </property>
  <property fmtid="{D5CDD505-2E9C-101B-9397-08002B2CF9AE}" pid="8" name="MSIP_Label_3a2fed65-62e7-46ea-af74-187e0c17143a_SetDate">
    <vt:lpwstr>2020-12-01T18:34:14.7242564Z</vt:lpwstr>
  </property>
  <property fmtid="{D5CDD505-2E9C-101B-9397-08002B2CF9AE}" pid="9" name="MSIP_Label_3a2fed65-62e7-46ea-af74-187e0c17143a_Name">
    <vt:lpwstr>Internal Data (Standard State Data)</vt:lpwstr>
  </property>
  <property fmtid="{D5CDD505-2E9C-101B-9397-08002B2CF9AE}" pid="10" name="MSIP_Label_3a2fed65-62e7-46ea-af74-187e0c17143a_Application">
    <vt:lpwstr>Microsoft Azure Information Protection</vt:lpwstr>
  </property>
  <property fmtid="{D5CDD505-2E9C-101B-9397-08002B2CF9AE}" pid="11" name="MSIP_Label_3a2fed65-62e7-46ea-af74-187e0c17143a_ActionId">
    <vt:lpwstr>051cb581-295c-472b-bde2-91c7caa668cf</vt:lpwstr>
  </property>
  <property fmtid="{D5CDD505-2E9C-101B-9397-08002B2CF9AE}" pid="12" name="MSIP_Label_3a2fed65-62e7-46ea-af74-187e0c17143a_Extended_MSFT_Method">
    <vt:lpwstr>Manual</vt:lpwstr>
  </property>
  <property fmtid="{D5CDD505-2E9C-101B-9397-08002B2CF9AE}" pid="13" name="Sensitivity">
    <vt:lpwstr>Internal Data (Standard State Data)</vt:lpwstr>
  </property>
</Properties>
</file>