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436E" w14:textId="77777777" w:rsidR="00AF4326" w:rsidRDefault="00AF4326">
      <w:pPr>
        <w:pStyle w:val="Header"/>
        <w:tabs>
          <w:tab w:val="clear" w:pos="4320"/>
          <w:tab w:val="clear" w:pos="8640"/>
        </w:tabs>
        <w:rPr>
          <w:rFonts w:ascii="Arial" w:hAnsi="Arial"/>
          <w:sz w:val="18"/>
        </w:rPr>
      </w:pPr>
    </w:p>
    <w:p w14:paraId="199AA1B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DABCCA3" w14:textId="77777777" w:rsidTr="00240431">
        <w:tc>
          <w:tcPr>
            <w:tcW w:w="2250" w:type="dxa"/>
          </w:tcPr>
          <w:p w14:paraId="5C3A9949" w14:textId="77777777" w:rsidR="00AA0D6E" w:rsidRDefault="00AA0D6E" w:rsidP="00AA0D6E">
            <w:pPr>
              <w:jc w:val="center"/>
              <w:rPr>
                <w:rFonts w:ascii="Arial" w:hAnsi="Arial"/>
                <w:sz w:val="16"/>
              </w:rPr>
            </w:pPr>
          </w:p>
        </w:tc>
        <w:tc>
          <w:tcPr>
            <w:tcW w:w="5670" w:type="dxa"/>
          </w:tcPr>
          <w:p w14:paraId="4F175B03"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E0B6598" w14:textId="77777777" w:rsidR="00AA0D6E" w:rsidRDefault="00AA0D6E" w:rsidP="00AA0D6E">
            <w:pPr>
              <w:jc w:val="center"/>
              <w:rPr>
                <w:rFonts w:ascii="Arial" w:hAnsi="Arial"/>
                <w:sz w:val="16"/>
              </w:rPr>
            </w:pPr>
            <w:r>
              <w:rPr>
                <w:rFonts w:ascii="Arial" w:hAnsi="Arial"/>
              </w:rPr>
              <w:t>Air Quality Division</w:t>
            </w:r>
          </w:p>
        </w:tc>
        <w:tc>
          <w:tcPr>
            <w:tcW w:w="2430" w:type="dxa"/>
          </w:tcPr>
          <w:p w14:paraId="26455A74" w14:textId="77777777" w:rsidR="00AA0D6E" w:rsidRDefault="00AA0D6E" w:rsidP="00AA0D6E">
            <w:pPr>
              <w:jc w:val="center"/>
              <w:rPr>
                <w:rFonts w:ascii="Arial" w:hAnsi="Arial"/>
                <w:b/>
                <w:sz w:val="24"/>
              </w:rPr>
            </w:pPr>
          </w:p>
        </w:tc>
      </w:tr>
      <w:tr w:rsidR="00AA0D6E" w14:paraId="75BB3669" w14:textId="77777777" w:rsidTr="00240431">
        <w:trPr>
          <w:cantSplit/>
          <w:trHeight w:val="146"/>
        </w:trPr>
        <w:tc>
          <w:tcPr>
            <w:tcW w:w="2250" w:type="dxa"/>
          </w:tcPr>
          <w:p w14:paraId="52D6616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563A49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AAE8F45"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E052D24" w14:textId="77777777" w:rsidTr="00240431">
        <w:trPr>
          <w:cantSplit/>
          <w:trHeight w:val="145"/>
        </w:trPr>
        <w:tc>
          <w:tcPr>
            <w:tcW w:w="2250" w:type="dxa"/>
          </w:tcPr>
          <w:p w14:paraId="2A234D03" w14:textId="183A7AB3" w:rsidR="00AA0D6E" w:rsidRPr="00910FEA" w:rsidRDefault="00890E76" w:rsidP="00AA0D6E">
            <w:pPr>
              <w:pStyle w:val="Header"/>
              <w:jc w:val="center"/>
              <w:rPr>
                <w:rFonts w:ascii="Arial" w:hAnsi="Arial"/>
                <w:sz w:val="22"/>
                <w:szCs w:val="22"/>
              </w:rPr>
            </w:pPr>
            <w:r w:rsidRPr="00890E76">
              <w:rPr>
                <w:rFonts w:ascii="Arial" w:hAnsi="Arial"/>
                <w:sz w:val="22"/>
              </w:rPr>
              <w:t>B2814</w:t>
            </w:r>
          </w:p>
        </w:tc>
        <w:tc>
          <w:tcPr>
            <w:tcW w:w="5670" w:type="dxa"/>
          </w:tcPr>
          <w:p w14:paraId="274E311A"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DBE7115" w14:textId="2C33A477" w:rsidR="00AA0D6E" w:rsidRPr="00910FEA" w:rsidRDefault="00890E76" w:rsidP="00AA0D6E">
            <w:pPr>
              <w:pStyle w:val="Header"/>
              <w:jc w:val="center"/>
              <w:rPr>
                <w:rFonts w:ascii="Arial" w:hAnsi="Arial"/>
                <w:sz w:val="22"/>
                <w:szCs w:val="22"/>
              </w:rPr>
            </w:pPr>
            <w:r w:rsidRPr="00890E76">
              <w:rPr>
                <w:rFonts w:ascii="Arial" w:hAnsi="Arial"/>
                <w:sz w:val="22"/>
                <w:szCs w:val="22"/>
              </w:rPr>
              <w:t>MI-ROP-B2814-20</w:t>
            </w:r>
            <w:r w:rsidR="00C46ED3">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1D5971">
              <w:rPr>
                <w:rFonts w:ascii="Arial" w:hAnsi="Arial"/>
                <w:sz w:val="22"/>
                <w:szCs w:val="22"/>
              </w:rPr>
            </w:r>
            <w:r w:rsidR="001D5971">
              <w:rPr>
                <w:rFonts w:ascii="Arial" w:hAnsi="Arial"/>
                <w:sz w:val="22"/>
                <w:szCs w:val="22"/>
              </w:rPr>
              <w:fldChar w:fldCharType="separate"/>
            </w:r>
            <w:r w:rsidR="00AA0D6E" w:rsidRPr="00910FEA">
              <w:rPr>
                <w:rFonts w:ascii="Arial" w:hAnsi="Arial"/>
                <w:sz w:val="22"/>
                <w:szCs w:val="22"/>
              </w:rPr>
              <w:fldChar w:fldCharType="end"/>
            </w:r>
            <w:bookmarkEnd w:id="0"/>
          </w:p>
        </w:tc>
      </w:tr>
    </w:tbl>
    <w:p w14:paraId="77A170F4" w14:textId="77777777" w:rsidR="00AF4326" w:rsidRDefault="00AF4326">
      <w:pPr>
        <w:rPr>
          <w:rFonts w:ascii="Arial" w:hAnsi="Arial"/>
          <w:color w:val="000000"/>
          <w:sz w:val="14"/>
        </w:rPr>
      </w:pPr>
    </w:p>
    <w:p w14:paraId="0777274C" w14:textId="77777777" w:rsidR="00AF4326" w:rsidRDefault="00AF4326">
      <w:pPr>
        <w:jc w:val="center"/>
        <w:rPr>
          <w:rFonts w:ascii="Arial" w:hAnsi="Arial"/>
          <w:sz w:val="22"/>
        </w:rPr>
      </w:pPr>
    </w:p>
    <w:p w14:paraId="72B8A17D" w14:textId="046E0E7F" w:rsidR="00AF4326" w:rsidRDefault="00890E76" w:rsidP="00890E76">
      <w:pPr>
        <w:jc w:val="center"/>
        <w:rPr>
          <w:rFonts w:ascii="Arial" w:hAnsi="Arial"/>
          <w:b/>
          <w:sz w:val="22"/>
        </w:rPr>
      </w:pPr>
      <w:r w:rsidRPr="00890E76">
        <w:rPr>
          <w:rFonts w:ascii="Arial" w:hAnsi="Arial"/>
          <w:b/>
          <w:sz w:val="22"/>
        </w:rPr>
        <w:t>Detroit Thermal Beacon Heating Plant</w:t>
      </w:r>
    </w:p>
    <w:p w14:paraId="0D2ED3B7" w14:textId="77777777" w:rsidR="00890E76" w:rsidRDefault="00890E76" w:rsidP="00890E76">
      <w:pPr>
        <w:rPr>
          <w:rFonts w:ascii="Arial" w:hAnsi="Arial"/>
          <w:sz w:val="22"/>
        </w:rPr>
      </w:pPr>
    </w:p>
    <w:p w14:paraId="30183E76" w14:textId="77777777" w:rsidR="00AF4326" w:rsidRDefault="00AF4326">
      <w:pPr>
        <w:jc w:val="center"/>
        <w:rPr>
          <w:rFonts w:ascii="Arial" w:hAnsi="Arial"/>
          <w:sz w:val="22"/>
        </w:rPr>
      </w:pPr>
    </w:p>
    <w:p w14:paraId="2D20F23C" w14:textId="357C5A6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201FE1">
        <w:rPr>
          <w:rFonts w:ascii="Arial" w:hAnsi="Arial"/>
          <w:sz w:val="22"/>
        </w:rPr>
        <w:t>B2814</w:t>
      </w:r>
    </w:p>
    <w:p w14:paraId="63F9B891" w14:textId="77777777" w:rsidR="00AF4326" w:rsidRDefault="00AF4326">
      <w:pPr>
        <w:jc w:val="center"/>
        <w:rPr>
          <w:rFonts w:ascii="Arial" w:hAnsi="Arial"/>
          <w:sz w:val="22"/>
        </w:rPr>
      </w:pPr>
    </w:p>
    <w:p w14:paraId="7E2A8B8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137E016" w14:textId="77777777" w:rsidR="006240B1" w:rsidRDefault="006240B1">
      <w:pPr>
        <w:jc w:val="center"/>
        <w:outlineLvl w:val="0"/>
        <w:rPr>
          <w:rFonts w:ascii="Arial" w:hAnsi="Arial"/>
          <w:sz w:val="22"/>
        </w:rPr>
      </w:pPr>
    </w:p>
    <w:p w14:paraId="179C7340" w14:textId="742CE087" w:rsidR="00AF4326" w:rsidRDefault="00890E76">
      <w:pPr>
        <w:jc w:val="center"/>
        <w:rPr>
          <w:rFonts w:ascii="Arial" w:hAnsi="Arial"/>
          <w:sz w:val="22"/>
        </w:rPr>
      </w:pPr>
      <w:r w:rsidRPr="00890E76">
        <w:rPr>
          <w:rFonts w:ascii="Arial" w:hAnsi="Arial"/>
          <w:sz w:val="22"/>
        </w:rPr>
        <w:t>541 Madison Avenue, Detroit, Wayne County, Michigan 48226</w:t>
      </w:r>
    </w:p>
    <w:p w14:paraId="67FE2E1F" w14:textId="77777777" w:rsidR="00AF4326" w:rsidRDefault="00AF4326">
      <w:pPr>
        <w:jc w:val="center"/>
        <w:rPr>
          <w:rFonts w:ascii="Arial" w:hAnsi="Arial"/>
          <w:sz w:val="22"/>
        </w:rPr>
      </w:pPr>
    </w:p>
    <w:p w14:paraId="1D3C4D3B" w14:textId="412F59E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890E76" w:rsidRPr="00890E76">
        <w:rPr>
          <w:rFonts w:ascii="Arial" w:hAnsi="Arial"/>
          <w:sz w:val="22"/>
        </w:rPr>
        <w:t>MI-ROP-B2814-20</w:t>
      </w:r>
      <w:r w:rsidR="00C46ED3">
        <w:rPr>
          <w:rFonts w:ascii="Arial" w:hAnsi="Arial"/>
          <w:sz w:val="22"/>
        </w:rPr>
        <w:t>24</w:t>
      </w:r>
      <w:r>
        <w:rPr>
          <w:rFonts w:ascii="Arial" w:hAnsi="Arial"/>
          <w:sz w:val="22"/>
        </w:rPr>
        <w:fldChar w:fldCharType="begin" w:fldLock="1"/>
      </w:r>
      <w:r>
        <w:rPr>
          <w:rFonts w:ascii="Arial" w:hAnsi="Arial"/>
          <w:sz w:val="22"/>
        </w:rPr>
        <w:instrText xml:space="preserve"> REF ROP \h </w:instrText>
      </w:r>
      <w:r>
        <w:rPr>
          <w:rFonts w:ascii="Arial" w:hAnsi="Arial"/>
          <w:sz w:val="22"/>
        </w:rPr>
      </w:r>
      <w:r>
        <w:rPr>
          <w:rFonts w:ascii="Arial" w:hAnsi="Arial"/>
          <w:sz w:val="22"/>
        </w:rPr>
        <w:fldChar w:fldCharType="end"/>
      </w:r>
    </w:p>
    <w:p w14:paraId="2D6B8E7A" w14:textId="77777777" w:rsidR="00AF4326" w:rsidRDefault="00AF4326">
      <w:pPr>
        <w:ind w:left="3150"/>
        <w:rPr>
          <w:rFonts w:ascii="Arial" w:hAnsi="Arial"/>
          <w:sz w:val="22"/>
        </w:rPr>
      </w:pPr>
    </w:p>
    <w:p w14:paraId="1245A116" w14:textId="24A4873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40EAD">
        <w:rPr>
          <w:rFonts w:ascii="Arial" w:hAnsi="Arial"/>
          <w:sz w:val="22"/>
        </w:rPr>
        <w:t>March 18, 2024</w:t>
      </w:r>
    </w:p>
    <w:p w14:paraId="2E6803BE" w14:textId="77777777" w:rsidR="00DB5924" w:rsidRPr="007129B8" w:rsidRDefault="00DB5924">
      <w:pPr>
        <w:pStyle w:val="BodyText"/>
      </w:pPr>
    </w:p>
    <w:p w14:paraId="67645DF2" w14:textId="77777777" w:rsidR="00644884" w:rsidRDefault="00644884" w:rsidP="00DB5924">
      <w:pPr>
        <w:jc w:val="both"/>
        <w:rPr>
          <w:rFonts w:ascii="Arial" w:hAnsi="Arial"/>
          <w:sz w:val="22"/>
        </w:rPr>
      </w:pPr>
    </w:p>
    <w:p w14:paraId="10750986" w14:textId="77777777" w:rsidR="00644884" w:rsidRDefault="00644884" w:rsidP="00DB5924">
      <w:pPr>
        <w:jc w:val="both"/>
        <w:rPr>
          <w:rFonts w:ascii="Arial" w:hAnsi="Arial"/>
          <w:sz w:val="22"/>
        </w:rPr>
      </w:pPr>
    </w:p>
    <w:p w14:paraId="74FB0FC6" w14:textId="77777777" w:rsidR="00644884" w:rsidRDefault="00644884" w:rsidP="00DB5924">
      <w:pPr>
        <w:jc w:val="both"/>
        <w:rPr>
          <w:rFonts w:ascii="Arial" w:hAnsi="Arial"/>
          <w:sz w:val="22"/>
        </w:rPr>
      </w:pPr>
    </w:p>
    <w:p w14:paraId="5E9924A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420E387" w14:textId="77777777" w:rsidR="00AF4326" w:rsidRDefault="00AF4326">
      <w:pPr>
        <w:rPr>
          <w:rFonts w:ascii="Arial" w:hAnsi="Arial"/>
          <w:sz w:val="22"/>
        </w:rPr>
      </w:pPr>
    </w:p>
    <w:p w14:paraId="15107F2A" w14:textId="77777777" w:rsidR="00644884" w:rsidRDefault="00644884">
      <w:pPr>
        <w:rPr>
          <w:rFonts w:ascii="Arial" w:hAnsi="Arial"/>
          <w:sz w:val="22"/>
        </w:rPr>
      </w:pPr>
    </w:p>
    <w:p w14:paraId="34EB3A29" w14:textId="77777777" w:rsidR="00AF4326" w:rsidRDefault="00644884" w:rsidP="00644884">
      <w:pPr>
        <w:rPr>
          <w:rFonts w:ascii="Arial" w:hAnsi="Arial"/>
          <w:sz w:val="22"/>
        </w:rPr>
      </w:pPr>
      <w:r>
        <w:rPr>
          <w:rFonts w:ascii="Arial" w:hAnsi="Arial"/>
          <w:sz w:val="22"/>
        </w:rPr>
        <w:br w:type="page"/>
      </w:r>
    </w:p>
    <w:p w14:paraId="3F2310CF" w14:textId="77777777" w:rsidR="00AF4326" w:rsidRDefault="00AF4326">
      <w:pPr>
        <w:jc w:val="center"/>
        <w:outlineLvl w:val="0"/>
        <w:rPr>
          <w:rFonts w:ascii="Arial" w:hAnsi="Arial"/>
          <w:b/>
          <w:sz w:val="22"/>
        </w:rPr>
      </w:pPr>
      <w:r>
        <w:rPr>
          <w:rFonts w:ascii="Arial" w:hAnsi="Arial"/>
          <w:b/>
          <w:sz w:val="22"/>
        </w:rPr>
        <w:lastRenderedPageBreak/>
        <w:t>TABLE OF CONTENTS</w:t>
      </w:r>
    </w:p>
    <w:p w14:paraId="7AE0E357" w14:textId="1D5F0F87" w:rsidR="000538A1" w:rsidRDefault="00AF4326">
      <w:pPr>
        <w:pStyle w:val="TOC1"/>
        <w:tabs>
          <w:tab w:val="righ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0538A1">
        <w:rPr>
          <w:noProof/>
        </w:rPr>
        <w:t>March 18, 2024 STAFF REPORT</w:t>
      </w:r>
      <w:r w:rsidR="000538A1">
        <w:rPr>
          <w:noProof/>
        </w:rPr>
        <w:tab/>
      </w:r>
      <w:r w:rsidR="000538A1">
        <w:rPr>
          <w:noProof/>
        </w:rPr>
        <w:fldChar w:fldCharType="begin"/>
      </w:r>
      <w:r w:rsidR="000538A1">
        <w:rPr>
          <w:noProof/>
        </w:rPr>
        <w:instrText xml:space="preserve"> PAGEREF _Toc170381163 \h </w:instrText>
      </w:r>
      <w:r w:rsidR="000538A1">
        <w:rPr>
          <w:noProof/>
        </w:rPr>
      </w:r>
      <w:r w:rsidR="000538A1">
        <w:rPr>
          <w:noProof/>
        </w:rPr>
        <w:fldChar w:fldCharType="separate"/>
      </w:r>
      <w:r w:rsidR="000538A1">
        <w:rPr>
          <w:noProof/>
        </w:rPr>
        <w:t>3</w:t>
      </w:r>
      <w:r w:rsidR="000538A1">
        <w:rPr>
          <w:noProof/>
        </w:rPr>
        <w:fldChar w:fldCharType="end"/>
      </w:r>
    </w:p>
    <w:p w14:paraId="207E75DF" w14:textId="55E45D3D" w:rsidR="000538A1" w:rsidRDefault="000538A1">
      <w:pPr>
        <w:pStyle w:val="TOC1"/>
        <w:tabs>
          <w:tab w:val="right" w:pos="10214"/>
        </w:tabs>
        <w:rPr>
          <w:rFonts w:asciiTheme="minorHAnsi" w:eastAsiaTheme="minorEastAsia" w:hAnsiTheme="minorHAnsi" w:cstheme="minorBidi"/>
          <w:b w:val="0"/>
          <w:noProof/>
          <w:kern w:val="2"/>
          <w:sz w:val="24"/>
          <w:szCs w:val="24"/>
          <w14:ligatures w14:val="standardContextual"/>
        </w:rPr>
      </w:pPr>
      <w:r>
        <w:rPr>
          <w:noProof/>
        </w:rPr>
        <w:t>May 13, 2024 STAFF REPORT ADDENDUM</w:t>
      </w:r>
      <w:r>
        <w:rPr>
          <w:noProof/>
        </w:rPr>
        <w:tab/>
      </w:r>
      <w:r>
        <w:rPr>
          <w:noProof/>
        </w:rPr>
        <w:fldChar w:fldCharType="begin"/>
      </w:r>
      <w:r>
        <w:rPr>
          <w:noProof/>
        </w:rPr>
        <w:instrText xml:space="preserve"> PAGEREF _Toc170381164 \h </w:instrText>
      </w:r>
      <w:r>
        <w:rPr>
          <w:noProof/>
        </w:rPr>
      </w:r>
      <w:r>
        <w:rPr>
          <w:noProof/>
        </w:rPr>
        <w:fldChar w:fldCharType="separate"/>
      </w:r>
      <w:r>
        <w:rPr>
          <w:noProof/>
        </w:rPr>
        <w:t>10</w:t>
      </w:r>
      <w:r>
        <w:rPr>
          <w:noProof/>
        </w:rPr>
        <w:fldChar w:fldCharType="end"/>
      </w:r>
    </w:p>
    <w:p w14:paraId="6241E65F" w14:textId="2E7CA9D4"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1F0A3DE7" w14:textId="77777777" w:rsidTr="004577DE">
        <w:tc>
          <w:tcPr>
            <w:tcW w:w="2250" w:type="dxa"/>
          </w:tcPr>
          <w:p w14:paraId="152FBF7A" w14:textId="77777777" w:rsidR="004577DE" w:rsidRDefault="004577DE" w:rsidP="004577DE">
            <w:pPr>
              <w:ind w:right="252"/>
              <w:jc w:val="center"/>
              <w:rPr>
                <w:rFonts w:ascii="Arial" w:hAnsi="Arial"/>
                <w:sz w:val="16"/>
              </w:rPr>
            </w:pPr>
          </w:p>
        </w:tc>
        <w:tc>
          <w:tcPr>
            <w:tcW w:w="5940" w:type="dxa"/>
          </w:tcPr>
          <w:p w14:paraId="63D1738D"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54AC5F4" w14:textId="77777777" w:rsidR="004577DE" w:rsidRDefault="004577DE" w:rsidP="00C65371">
            <w:pPr>
              <w:jc w:val="center"/>
              <w:rPr>
                <w:rFonts w:ascii="Arial" w:hAnsi="Arial"/>
                <w:sz w:val="16"/>
              </w:rPr>
            </w:pPr>
            <w:r>
              <w:rPr>
                <w:rFonts w:ascii="Arial" w:hAnsi="Arial"/>
              </w:rPr>
              <w:t>Air Quality Division</w:t>
            </w:r>
          </w:p>
        </w:tc>
        <w:tc>
          <w:tcPr>
            <w:tcW w:w="2374" w:type="dxa"/>
          </w:tcPr>
          <w:p w14:paraId="50992AC2" w14:textId="77777777" w:rsidR="004577DE" w:rsidRDefault="004577DE" w:rsidP="00C65371">
            <w:pPr>
              <w:ind w:left="-73"/>
              <w:jc w:val="center"/>
              <w:rPr>
                <w:rFonts w:ascii="Arial" w:hAnsi="Arial"/>
                <w:sz w:val="16"/>
              </w:rPr>
            </w:pPr>
          </w:p>
        </w:tc>
      </w:tr>
      <w:tr w:rsidR="004577DE" w:rsidRPr="00DB5924" w14:paraId="7D95B293" w14:textId="77777777" w:rsidTr="004577DE">
        <w:trPr>
          <w:cantSplit/>
          <w:trHeight w:val="333"/>
        </w:trPr>
        <w:tc>
          <w:tcPr>
            <w:tcW w:w="2250" w:type="dxa"/>
          </w:tcPr>
          <w:p w14:paraId="66F59032"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5A9C0BA"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C53955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C473769" w14:textId="77777777" w:rsidTr="004577DE">
        <w:trPr>
          <w:cantSplit/>
          <w:trHeight w:val="428"/>
        </w:trPr>
        <w:tc>
          <w:tcPr>
            <w:tcW w:w="2250" w:type="dxa"/>
            <w:tcBorders>
              <w:bottom w:val="nil"/>
            </w:tcBorders>
          </w:tcPr>
          <w:p w14:paraId="72F0AE88" w14:textId="6F06C1D6" w:rsidR="004577DE" w:rsidRPr="00910FEA" w:rsidRDefault="00890E76" w:rsidP="00C65371">
            <w:pPr>
              <w:pStyle w:val="Header"/>
              <w:jc w:val="center"/>
              <w:rPr>
                <w:rFonts w:ascii="Arial" w:hAnsi="Arial"/>
                <w:sz w:val="22"/>
                <w:szCs w:val="22"/>
              </w:rPr>
            </w:pPr>
            <w:r>
              <w:rPr>
                <w:rFonts w:ascii="Arial" w:hAnsi="Arial"/>
                <w:sz w:val="22"/>
                <w:szCs w:val="22"/>
              </w:rPr>
              <w:t>B2814</w:t>
            </w:r>
          </w:p>
        </w:tc>
        <w:tc>
          <w:tcPr>
            <w:tcW w:w="5940" w:type="dxa"/>
            <w:tcBorders>
              <w:bottom w:val="nil"/>
            </w:tcBorders>
          </w:tcPr>
          <w:p w14:paraId="285338E0" w14:textId="27CC25E5" w:rsidR="004577DE" w:rsidRPr="0057400E" w:rsidRDefault="00D40EAD"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70381163"/>
            <w:r>
              <w:rPr>
                <w:sz w:val="22"/>
                <w:szCs w:val="22"/>
              </w:rPr>
              <w:t>March 18, 2024</w:t>
            </w:r>
            <w:r w:rsidR="004577DE">
              <w:rPr>
                <w:sz w:val="22"/>
                <w:szCs w:val="22"/>
              </w:rPr>
              <w:t xml:space="preserve">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1BB9A6F8" w14:textId="511A3335" w:rsidR="004577DE" w:rsidRPr="00910FEA" w:rsidRDefault="00890E76" w:rsidP="00C65371">
            <w:pPr>
              <w:pStyle w:val="Header"/>
              <w:jc w:val="center"/>
              <w:rPr>
                <w:rFonts w:ascii="Arial" w:hAnsi="Arial"/>
                <w:b/>
                <w:sz w:val="22"/>
                <w:szCs w:val="22"/>
              </w:rPr>
            </w:pPr>
            <w:r w:rsidRPr="00890E76">
              <w:rPr>
                <w:rFonts w:ascii="Arial" w:hAnsi="Arial"/>
                <w:sz w:val="22"/>
                <w:szCs w:val="22"/>
              </w:rPr>
              <w:t>MI-ROP-B2814-20</w:t>
            </w:r>
            <w:r w:rsidR="00C46ED3">
              <w:rPr>
                <w:rFonts w:ascii="Arial" w:hAnsi="Arial"/>
                <w:sz w:val="22"/>
                <w:szCs w:val="22"/>
              </w:rPr>
              <w:t>24</w:t>
            </w:r>
          </w:p>
        </w:tc>
      </w:tr>
    </w:tbl>
    <w:p w14:paraId="13257D48" w14:textId="77777777" w:rsidR="0024506D" w:rsidRDefault="0024506D" w:rsidP="00EE5339">
      <w:pPr>
        <w:pStyle w:val="Header"/>
        <w:tabs>
          <w:tab w:val="clear" w:pos="4320"/>
          <w:tab w:val="clear" w:pos="8640"/>
        </w:tabs>
        <w:rPr>
          <w:rFonts w:ascii="Arial" w:hAnsi="Arial"/>
          <w:sz w:val="22"/>
        </w:rPr>
      </w:pPr>
    </w:p>
    <w:p w14:paraId="2043E73C" w14:textId="77777777" w:rsidR="00AF4326" w:rsidRPr="00CB60BD" w:rsidRDefault="00AF4326" w:rsidP="00EE5339">
      <w:pPr>
        <w:pStyle w:val="Header"/>
        <w:tabs>
          <w:tab w:val="clear" w:pos="4320"/>
          <w:tab w:val="clear" w:pos="8640"/>
        </w:tabs>
        <w:rPr>
          <w:rFonts w:ascii="Arial" w:hAnsi="Arial"/>
          <w:sz w:val="22"/>
        </w:rPr>
      </w:pPr>
    </w:p>
    <w:p w14:paraId="680AA57D"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7B7B8B31" w14:textId="77777777" w:rsidR="00AF4326" w:rsidRPr="00290754" w:rsidRDefault="00AF4326">
      <w:pPr>
        <w:jc w:val="both"/>
        <w:rPr>
          <w:rFonts w:ascii="Arial" w:hAnsi="Arial" w:cs="Arial"/>
          <w:sz w:val="22"/>
          <w:szCs w:val="22"/>
        </w:rPr>
      </w:pPr>
    </w:p>
    <w:p w14:paraId="4D97CE6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3D581E8" w14:textId="77777777" w:rsidR="00DB5924" w:rsidRPr="00290754" w:rsidRDefault="00DB5924" w:rsidP="00167B85">
      <w:pPr>
        <w:jc w:val="both"/>
        <w:rPr>
          <w:rFonts w:ascii="Arial" w:hAnsi="Arial" w:cs="Arial"/>
          <w:sz w:val="22"/>
          <w:szCs w:val="22"/>
        </w:rPr>
      </w:pPr>
    </w:p>
    <w:p w14:paraId="40E5883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0A82F4D" w14:textId="77777777" w:rsidR="00DB5924" w:rsidRPr="00290754" w:rsidRDefault="00DB5924" w:rsidP="00DB5924">
      <w:pPr>
        <w:rPr>
          <w:rFonts w:ascii="Arial" w:hAnsi="Arial" w:cs="Arial"/>
          <w:sz w:val="22"/>
          <w:szCs w:val="22"/>
        </w:rPr>
      </w:pPr>
    </w:p>
    <w:p w14:paraId="0F2B7E15"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1290AEB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487718B" w14:textId="77777777">
        <w:tc>
          <w:tcPr>
            <w:tcW w:w="5040" w:type="dxa"/>
          </w:tcPr>
          <w:p w14:paraId="538A859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ED359CF" w14:textId="77777777" w:rsidR="00890E76" w:rsidRPr="00890E76" w:rsidRDefault="00890E76" w:rsidP="00890E76">
            <w:pPr>
              <w:rPr>
                <w:rFonts w:ascii="Arial" w:hAnsi="Arial" w:cs="Arial"/>
                <w:sz w:val="22"/>
                <w:szCs w:val="22"/>
              </w:rPr>
            </w:pPr>
            <w:r w:rsidRPr="00890E76">
              <w:rPr>
                <w:rFonts w:ascii="Arial" w:hAnsi="Arial" w:cs="Arial"/>
                <w:sz w:val="22"/>
                <w:szCs w:val="22"/>
              </w:rPr>
              <w:t>Detroit Thermal Beacon Heating Plant</w:t>
            </w:r>
          </w:p>
          <w:p w14:paraId="5D290DF9" w14:textId="77777777" w:rsidR="00890E76" w:rsidRPr="00890E76" w:rsidRDefault="00890E76" w:rsidP="00890E76">
            <w:pPr>
              <w:rPr>
                <w:rFonts w:ascii="Arial" w:hAnsi="Arial" w:cs="Arial"/>
                <w:sz w:val="22"/>
                <w:szCs w:val="22"/>
              </w:rPr>
            </w:pPr>
            <w:r w:rsidRPr="00890E76">
              <w:rPr>
                <w:rFonts w:ascii="Arial" w:hAnsi="Arial" w:cs="Arial"/>
                <w:sz w:val="22"/>
                <w:szCs w:val="22"/>
              </w:rPr>
              <w:t>541 Madison Avenue</w:t>
            </w:r>
          </w:p>
          <w:p w14:paraId="53F90D7E" w14:textId="0B09F701" w:rsidR="00AF4326" w:rsidRPr="00290754" w:rsidRDefault="00890E76" w:rsidP="00890E76">
            <w:pPr>
              <w:rPr>
                <w:rFonts w:ascii="Arial" w:hAnsi="Arial" w:cs="Arial"/>
                <w:sz w:val="22"/>
                <w:szCs w:val="22"/>
              </w:rPr>
            </w:pPr>
            <w:r w:rsidRPr="00890E76">
              <w:rPr>
                <w:rFonts w:ascii="Arial" w:hAnsi="Arial" w:cs="Arial"/>
                <w:sz w:val="22"/>
                <w:szCs w:val="22"/>
              </w:rPr>
              <w:t>Detroit, Michigan 48226</w:t>
            </w:r>
            <w:r w:rsidR="00AF4326" w:rsidRPr="00290754">
              <w:rPr>
                <w:rFonts w:ascii="Arial" w:hAnsi="Arial" w:cs="Arial"/>
                <w:sz w:val="22"/>
                <w:szCs w:val="22"/>
              </w:rPr>
              <w:t xml:space="preserve"> </w:t>
            </w:r>
          </w:p>
        </w:tc>
      </w:tr>
      <w:tr w:rsidR="00AF4326" w:rsidRPr="00290754" w14:paraId="021B525B" w14:textId="77777777" w:rsidTr="00177285">
        <w:trPr>
          <w:trHeight w:val="273"/>
        </w:trPr>
        <w:tc>
          <w:tcPr>
            <w:tcW w:w="5040" w:type="dxa"/>
          </w:tcPr>
          <w:p w14:paraId="2B1BA20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E230FA0" w14:textId="13C4160F" w:rsidR="00AF4326" w:rsidRPr="00290754" w:rsidRDefault="00890E76">
            <w:pPr>
              <w:rPr>
                <w:rFonts w:ascii="Arial" w:hAnsi="Arial" w:cs="Arial"/>
                <w:sz w:val="22"/>
                <w:szCs w:val="22"/>
              </w:rPr>
            </w:pPr>
            <w:r>
              <w:rPr>
                <w:rFonts w:ascii="Arial" w:hAnsi="Arial" w:cs="Arial"/>
                <w:sz w:val="22"/>
                <w:szCs w:val="22"/>
              </w:rPr>
              <w:t>B2814</w:t>
            </w:r>
          </w:p>
        </w:tc>
      </w:tr>
      <w:tr w:rsidR="00AF4326" w:rsidRPr="00290754" w14:paraId="370B4C40" w14:textId="77777777">
        <w:tc>
          <w:tcPr>
            <w:tcW w:w="5040" w:type="dxa"/>
          </w:tcPr>
          <w:p w14:paraId="6D332FB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FBB7F30" w14:textId="484CE1E2" w:rsidR="00AF4326" w:rsidRPr="00290754" w:rsidRDefault="00890E76">
            <w:pPr>
              <w:rPr>
                <w:rFonts w:ascii="Arial" w:hAnsi="Arial" w:cs="Arial"/>
                <w:sz w:val="22"/>
                <w:szCs w:val="22"/>
              </w:rPr>
            </w:pPr>
            <w:r w:rsidRPr="00890E76">
              <w:rPr>
                <w:rFonts w:ascii="Arial" w:hAnsi="Arial" w:cs="Arial"/>
                <w:sz w:val="22"/>
                <w:szCs w:val="22"/>
              </w:rPr>
              <w:t>221330</w:t>
            </w:r>
          </w:p>
        </w:tc>
      </w:tr>
      <w:tr w:rsidR="00AF4326" w:rsidRPr="00290754" w14:paraId="454EEC18" w14:textId="77777777">
        <w:tc>
          <w:tcPr>
            <w:tcW w:w="5040" w:type="dxa"/>
          </w:tcPr>
          <w:p w14:paraId="4778F7B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6C4C1E4" w14:textId="528793CC" w:rsidR="00AF4326" w:rsidRPr="00290754" w:rsidRDefault="00890E76">
            <w:pPr>
              <w:rPr>
                <w:rFonts w:ascii="Arial" w:hAnsi="Arial" w:cs="Arial"/>
                <w:sz w:val="22"/>
                <w:szCs w:val="22"/>
              </w:rPr>
            </w:pPr>
            <w:r>
              <w:rPr>
                <w:rFonts w:ascii="Arial" w:hAnsi="Arial" w:cs="Arial"/>
                <w:sz w:val="22"/>
                <w:szCs w:val="22"/>
              </w:rPr>
              <w:t>1</w:t>
            </w:r>
          </w:p>
        </w:tc>
      </w:tr>
      <w:tr w:rsidR="00647809" w:rsidRPr="00290754" w14:paraId="10D37B1D" w14:textId="77777777">
        <w:tc>
          <w:tcPr>
            <w:tcW w:w="5040" w:type="dxa"/>
          </w:tcPr>
          <w:p w14:paraId="7FC42B4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3BC7B50" w14:textId="06404C9E" w:rsidR="00647809" w:rsidRDefault="00890E76">
            <w:pPr>
              <w:rPr>
                <w:rFonts w:ascii="Arial" w:hAnsi="Arial" w:cs="Arial"/>
                <w:sz w:val="22"/>
                <w:szCs w:val="22"/>
              </w:rPr>
            </w:pPr>
            <w:r>
              <w:rPr>
                <w:rFonts w:ascii="Arial" w:hAnsi="Arial" w:cs="Arial"/>
                <w:sz w:val="22"/>
                <w:szCs w:val="22"/>
              </w:rPr>
              <w:t>Renewal</w:t>
            </w:r>
          </w:p>
        </w:tc>
      </w:tr>
      <w:tr w:rsidR="00AF4326" w:rsidRPr="00290754" w14:paraId="416333EA" w14:textId="77777777">
        <w:tc>
          <w:tcPr>
            <w:tcW w:w="5040" w:type="dxa"/>
          </w:tcPr>
          <w:p w14:paraId="1C26D33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881A9FE" w14:textId="670F2C35" w:rsidR="00AF4326" w:rsidRPr="00290754" w:rsidRDefault="00890E76">
            <w:pPr>
              <w:rPr>
                <w:rFonts w:ascii="Arial" w:hAnsi="Arial" w:cs="Arial"/>
                <w:sz w:val="22"/>
                <w:szCs w:val="22"/>
              </w:rPr>
            </w:pPr>
            <w:r w:rsidRPr="00890E76">
              <w:rPr>
                <w:rFonts w:ascii="Arial" w:hAnsi="Arial" w:cs="Arial"/>
                <w:sz w:val="22"/>
                <w:szCs w:val="22"/>
              </w:rPr>
              <w:t>201800115</w:t>
            </w:r>
          </w:p>
        </w:tc>
      </w:tr>
      <w:tr w:rsidR="00AF4326" w:rsidRPr="00290754" w14:paraId="3B4B2D6E" w14:textId="77777777">
        <w:tc>
          <w:tcPr>
            <w:tcW w:w="5040" w:type="dxa"/>
          </w:tcPr>
          <w:p w14:paraId="15CB6C28"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246AB42" w14:textId="77777777" w:rsidR="00890E76" w:rsidRPr="00890E76" w:rsidRDefault="00890E76" w:rsidP="00890E76">
            <w:pPr>
              <w:rPr>
                <w:rFonts w:ascii="Arial" w:hAnsi="Arial" w:cs="Arial"/>
                <w:sz w:val="22"/>
                <w:szCs w:val="22"/>
              </w:rPr>
            </w:pPr>
            <w:r w:rsidRPr="00890E76">
              <w:rPr>
                <w:rFonts w:ascii="Arial" w:hAnsi="Arial" w:cs="Arial"/>
                <w:sz w:val="22"/>
                <w:szCs w:val="22"/>
              </w:rPr>
              <w:t>Phil Malara, Plant Manager</w:t>
            </w:r>
          </w:p>
          <w:p w14:paraId="169DB591" w14:textId="4C24DC24" w:rsidR="00AF4326" w:rsidRPr="00290754" w:rsidRDefault="00890E76" w:rsidP="00890E76">
            <w:pPr>
              <w:rPr>
                <w:rFonts w:ascii="Arial" w:hAnsi="Arial" w:cs="Arial"/>
                <w:sz w:val="22"/>
                <w:szCs w:val="22"/>
              </w:rPr>
            </w:pPr>
            <w:r w:rsidRPr="00890E76">
              <w:rPr>
                <w:rFonts w:ascii="Arial" w:hAnsi="Arial" w:cs="Arial"/>
                <w:sz w:val="22"/>
                <w:szCs w:val="22"/>
              </w:rPr>
              <w:t>313-972-4335</w:t>
            </w:r>
          </w:p>
        </w:tc>
      </w:tr>
      <w:tr w:rsidR="00AF4326" w:rsidRPr="00290754" w14:paraId="509B2520" w14:textId="77777777">
        <w:tc>
          <w:tcPr>
            <w:tcW w:w="5040" w:type="dxa"/>
          </w:tcPr>
          <w:p w14:paraId="4E1A9FD0"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AF2C375" w14:textId="77777777" w:rsidR="00890E76" w:rsidRPr="00890E76" w:rsidRDefault="00890E76" w:rsidP="00890E76">
            <w:pPr>
              <w:rPr>
                <w:rFonts w:ascii="Arial" w:hAnsi="Arial" w:cs="Arial"/>
                <w:sz w:val="22"/>
                <w:szCs w:val="22"/>
              </w:rPr>
            </w:pPr>
            <w:r w:rsidRPr="00890E76">
              <w:rPr>
                <w:rFonts w:ascii="Arial" w:hAnsi="Arial" w:cs="Arial"/>
                <w:sz w:val="22"/>
                <w:szCs w:val="22"/>
              </w:rPr>
              <w:t>Sam Liveson, Senior Environmental Engineer</w:t>
            </w:r>
          </w:p>
          <w:p w14:paraId="20C56AB3" w14:textId="0E414509" w:rsidR="00AF4326" w:rsidRPr="00290754" w:rsidRDefault="00890E76" w:rsidP="00890E76">
            <w:pPr>
              <w:rPr>
                <w:rFonts w:ascii="Arial" w:hAnsi="Arial" w:cs="Arial"/>
                <w:sz w:val="22"/>
                <w:szCs w:val="22"/>
              </w:rPr>
            </w:pPr>
            <w:r w:rsidRPr="00890E76">
              <w:rPr>
                <w:rFonts w:ascii="Arial" w:hAnsi="Arial" w:cs="Arial"/>
                <w:sz w:val="22"/>
                <w:szCs w:val="22"/>
              </w:rPr>
              <w:t>313-405-1357</w:t>
            </w:r>
          </w:p>
        </w:tc>
      </w:tr>
      <w:tr w:rsidR="00AF4326" w:rsidRPr="00290754" w14:paraId="020BDBA8" w14:textId="77777777">
        <w:tc>
          <w:tcPr>
            <w:tcW w:w="5040" w:type="dxa"/>
          </w:tcPr>
          <w:p w14:paraId="6AEC1D2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F267964" w14:textId="2AE36B56" w:rsidR="00AF4326" w:rsidRPr="00290754" w:rsidRDefault="00890E76">
            <w:pPr>
              <w:rPr>
                <w:rFonts w:ascii="Arial" w:hAnsi="Arial" w:cs="Arial"/>
                <w:sz w:val="22"/>
                <w:szCs w:val="22"/>
              </w:rPr>
            </w:pPr>
            <w:r w:rsidRPr="00890E76">
              <w:rPr>
                <w:rFonts w:ascii="Arial" w:hAnsi="Arial" w:cs="Arial"/>
                <w:sz w:val="22"/>
                <w:szCs w:val="22"/>
              </w:rPr>
              <w:t>September 12, 2018</w:t>
            </w:r>
          </w:p>
        </w:tc>
      </w:tr>
      <w:tr w:rsidR="00AF4326" w:rsidRPr="00290754" w14:paraId="536E38F1" w14:textId="77777777">
        <w:trPr>
          <w:trHeight w:val="165"/>
        </w:trPr>
        <w:tc>
          <w:tcPr>
            <w:tcW w:w="5040" w:type="dxa"/>
          </w:tcPr>
          <w:p w14:paraId="1BF665E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6B0B074" w14:textId="519DA99B" w:rsidR="00AF4326" w:rsidRPr="00290754" w:rsidRDefault="00890E76">
            <w:pPr>
              <w:rPr>
                <w:rFonts w:ascii="Arial" w:hAnsi="Arial" w:cs="Arial"/>
                <w:sz w:val="22"/>
                <w:szCs w:val="22"/>
              </w:rPr>
            </w:pPr>
            <w:r w:rsidRPr="00890E76">
              <w:rPr>
                <w:rFonts w:ascii="Arial" w:hAnsi="Arial" w:cs="Arial"/>
                <w:sz w:val="22"/>
                <w:szCs w:val="22"/>
              </w:rPr>
              <w:t>September 12, 2018</w:t>
            </w:r>
          </w:p>
        </w:tc>
      </w:tr>
      <w:tr w:rsidR="00AF4326" w:rsidRPr="00290754" w14:paraId="48236295" w14:textId="77777777">
        <w:trPr>
          <w:trHeight w:val="165"/>
        </w:trPr>
        <w:tc>
          <w:tcPr>
            <w:tcW w:w="5040" w:type="dxa"/>
          </w:tcPr>
          <w:p w14:paraId="468B577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AA7F308" w14:textId="6DEB3C2C" w:rsidR="00AF4326" w:rsidRPr="00290754" w:rsidRDefault="00890E76">
            <w:pPr>
              <w:rPr>
                <w:rFonts w:ascii="Arial" w:hAnsi="Arial" w:cs="Arial"/>
                <w:sz w:val="22"/>
                <w:szCs w:val="22"/>
              </w:rPr>
            </w:pPr>
            <w:r w:rsidRPr="00890E76">
              <w:rPr>
                <w:rFonts w:ascii="Arial" w:hAnsi="Arial" w:cs="Arial"/>
                <w:sz w:val="22"/>
                <w:szCs w:val="22"/>
              </w:rPr>
              <w:t>Yes</w:t>
            </w:r>
          </w:p>
        </w:tc>
      </w:tr>
      <w:tr w:rsidR="00AF4326" w:rsidRPr="00290754" w14:paraId="5FBE1E7A" w14:textId="77777777">
        <w:trPr>
          <w:trHeight w:val="165"/>
        </w:trPr>
        <w:tc>
          <w:tcPr>
            <w:tcW w:w="5040" w:type="dxa"/>
          </w:tcPr>
          <w:p w14:paraId="1089BE7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F5C3731" w14:textId="62FB1302" w:rsidR="00AF4326" w:rsidRPr="00290754" w:rsidRDefault="00D40EAD">
            <w:pPr>
              <w:rPr>
                <w:rFonts w:ascii="Arial" w:hAnsi="Arial" w:cs="Arial"/>
                <w:sz w:val="22"/>
                <w:szCs w:val="22"/>
              </w:rPr>
            </w:pPr>
            <w:r>
              <w:rPr>
                <w:rFonts w:ascii="Arial" w:hAnsi="Arial" w:cs="Arial"/>
                <w:sz w:val="22"/>
                <w:szCs w:val="22"/>
              </w:rPr>
              <w:t>March 18, 2024</w:t>
            </w:r>
          </w:p>
        </w:tc>
      </w:tr>
      <w:tr w:rsidR="00AF4326" w:rsidRPr="00290754" w14:paraId="5399047B" w14:textId="77777777">
        <w:tc>
          <w:tcPr>
            <w:tcW w:w="5040" w:type="dxa"/>
          </w:tcPr>
          <w:p w14:paraId="1BA419B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17A804F" w14:textId="29EEAA5D" w:rsidR="00AF4326" w:rsidRPr="00290754" w:rsidRDefault="00D40EAD">
            <w:pPr>
              <w:rPr>
                <w:rFonts w:ascii="Arial" w:hAnsi="Arial" w:cs="Arial"/>
                <w:sz w:val="22"/>
                <w:szCs w:val="22"/>
              </w:rPr>
            </w:pPr>
            <w:r>
              <w:rPr>
                <w:rFonts w:ascii="Arial" w:hAnsi="Arial" w:cs="Arial"/>
                <w:sz w:val="22"/>
                <w:szCs w:val="22"/>
              </w:rPr>
              <w:t>April 17, 2024</w:t>
            </w:r>
          </w:p>
        </w:tc>
      </w:tr>
    </w:tbl>
    <w:p w14:paraId="304DBBDA" w14:textId="77777777" w:rsidR="00AF4326" w:rsidRPr="00CB60BD" w:rsidRDefault="00AF4326">
      <w:pPr>
        <w:rPr>
          <w:rFonts w:ascii="Arial" w:hAnsi="Arial" w:cs="Arial"/>
          <w:sz w:val="22"/>
          <w:szCs w:val="22"/>
        </w:rPr>
      </w:pPr>
    </w:p>
    <w:p w14:paraId="312C5EFB" w14:textId="77777777" w:rsidR="00AF4326" w:rsidRPr="00290754"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0"/>
      <w:bookmarkEnd w:id="11"/>
    </w:p>
    <w:p w14:paraId="0E449349" w14:textId="77777777" w:rsidR="00AF4326" w:rsidRPr="00290754" w:rsidRDefault="00AF4326">
      <w:pPr>
        <w:rPr>
          <w:rFonts w:ascii="Arial" w:hAnsi="Arial" w:cs="Arial"/>
          <w:sz w:val="22"/>
          <w:szCs w:val="22"/>
        </w:rPr>
      </w:pPr>
    </w:p>
    <w:p w14:paraId="1DD6FD8A" w14:textId="3D4F0C40" w:rsidR="00886777" w:rsidRPr="00886777" w:rsidRDefault="00886777" w:rsidP="00886777">
      <w:pPr>
        <w:jc w:val="both"/>
        <w:rPr>
          <w:rFonts w:ascii="Arial" w:hAnsi="Arial" w:cs="Arial"/>
          <w:sz w:val="22"/>
          <w:szCs w:val="22"/>
        </w:rPr>
      </w:pPr>
      <w:bookmarkStart w:id="12" w:name="Source_Description"/>
      <w:r w:rsidRPr="00886777">
        <w:rPr>
          <w:rFonts w:ascii="Arial" w:hAnsi="Arial" w:cs="Arial"/>
          <w:sz w:val="22"/>
          <w:szCs w:val="22"/>
        </w:rPr>
        <w:t>Detroit Thermal Beacon Heating Plant (Detroit Thermal) is a subsidiary of Detroit Renewable Energy. Detroit Thermal is located at 541 Madison Avenue in downtown Detroit.  Directly west of the facility is the 36th District Court; north is the Ford Field Stadium; south are the Wayne County Jail and Wayne County Third Circuit Court; and east is the Chrysler Freeway (Interstate 375).  The facility currently operates 24 hours a day, 7 days a week.</w:t>
      </w:r>
    </w:p>
    <w:p w14:paraId="5BC9577F" w14:textId="77777777" w:rsidR="00886777" w:rsidRPr="00886777" w:rsidRDefault="00886777" w:rsidP="00886777">
      <w:pPr>
        <w:jc w:val="both"/>
        <w:rPr>
          <w:rFonts w:ascii="Arial" w:hAnsi="Arial" w:cs="Arial"/>
          <w:sz w:val="22"/>
          <w:szCs w:val="22"/>
        </w:rPr>
      </w:pPr>
    </w:p>
    <w:p w14:paraId="562E7E19" w14:textId="4E995E28" w:rsidR="00886777" w:rsidRPr="00886777" w:rsidRDefault="00886777" w:rsidP="00886777">
      <w:pPr>
        <w:jc w:val="both"/>
        <w:rPr>
          <w:rFonts w:ascii="Arial" w:hAnsi="Arial" w:cs="Arial"/>
          <w:sz w:val="22"/>
          <w:szCs w:val="22"/>
        </w:rPr>
      </w:pPr>
      <w:r w:rsidRPr="00886777">
        <w:rPr>
          <w:rFonts w:ascii="Arial" w:hAnsi="Arial" w:cs="Arial"/>
          <w:sz w:val="22"/>
          <w:szCs w:val="22"/>
        </w:rPr>
        <w:t>At this time, Detroit Thermal operates four boilers (numbered 1, 2, 6, and 7) that are used to generate/supply steam to various commercial, industrial, and residential customers in the downtown Detroit area.  Currently, the four boilers fire natural gas</w:t>
      </w:r>
      <w:r w:rsidR="002C7CA9">
        <w:rPr>
          <w:rFonts w:ascii="Arial" w:hAnsi="Arial" w:cs="Arial"/>
          <w:sz w:val="22"/>
          <w:szCs w:val="22"/>
        </w:rPr>
        <w:t xml:space="preserve"> and have the ability to fire No. 2 fuel oil as backup</w:t>
      </w:r>
      <w:r w:rsidRPr="00886777">
        <w:rPr>
          <w:rFonts w:ascii="Arial" w:hAnsi="Arial" w:cs="Arial"/>
          <w:sz w:val="22"/>
          <w:szCs w:val="22"/>
        </w:rPr>
        <w:t>. Boilers 1 and 2 were installed in the 1920’s and have a rated heat input capacity of 570 million British thermal units per hour (MMBtu/hr).  In 2007, Boiler 5 was permanently shut down, removed from the facility, and replaced by Boilers 6 and 7.  Boilers 6 and 7 are each rated at 180.2 MMBtu/hr. Both boilers 6 and 7 are equipped with low nitrogen oxides burners and with flue gas recirculation.</w:t>
      </w:r>
    </w:p>
    <w:p w14:paraId="50A8728D" w14:textId="77777777" w:rsidR="00886777" w:rsidRPr="00886777" w:rsidRDefault="00886777" w:rsidP="00886777">
      <w:pPr>
        <w:jc w:val="both"/>
        <w:rPr>
          <w:rFonts w:ascii="Arial" w:hAnsi="Arial" w:cs="Arial"/>
          <w:sz w:val="22"/>
          <w:szCs w:val="22"/>
        </w:rPr>
      </w:pPr>
    </w:p>
    <w:p w14:paraId="693F7385" w14:textId="110B148C" w:rsidR="00886777" w:rsidRPr="00886777" w:rsidRDefault="00886777" w:rsidP="00886777">
      <w:pPr>
        <w:jc w:val="both"/>
        <w:rPr>
          <w:rFonts w:ascii="Arial" w:hAnsi="Arial" w:cs="Arial"/>
          <w:sz w:val="22"/>
          <w:szCs w:val="22"/>
        </w:rPr>
      </w:pPr>
      <w:r w:rsidRPr="00886777">
        <w:rPr>
          <w:rFonts w:ascii="Arial" w:hAnsi="Arial" w:cs="Arial"/>
          <w:sz w:val="22"/>
          <w:szCs w:val="22"/>
        </w:rPr>
        <w:t>Boilers 3 and 4 have not operated since before 2012, and the</w:t>
      </w:r>
      <w:r w:rsidR="00EA7B05">
        <w:rPr>
          <w:rFonts w:ascii="Arial" w:hAnsi="Arial" w:cs="Arial"/>
          <w:sz w:val="22"/>
          <w:szCs w:val="22"/>
        </w:rPr>
        <w:t>y are currently inoperable because their</w:t>
      </w:r>
      <w:r w:rsidRPr="00886777">
        <w:rPr>
          <w:rFonts w:ascii="Arial" w:hAnsi="Arial" w:cs="Arial"/>
          <w:sz w:val="22"/>
          <w:szCs w:val="22"/>
        </w:rPr>
        <w:t xml:space="preserve"> burner</w:t>
      </w:r>
      <w:r w:rsidR="00EA7B05">
        <w:rPr>
          <w:rFonts w:ascii="Arial" w:hAnsi="Arial" w:cs="Arial"/>
          <w:sz w:val="22"/>
          <w:szCs w:val="22"/>
        </w:rPr>
        <w:t xml:space="preserve"> guide tubes</w:t>
      </w:r>
      <w:r w:rsidRPr="00886777">
        <w:rPr>
          <w:rFonts w:ascii="Arial" w:hAnsi="Arial" w:cs="Arial"/>
          <w:sz w:val="22"/>
          <w:szCs w:val="22"/>
        </w:rPr>
        <w:t xml:space="preserve"> have been removed. </w:t>
      </w:r>
      <w:r w:rsidR="00EA7B05">
        <w:rPr>
          <w:rFonts w:ascii="Arial" w:hAnsi="Arial" w:cs="Arial"/>
          <w:sz w:val="22"/>
          <w:szCs w:val="22"/>
        </w:rPr>
        <w:t>Detroit Thermal does not consider boilers 3 and 4 to be permanently shut down. Therefore, boiler</w:t>
      </w:r>
      <w:r w:rsidR="00CF34F2">
        <w:rPr>
          <w:rFonts w:ascii="Arial" w:hAnsi="Arial" w:cs="Arial"/>
          <w:sz w:val="22"/>
          <w:szCs w:val="22"/>
        </w:rPr>
        <w:t>s</w:t>
      </w:r>
      <w:r w:rsidR="00EA7B05">
        <w:rPr>
          <w:rFonts w:ascii="Arial" w:hAnsi="Arial" w:cs="Arial"/>
          <w:sz w:val="22"/>
          <w:szCs w:val="22"/>
        </w:rPr>
        <w:t xml:space="preserve"> 3 and 4 remain in the ROP.</w:t>
      </w:r>
    </w:p>
    <w:bookmarkEnd w:id="12"/>
    <w:p w14:paraId="77597ECC" w14:textId="77777777" w:rsidR="00AF4326" w:rsidRPr="00290754" w:rsidRDefault="00AF4326">
      <w:pPr>
        <w:rPr>
          <w:rFonts w:ascii="Arial" w:hAnsi="Arial" w:cs="Arial"/>
          <w:sz w:val="22"/>
          <w:szCs w:val="22"/>
        </w:rPr>
      </w:pPr>
    </w:p>
    <w:p w14:paraId="3F62426F" w14:textId="17B04B99"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90E76" w:rsidRPr="00890E76">
        <w:rPr>
          <w:rFonts w:ascii="Arial" w:hAnsi="Arial" w:cs="Arial"/>
          <w:b/>
          <w:sz w:val="22"/>
          <w:szCs w:val="22"/>
        </w:rPr>
        <w:t>202</w:t>
      </w:r>
      <w:r w:rsidR="0023576E">
        <w:rPr>
          <w:rFonts w:ascii="Arial" w:hAnsi="Arial" w:cs="Arial"/>
          <w:b/>
          <w:sz w:val="22"/>
          <w:szCs w:val="22"/>
        </w:rPr>
        <w:t>2</w:t>
      </w:r>
      <w:r w:rsidR="00AF4326" w:rsidRPr="00290754">
        <w:rPr>
          <w:rFonts w:ascii="Arial" w:hAnsi="Arial" w:cs="Arial"/>
          <w:sz w:val="22"/>
          <w:szCs w:val="22"/>
        </w:rPr>
        <w:t>.</w:t>
      </w:r>
    </w:p>
    <w:p w14:paraId="379B6C93" w14:textId="77777777" w:rsidR="00AF4326" w:rsidRPr="00290754" w:rsidRDefault="00AF4326">
      <w:pPr>
        <w:rPr>
          <w:rFonts w:ascii="Arial" w:hAnsi="Arial" w:cs="Arial"/>
          <w:sz w:val="22"/>
          <w:szCs w:val="22"/>
        </w:rPr>
      </w:pPr>
    </w:p>
    <w:p w14:paraId="60A10B7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D4263D9"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A79BDDD" w14:textId="77777777" w:rsidTr="00854D7C">
        <w:trPr>
          <w:tblHeader/>
        </w:trPr>
        <w:tc>
          <w:tcPr>
            <w:tcW w:w="5130" w:type="dxa"/>
            <w:shd w:val="pct10" w:color="auto" w:fill="auto"/>
          </w:tcPr>
          <w:p w14:paraId="16FD407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C9EFDC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EAA9EB8" w14:textId="77777777" w:rsidTr="00854D7C">
        <w:tc>
          <w:tcPr>
            <w:tcW w:w="5130" w:type="dxa"/>
          </w:tcPr>
          <w:p w14:paraId="3B759E9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A515EB2" w14:textId="6150E2FA" w:rsidR="004C27B9" w:rsidRPr="00290754" w:rsidRDefault="004C27B9" w:rsidP="004C27B9">
            <w:pPr>
              <w:jc w:val="center"/>
              <w:rPr>
                <w:rFonts w:ascii="Arial" w:hAnsi="Arial" w:cs="Arial"/>
                <w:sz w:val="22"/>
                <w:szCs w:val="22"/>
              </w:rPr>
            </w:pPr>
            <w:r>
              <w:rPr>
                <w:rFonts w:ascii="Arial" w:hAnsi="Arial" w:cs="Arial"/>
                <w:sz w:val="22"/>
                <w:szCs w:val="22"/>
              </w:rPr>
              <w:t>68.9</w:t>
            </w:r>
          </w:p>
        </w:tc>
      </w:tr>
      <w:tr w:rsidR="00F734C6" w:rsidRPr="00290754" w14:paraId="51C0BCCF" w14:textId="77777777" w:rsidTr="00854D7C">
        <w:tc>
          <w:tcPr>
            <w:tcW w:w="5130" w:type="dxa"/>
          </w:tcPr>
          <w:p w14:paraId="4297BA5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1D41F47" w14:textId="77208C13" w:rsidR="00F734C6" w:rsidRPr="00290754" w:rsidRDefault="0031293F" w:rsidP="00E63937">
            <w:pPr>
              <w:jc w:val="center"/>
              <w:rPr>
                <w:rFonts w:ascii="Arial" w:hAnsi="Arial" w:cs="Arial"/>
                <w:sz w:val="22"/>
                <w:szCs w:val="22"/>
              </w:rPr>
            </w:pPr>
            <w:r w:rsidRPr="0031293F">
              <w:rPr>
                <w:rFonts w:ascii="Arial" w:hAnsi="Arial" w:cs="Arial"/>
                <w:sz w:val="22"/>
                <w:szCs w:val="22"/>
              </w:rPr>
              <w:t>0.0007</w:t>
            </w:r>
            <w:r w:rsidR="004C27B9">
              <w:rPr>
                <w:rFonts w:ascii="Arial" w:hAnsi="Arial" w:cs="Arial"/>
                <w:sz w:val="22"/>
                <w:szCs w:val="22"/>
              </w:rPr>
              <w:t>2</w:t>
            </w:r>
          </w:p>
        </w:tc>
      </w:tr>
      <w:tr w:rsidR="00F734C6" w:rsidRPr="00290754" w14:paraId="3AC1946C" w14:textId="77777777" w:rsidTr="00854D7C">
        <w:tc>
          <w:tcPr>
            <w:tcW w:w="5130" w:type="dxa"/>
          </w:tcPr>
          <w:p w14:paraId="6A183F1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F3A4DA5" w14:textId="36AAAD63" w:rsidR="00F734C6" w:rsidRPr="00290754" w:rsidRDefault="004C27B9" w:rsidP="00E63937">
            <w:pPr>
              <w:jc w:val="center"/>
              <w:rPr>
                <w:rFonts w:ascii="Arial" w:hAnsi="Arial" w:cs="Arial"/>
                <w:sz w:val="22"/>
                <w:szCs w:val="22"/>
              </w:rPr>
            </w:pPr>
            <w:r>
              <w:rPr>
                <w:rFonts w:ascii="Arial" w:hAnsi="Arial" w:cs="Arial"/>
                <w:sz w:val="22"/>
                <w:szCs w:val="22"/>
              </w:rPr>
              <w:t>177.</w:t>
            </w:r>
            <w:r w:rsidR="00773AB0">
              <w:rPr>
                <w:rFonts w:ascii="Arial" w:hAnsi="Arial" w:cs="Arial"/>
                <w:sz w:val="22"/>
                <w:szCs w:val="22"/>
              </w:rPr>
              <w:t>4</w:t>
            </w:r>
          </w:p>
        </w:tc>
      </w:tr>
      <w:tr w:rsidR="00F734C6" w:rsidRPr="00290754" w14:paraId="6B313030" w14:textId="77777777" w:rsidTr="00854D7C">
        <w:tc>
          <w:tcPr>
            <w:tcW w:w="5130" w:type="dxa"/>
          </w:tcPr>
          <w:p w14:paraId="2F67D923" w14:textId="7A8C983D" w:rsidR="00F734C6" w:rsidRPr="00290754" w:rsidRDefault="00854D7C" w:rsidP="00E63937">
            <w:pPr>
              <w:rPr>
                <w:rFonts w:ascii="Arial" w:hAnsi="Arial" w:cs="Arial"/>
                <w:sz w:val="22"/>
                <w:szCs w:val="22"/>
              </w:rPr>
            </w:pPr>
            <w:r>
              <w:rPr>
                <w:rFonts w:ascii="Arial" w:hAnsi="Arial" w:cs="Arial"/>
                <w:sz w:val="22"/>
                <w:szCs w:val="22"/>
              </w:rPr>
              <w:t>PM10*</w:t>
            </w:r>
          </w:p>
        </w:tc>
        <w:tc>
          <w:tcPr>
            <w:tcW w:w="5130" w:type="dxa"/>
          </w:tcPr>
          <w:p w14:paraId="3E01EEC1" w14:textId="7EB95FBB" w:rsidR="00F734C6" w:rsidRPr="00290754" w:rsidRDefault="004C27B9" w:rsidP="00E63937">
            <w:pPr>
              <w:jc w:val="center"/>
              <w:rPr>
                <w:rFonts w:ascii="Arial" w:hAnsi="Arial" w:cs="Arial"/>
                <w:sz w:val="22"/>
                <w:szCs w:val="22"/>
              </w:rPr>
            </w:pPr>
            <w:r>
              <w:rPr>
                <w:rFonts w:ascii="Arial" w:hAnsi="Arial" w:cs="Arial"/>
                <w:sz w:val="22"/>
                <w:szCs w:val="22"/>
              </w:rPr>
              <w:t>8.73</w:t>
            </w:r>
          </w:p>
        </w:tc>
      </w:tr>
      <w:tr w:rsidR="00F734C6" w:rsidRPr="00290754" w14:paraId="394BB767" w14:textId="77777777" w:rsidTr="00854D7C">
        <w:tc>
          <w:tcPr>
            <w:tcW w:w="5130" w:type="dxa"/>
          </w:tcPr>
          <w:p w14:paraId="5912859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69CD2B2" w14:textId="289A87A4" w:rsidR="00F734C6" w:rsidRPr="00290754" w:rsidRDefault="004C27B9" w:rsidP="00E63937">
            <w:pPr>
              <w:jc w:val="center"/>
              <w:rPr>
                <w:rFonts w:ascii="Arial" w:hAnsi="Arial" w:cs="Arial"/>
                <w:sz w:val="22"/>
                <w:szCs w:val="22"/>
              </w:rPr>
            </w:pPr>
            <w:r>
              <w:rPr>
                <w:rFonts w:ascii="Arial" w:hAnsi="Arial" w:cs="Arial"/>
                <w:sz w:val="22"/>
                <w:szCs w:val="22"/>
              </w:rPr>
              <w:t>0.86</w:t>
            </w:r>
          </w:p>
        </w:tc>
      </w:tr>
      <w:tr w:rsidR="00F734C6" w:rsidRPr="00290754" w14:paraId="45032231" w14:textId="77777777" w:rsidTr="00854D7C">
        <w:tc>
          <w:tcPr>
            <w:tcW w:w="5130" w:type="dxa"/>
          </w:tcPr>
          <w:p w14:paraId="28C7C1D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264EDCA" w14:textId="4B52580C" w:rsidR="00F734C6" w:rsidRPr="00290754" w:rsidRDefault="004C27B9" w:rsidP="00E63937">
            <w:pPr>
              <w:jc w:val="center"/>
              <w:rPr>
                <w:rFonts w:ascii="Arial" w:hAnsi="Arial" w:cs="Arial"/>
                <w:sz w:val="22"/>
                <w:szCs w:val="22"/>
              </w:rPr>
            </w:pPr>
            <w:r>
              <w:rPr>
                <w:rFonts w:ascii="Arial" w:hAnsi="Arial" w:cs="Arial"/>
                <w:sz w:val="22"/>
                <w:szCs w:val="22"/>
              </w:rPr>
              <w:t>7.91</w:t>
            </w:r>
          </w:p>
        </w:tc>
      </w:tr>
      <w:tr w:rsidR="00F734C6" w:rsidRPr="00290754" w14:paraId="6C80C119" w14:textId="77777777" w:rsidTr="00854D7C">
        <w:tc>
          <w:tcPr>
            <w:tcW w:w="5130" w:type="dxa"/>
          </w:tcPr>
          <w:p w14:paraId="24439A67" w14:textId="391756C0" w:rsidR="00F734C6" w:rsidRPr="00290754" w:rsidRDefault="0031293F" w:rsidP="00E63937">
            <w:pPr>
              <w:rPr>
                <w:rFonts w:ascii="Arial" w:hAnsi="Arial" w:cs="Arial"/>
                <w:sz w:val="22"/>
                <w:szCs w:val="22"/>
              </w:rPr>
            </w:pPr>
            <w:r w:rsidRPr="0031293F">
              <w:rPr>
                <w:rFonts w:ascii="Arial" w:hAnsi="Arial" w:cs="Arial"/>
                <w:sz w:val="22"/>
                <w:szCs w:val="22"/>
              </w:rPr>
              <w:t>Ammonia</w:t>
            </w:r>
          </w:p>
        </w:tc>
        <w:tc>
          <w:tcPr>
            <w:tcW w:w="5130" w:type="dxa"/>
          </w:tcPr>
          <w:p w14:paraId="50872AC6" w14:textId="3108AA6A" w:rsidR="00F734C6" w:rsidRPr="00290754" w:rsidRDefault="0031293F" w:rsidP="00E63937">
            <w:pPr>
              <w:jc w:val="center"/>
              <w:rPr>
                <w:rFonts w:ascii="Arial" w:hAnsi="Arial" w:cs="Arial"/>
                <w:sz w:val="22"/>
                <w:szCs w:val="22"/>
              </w:rPr>
            </w:pPr>
            <w:r w:rsidRPr="0031293F">
              <w:rPr>
                <w:rFonts w:ascii="Arial" w:hAnsi="Arial" w:cs="Arial"/>
                <w:sz w:val="22"/>
                <w:szCs w:val="22"/>
              </w:rPr>
              <w:t>0.7</w:t>
            </w:r>
            <w:r w:rsidR="004C27B9">
              <w:rPr>
                <w:rFonts w:ascii="Arial" w:hAnsi="Arial" w:cs="Arial"/>
                <w:sz w:val="22"/>
                <w:szCs w:val="22"/>
              </w:rPr>
              <w:t>1</w:t>
            </w:r>
          </w:p>
        </w:tc>
      </w:tr>
    </w:tbl>
    <w:p w14:paraId="376CFCFE" w14:textId="77777777" w:rsidR="00854D7C" w:rsidRDefault="00854D7C" w:rsidP="00854D7C">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227CCDC0" w14:textId="77777777" w:rsidR="00F734C6" w:rsidRPr="00CB60BD" w:rsidRDefault="00F734C6" w:rsidP="00F734C6">
      <w:pPr>
        <w:rPr>
          <w:rFonts w:ascii="Arial" w:hAnsi="Arial" w:cs="Arial"/>
          <w:sz w:val="22"/>
          <w:szCs w:val="22"/>
        </w:rPr>
      </w:pPr>
    </w:p>
    <w:p w14:paraId="28EE075B" w14:textId="347E671F"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31293F">
        <w:rPr>
          <w:rFonts w:ascii="Arial" w:hAnsi="Arial" w:cs="Arial"/>
          <w:sz w:val="22"/>
          <w:szCs w:val="22"/>
        </w:rPr>
        <w:t>202</w:t>
      </w:r>
      <w:r w:rsidR="00326A81">
        <w:rPr>
          <w:rFonts w:ascii="Arial" w:hAnsi="Arial" w:cs="Arial"/>
          <w:sz w:val="22"/>
          <w:szCs w:val="22"/>
        </w:rPr>
        <w:t>2</w:t>
      </w:r>
      <w:r w:rsidRPr="00F734C6">
        <w:rPr>
          <w:rFonts w:ascii="Arial" w:hAnsi="Arial" w:cs="Arial"/>
          <w:sz w:val="22"/>
          <w:szCs w:val="22"/>
        </w:rPr>
        <w:t xml:space="preserve"> by </w:t>
      </w:r>
      <w:r w:rsidR="0031293F" w:rsidRPr="0031293F">
        <w:rPr>
          <w:rFonts w:ascii="Arial" w:hAnsi="Arial" w:cs="Arial"/>
          <w:sz w:val="22"/>
          <w:szCs w:val="22"/>
        </w:rPr>
        <w:t>Detroit Thermal</w:t>
      </w:r>
      <w:r w:rsidRPr="00F734C6">
        <w:rPr>
          <w:rFonts w:ascii="Arial" w:hAnsi="Arial" w:cs="Arial"/>
          <w:sz w:val="22"/>
          <w:szCs w:val="22"/>
        </w:rPr>
        <w:t>:</w:t>
      </w:r>
    </w:p>
    <w:p w14:paraId="4E9D0846"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879A441" w14:textId="77777777" w:rsidTr="009843A7">
        <w:tc>
          <w:tcPr>
            <w:tcW w:w="5130" w:type="dxa"/>
            <w:shd w:val="clear" w:color="auto" w:fill="D9D9D9"/>
          </w:tcPr>
          <w:p w14:paraId="7953339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7EE9FE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0120EE2" w14:textId="77777777" w:rsidTr="009843A7">
        <w:tc>
          <w:tcPr>
            <w:tcW w:w="5130" w:type="dxa"/>
            <w:shd w:val="clear" w:color="auto" w:fill="FFFFFF"/>
          </w:tcPr>
          <w:p w14:paraId="1D9F400F" w14:textId="3A6EB47B" w:rsidR="00F734C6" w:rsidRPr="00F734C6" w:rsidRDefault="009843A7" w:rsidP="00E63937">
            <w:pPr>
              <w:rPr>
                <w:rFonts w:ascii="Arial" w:hAnsi="Arial" w:cs="Arial"/>
                <w:sz w:val="22"/>
                <w:szCs w:val="22"/>
              </w:rPr>
            </w:pPr>
            <w:r w:rsidRPr="009843A7">
              <w:rPr>
                <w:rFonts w:ascii="Arial" w:hAnsi="Arial" w:cs="Arial"/>
                <w:sz w:val="22"/>
                <w:szCs w:val="22"/>
              </w:rPr>
              <w:t>Hexane</w:t>
            </w:r>
          </w:p>
        </w:tc>
        <w:tc>
          <w:tcPr>
            <w:tcW w:w="5130" w:type="dxa"/>
            <w:shd w:val="clear" w:color="auto" w:fill="FFFFFF"/>
          </w:tcPr>
          <w:p w14:paraId="01694F41" w14:textId="7046D618" w:rsidR="00F734C6" w:rsidRPr="00F734C6" w:rsidRDefault="00326A81" w:rsidP="00E63937">
            <w:pPr>
              <w:jc w:val="center"/>
              <w:rPr>
                <w:rFonts w:ascii="Arial" w:hAnsi="Arial" w:cs="Arial"/>
                <w:b/>
                <w:sz w:val="22"/>
                <w:szCs w:val="22"/>
              </w:rPr>
            </w:pPr>
            <w:r>
              <w:rPr>
                <w:rFonts w:ascii="Arial" w:hAnsi="Arial" w:cs="Arial"/>
                <w:b/>
                <w:sz w:val="22"/>
                <w:szCs w:val="22"/>
              </w:rPr>
              <w:t>2.59</w:t>
            </w:r>
          </w:p>
        </w:tc>
      </w:tr>
      <w:tr w:rsidR="00F734C6" w:rsidRPr="00F734C6" w14:paraId="58F74127" w14:textId="77777777" w:rsidTr="009843A7">
        <w:tc>
          <w:tcPr>
            <w:tcW w:w="5130" w:type="dxa"/>
            <w:tcBorders>
              <w:top w:val="single" w:sz="6" w:space="0" w:color="auto"/>
              <w:bottom w:val="double" w:sz="4" w:space="0" w:color="auto"/>
            </w:tcBorders>
            <w:shd w:val="clear" w:color="auto" w:fill="FFFFFF"/>
          </w:tcPr>
          <w:p w14:paraId="1B14B999"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520DE27" w14:textId="68903BA5" w:rsidR="00F734C6" w:rsidRPr="00F734C6" w:rsidRDefault="00326A81" w:rsidP="00E63937">
            <w:pPr>
              <w:jc w:val="center"/>
              <w:rPr>
                <w:rFonts w:ascii="Arial" w:hAnsi="Arial" w:cs="Arial"/>
                <w:b/>
                <w:sz w:val="22"/>
                <w:szCs w:val="22"/>
              </w:rPr>
            </w:pPr>
            <w:r>
              <w:rPr>
                <w:rFonts w:ascii="Arial" w:hAnsi="Arial" w:cs="Arial"/>
                <w:b/>
                <w:sz w:val="22"/>
                <w:szCs w:val="22"/>
              </w:rPr>
              <w:t>2.72</w:t>
            </w:r>
          </w:p>
        </w:tc>
      </w:tr>
    </w:tbl>
    <w:p w14:paraId="208B5DD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D9BF7CB" w14:textId="77777777" w:rsidR="000F73C3" w:rsidRDefault="000F73C3" w:rsidP="00167B85">
      <w:pPr>
        <w:jc w:val="both"/>
        <w:rPr>
          <w:rFonts w:ascii="Arial" w:hAnsi="Arial" w:cs="Arial"/>
          <w:sz w:val="22"/>
          <w:szCs w:val="22"/>
        </w:rPr>
      </w:pPr>
    </w:p>
    <w:p w14:paraId="037DF5C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24B5ECA" w14:textId="77777777" w:rsidR="00AF4326" w:rsidRPr="00290754" w:rsidRDefault="00AF4326">
      <w:pPr>
        <w:rPr>
          <w:rFonts w:ascii="Arial" w:hAnsi="Arial" w:cs="Arial"/>
          <w:sz w:val="22"/>
          <w:szCs w:val="22"/>
        </w:rPr>
      </w:pPr>
    </w:p>
    <w:p w14:paraId="70803064" w14:textId="77777777"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14:paraId="00CD5156" w14:textId="77777777" w:rsidR="00AF4326" w:rsidRPr="005A6987" w:rsidRDefault="00AF4326" w:rsidP="00167B85">
      <w:pPr>
        <w:jc w:val="both"/>
        <w:rPr>
          <w:rFonts w:ascii="Arial" w:hAnsi="Arial" w:cs="Arial"/>
          <w:sz w:val="22"/>
          <w:szCs w:val="22"/>
        </w:rPr>
      </w:pPr>
    </w:p>
    <w:p w14:paraId="5FB5FE0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3DF0558" w14:textId="77777777" w:rsidR="000F73C3" w:rsidRDefault="000F73C3" w:rsidP="000F73C3">
      <w:pPr>
        <w:jc w:val="both"/>
        <w:outlineLvl w:val="0"/>
        <w:rPr>
          <w:rFonts w:ascii="Arial" w:hAnsi="Arial" w:cs="Arial"/>
          <w:sz w:val="22"/>
          <w:szCs w:val="22"/>
        </w:rPr>
      </w:pPr>
    </w:p>
    <w:p w14:paraId="2AF9297D" w14:textId="201C3095" w:rsidR="00190444" w:rsidRPr="00190444" w:rsidRDefault="00190444" w:rsidP="00190444">
      <w:pPr>
        <w:jc w:val="both"/>
        <w:outlineLvl w:val="0"/>
        <w:rPr>
          <w:rFonts w:ascii="Arial" w:hAnsi="Arial" w:cs="Arial"/>
          <w:sz w:val="22"/>
          <w:szCs w:val="22"/>
        </w:rPr>
      </w:pPr>
      <w:r w:rsidRPr="00190444">
        <w:rPr>
          <w:rFonts w:ascii="Arial" w:hAnsi="Arial" w:cs="Arial"/>
          <w:sz w:val="22"/>
          <w:szCs w:val="22"/>
        </w:rPr>
        <w:lastRenderedPageBreak/>
        <w:t xml:space="preserve">The stationary source is located in Wayne County which is currently designated by the U.S. Environmental Protection Agency (USEPA) as </w:t>
      </w:r>
      <w:r w:rsidR="000B62FD">
        <w:rPr>
          <w:rFonts w:ascii="Arial" w:hAnsi="Arial" w:cs="Arial"/>
          <w:sz w:val="22"/>
          <w:szCs w:val="22"/>
        </w:rPr>
        <w:t>attainment/maintenance</w:t>
      </w:r>
      <w:r w:rsidRPr="00190444">
        <w:rPr>
          <w:rFonts w:ascii="Arial" w:hAnsi="Arial" w:cs="Arial"/>
          <w:sz w:val="22"/>
          <w:szCs w:val="22"/>
        </w:rPr>
        <w:t xml:space="preserve"> with respect to the 8-hour ozone standard</w:t>
      </w:r>
      <w:r w:rsidR="00106135" w:rsidRPr="00106135">
        <w:rPr>
          <w:rFonts w:ascii="Arial" w:hAnsi="Arial" w:cs="Arial"/>
          <w:sz w:val="22"/>
          <w:szCs w:val="22"/>
        </w:rPr>
        <w:t xml:space="preserve"> </w:t>
      </w:r>
      <w:r w:rsidR="00106135">
        <w:rPr>
          <w:rFonts w:ascii="Arial" w:hAnsi="Arial" w:cs="Arial"/>
          <w:sz w:val="22"/>
          <w:szCs w:val="22"/>
        </w:rPr>
        <w:t xml:space="preserve">and </w:t>
      </w:r>
      <w:r w:rsidR="00106135" w:rsidRPr="00E95744">
        <w:rPr>
          <w:rFonts w:ascii="Arial" w:hAnsi="Arial" w:cs="Arial"/>
          <w:sz w:val="22"/>
          <w:szCs w:val="22"/>
        </w:rPr>
        <w:t xml:space="preserve">attainment/unclassified for all </w:t>
      </w:r>
      <w:r w:rsidR="00106135">
        <w:rPr>
          <w:rFonts w:ascii="Arial" w:hAnsi="Arial" w:cs="Arial"/>
          <w:sz w:val="22"/>
          <w:szCs w:val="22"/>
        </w:rPr>
        <w:t xml:space="preserve">other </w:t>
      </w:r>
      <w:r w:rsidR="00106135" w:rsidRPr="00E95744">
        <w:rPr>
          <w:rFonts w:ascii="Arial" w:hAnsi="Arial" w:cs="Arial"/>
          <w:sz w:val="22"/>
          <w:szCs w:val="22"/>
        </w:rPr>
        <w:t>criteria pollutants</w:t>
      </w:r>
      <w:r w:rsidR="00106135">
        <w:rPr>
          <w:rFonts w:ascii="Arial" w:hAnsi="Arial" w:cs="Arial"/>
          <w:sz w:val="22"/>
          <w:szCs w:val="22"/>
        </w:rPr>
        <w:t xml:space="preserve"> except for a</w:t>
      </w:r>
      <w:r w:rsidRPr="00190444">
        <w:rPr>
          <w:rFonts w:ascii="Arial" w:hAnsi="Arial" w:cs="Arial"/>
          <w:sz w:val="22"/>
          <w:szCs w:val="22"/>
        </w:rPr>
        <w:t xml:space="preserve"> portion of Wayne County designated as a non-attainment area with respect to the sulfur dioxide standard (SO</w:t>
      </w:r>
      <w:r w:rsidRPr="00190444">
        <w:rPr>
          <w:rFonts w:ascii="Arial" w:hAnsi="Arial" w:cs="Arial"/>
          <w:sz w:val="22"/>
          <w:szCs w:val="22"/>
          <w:vertAlign w:val="subscript"/>
        </w:rPr>
        <w:t>2</w:t>
      </w:r>
      <w:r w:rsidRPr="00190444">
        <w:rPr>
          <w:rFonts w:ascii="Arial" w:hAnsi="Arial" w:cs="Arial"/>
          <w:sz w:val="22"/>
          <w:szCs w:val="22"/>
        </w:rPr>
        <w:t>)</w:t>
      </w:r>
      <w:r w:rsidR="00106135">
        <w:rPr>
          <w:rFonts w:ascii="Arial" w:hAnsi="Arial" w:cs="Arial"/>
          <w:sz w:val="22"/>
          <w:szCs w:val="22"/>
        </w:rPr>
        <w:t>.</w:t>
      </w:r>
      <w:r w:rsidRPr="00190444">
        <w:rPr>
          <w:rFonts w:ascii="Arial" w:hAnsi="Arial" w:cs="Arial"/>
          <w:sz w:val="22"/>
          <w:szCs w:val="22"/>
        </w:rPr>
        <w:t xml:space="preserve"> </w:t>
      </w:r>
      <w:r w:rsidR="00106135">
        <w:rPr>
          <w:rFonts w:ascii="Arial" w:hAnsi="Arial" w:cs="Arial"/>
          <w:sz w:val="22"/>
          <w:szCs w:val="22"/>
        </w:rPr>
        <w:t>T</w:t>
      </w:r>
      <w:r w:rsidRPr="00190444">
        <w:rPr>
          <w:rFonts w:ascii="Arial" w:hAnsi="Arial" w:cs="Arial"/>
          <w:sz w:val="22"/>
          <w:szCs w:val="22"/>
        </w:rPr>
        <w:t>his stationary source is not located in this portion of Wayne County.</w:t>
      </w:r>
    </w:p>
    <w:p w14:paraId="2E447191" w14:textId="77777777" w:rsidR="00720743" w:rsidRPr="00290754" w:rsidRDefault="00720743" w:rsidP="000F73C3">
      <w:pPr>
        <w:jc w:val="both"/>
        <w:rPr>
          <w:rFonts w:ascii="Arial" w:hAnsi="Arial" w:cs="Arial"/>
          <w:sz w:val="22"/>
          <w:szCs w:val="22"/>
        </w:rPr>
      </w:pPr>
    </w:p>
    <w:p w14:paraId="0F548CA8" w14:textId="77777777" w:rsidR="0031293F" w:rsidRPr="0031293F" w:rsidRDefault="0031293F" w:rsidP="0031293F">
      <w:pPr>
        <w:jc w:val="both"/>
        <w:rPr>
          <w:rFonts w:ascii="Arial" w:hAnsi="Arial" w:cs="Arial"/>
          <w:sz w:val="22"/>
          <w:szCs w:val="22"/>
        </w:rPr>
      </w:pPr>
      <w:r w:rsidRPr="0031293F">
        <w:rPr>
          <w:rFonts w:ascii="Arial" w:hAnsi="Arial" w:cs="Arial"/>
          <w:sz w:val="22"/>
          <w:szCs w:val="22"/>
        </w:rPr>
        <w:t>The stationary source is subject to Title 40 of the Code of Federal Regulations (CFR) Part 70, because the potential to emit of nitrogen oxides and carbon monoxide exceeds 100 tons per year.</w:t>
      </w:r>
    </w:p>
    <w:p w14:paraId="39A4C640" w14:textId="77777777" w:rsidR="0031293F" w:rsidRPr="0031293F" w:rsidRDefault="0031293F" w:rsidP="0031293F">
      <w:pPr>
        <w:jc w:val="both"/>
        <w:rPr>
          <w:rFonts w:ascii="Arial" w:hAnsi="Arial" w:cs="Arial"/>
          <w:sz w:val="22"/>
          <w:szCs w:val="22"/>
        </w:rPr>
      </w:pPr>
    </w:p>
    <w:p w14:paraId="01564817" w14:textId="77777777" w:rsidR="0031293F" w:rsidRPr="0031293F" w:rsidRDefault="0031293F" w:rsidP="0031293F">
      <w:pPr>
        <w:jc w:val="both"/>
        <w:rPr>
          <w:rFonts w:ascii="Arial" w:hAnsi="Arial" w:cs="Arial"/>
          <w:sz w:val="22"/>
          <w:szCs w:val="22"/>
        </w:rPr>
      </w:pPr>
      <w:r w:rsidRPr="0031293F">
        <w:rPr>
          <w:rFonts w:ascii="Arial" w:hAnsi="Arial" w:cs="Arial"/>
          <w:sz w:val="22"/>
          <w:szCs w:val="22"/>
        </w:rPr>
        <w:t>The stationary source is a “synthetic minor” source regarding HAP emissions because the stationary source accepted a legally enforceable permit condition limiting the potential to emit of any single HAP regulated by Section 112 of the federal Clean Air Act, to less than 10 tons per year and the potential to emit of all HAPs combined to less than 25 tons per year.</w:t>
      </w:r>
    </w:p>
    <w:p w14:paraId="66184EBA" w14:textId="77777777" w:rsidR="0031293F" w:rsidRPr="0031293F" w:rsidRDefault="0031293F" w:rsidP="0031293F">
      <w:pPr>
        <w:jc w:val="both"/>
        <w:rPr>
          <w:rFonts w:ascii="Arial" w:hAnsi="Arial" w:cs="Arial"/>
          <w:sz w:val="22"/>
          <w:szCs w:val="22"/>
        </w:rPr>
      </w:pPr>
    </w:p>
    <w:p w14:paraId="32BAE4FB" w14:textId="268903C9" w:rsidR="00D62EAA" w:rsidRPr="00D62EAA" w:rsidRDefault="0031293F" w:rsidP="0031293F">
      <w:pPr>
        <w:jc w:val="both"/>
        <w:rPr>
          <w:rFonts w:ascii="Arial" w:hAnsi="Arial" w:cs="Arial"/>
          <w:sz w:val="22"/>
          <w:szCs w:val="22"/>
        </w:rPr>
      </w:pPr>
      <w:r w:rsidRPr="0031293F">
        <w:rPr>
          <w:rFonts w:ascii="Arial" w:hAnsi="Arial" w:cs="Arial"/>
          <w:sz w:val="22"/>
          <w:szCs w:val="22"/>
        </w:rPr>
        <w:t>EU-BOILER1 EU-BOILER2</w:t>
      </w:r>
      <w:r w:rsidR="004F640F">
        <w:rPr>
          <w:rFonts w:ascii="Arial" w:hAnsi="Arial" w:cs="Arial"/>
          <w:sz w:val="22"/>
          <w:szCs w:val="22"/>
        </w:rPr>
        <w:t>, EU-BOILER3, and EU-BOILER4</w:t>
      </w:r>
      <w:r w:rsidRPr="0031293F">
        <w:rPr>
          <w:rFonts w:ascii="Arial" w:hAnsi="Arial" w:cs="Arial"/>
          <w:sz w:val="22"/>
          <w:szCs w:val="22"/>
        </w:rPr>
        <w:t xml:space="preserve"> were installed prior to August 15, 1967.  As a result, this equipment is considered "grandfathered” and is not subject to New Source Review (NSR) permitting requirements.  However, future modifications of this equipment may be subject to NSR</w:t>
      </w:r>
      <w:r w:rsidR="00D62EAA" w:rsidRPr="00D62EAA">
        <w:rPr>
          <w:rFonts w:ascii="Arial" w:hAnsi="Arial" w:cs="Arial"/>
          <w:sz w:val="22"/>
          <w:szCs w:val="22"/>
        </w:rPr>
        <w:t>.</w:t>
      </w:r>
    </w:p>
    <w:p w14:paraId="5EF24272" w14:textId="378C0EB5" w:rsidR="0024147E" w:rsidRDefault="0024147E" w:rsidP="000F73C3">
      <w:pPr>
        <w:jc w:val="both"/>
        <w:rPr>
          <w:rFonts w:ascii="Arial" w:hAnsi="Arial" w:cs="Arial"/>
          <w:sz w:val="22"/>
          <w:szCs w:val="22"/>
        </w:rPr>
      </w:pPr>
    </w:p>
    <w:p w14:paraId="13E86D36" w14:textId="412BD704" w:rsidR="0024147E" w:rsidRPr="0024147E" w:rsidRDefault="0031293F" w:rsidP="0024147E">
      <w:pPr>
        <w:jc w:val="both"/>
        <w:rPr>
          <w:rFonts w:ascii="Arial" w:hAnsi="Arial" w:cs="Arial"/>
          <w:sz w:val="22"/>
          <w:szCs w:val="22"/>
        </w:rPr>
      </w:pPr>
      <w:bookmarkStart w:id="15" w:name="_Hlk113957306"/>
      <w:r w:rsidRPr="0031293F">
        <w:rPr>
          <w:rFonts w:ascii="Arial" w:hAnsi="Arial" w:cs="Arial"/>
          <w:sz w:val="22"/>
          <w:szCs w:val="22"/>
        </w:rPr>
        <w:t>EU-BOILER6 and EU-BOILER7</w:t>
      </w:r>
      <w:r w:rsidR="0024147E" w:rsidRPr="0024147E">
        <w:rPr>
          <w:rFonts w:ascii="Arial" w:hAnsi="Arial" w:cs="Arial"/>
          <w:sz w:val="22"/>
          <w:szCs w:val="22"/>
        </w:rPr>
        <w:t xml:space="preserve"> at the stationary source </w:t>
      </w:r>
      <w:r>
        <w:rPr>
          <w:rFonts w:ascii="Arial" w:hAnsi="Arial" w:cs="Arial"/>
          <w:sz w:val="22"/>
          <w:szCs w:val="22"/>
        </w:rPr>
        <w:t>were</w:t>
      </w:r>
      <w:r w:rsidR="0024147E" w:rsidRPr="0024147E">
        <w:rPr>
          <w:rFonts w:ascii="Arial" w:hAnsi="Arial" w:cs="Arial"/>
          <w:sz w:val="22"/>
          <w:szCs w:val="22"/>
        </w:rPr>
        <w:t xml:space="preserve"> subject to review under the Prevention of Significant Deterioration regulations of 40 CFR 52.21, because at the time of New Source Review permitting the potential to emit of </w:t>
      </w:r>
      <w:r w:rsidRPr="0031293F">
        <w:rPr>
          <w:rFonts w:ascii="Arial" w:hAnsi="Arial" w:cs="Arial"/>
          <w:sz w:val="22"/>
          <w:szCs w:val="22"/>
        </w:rPr>
        <w:t>nitrogen oxides</w:t>
      </w:r>
      <w:r w:rsidR="0024147E" w:rsidRPr="0024147E">
        <w:rPr>
          <w:rFonts w:ascii="Arial" w:hAnsi="Arial" w:cs="Arial"/>
          <w:sz w:val="22"/>
          <w:szCs w:val="22"/>
        </w:rPr>
        <w:t xml:space="preserve"> was greater than </w:t>
      </w:r>
      <w:r>
        <w:rPr>
          <w:rFonts w:ascii="Arial" w:hAnsi="Arial" w:cs="Arial"/>
          <w:sz w:val="22"/>
          <w:szCs w:val="22"/>
        </w:rPr>
        <w:t>100</w:t>
      </w:r>
      <w:r w:rsidR="0024147E" w:rsidRPr="0024147E">
        <w:rPr>
          <w:rFonts w:ascii="Arial" w:hAnsi="Arial" w:cs="Arial"/>
          <w:sz w:val="22"/>
          <w:szCs w:val="22"/>
        </w:rPr>
        <w:t xml:space="preserve"> tons per year, and potential emissions from this project exceeded the significance levels for carbon monoxide (CO) and particulate matter less than 10 microns in size (PM10). The application for PTI No. 63-05 was for three boilers (EU-BOILER6, EU-BOILER7, EU-BOILER8); EU-BOILER8 was never installed.  At the time, Wayne County was non-attainment for one-hour ozone and PM2.5.  The potential emissions from this project exceeded the NSR significant levels for NO</w:t>
      </w:r>
      <w:r w:rsidR="0024147E" w:rsidRPr="0024147E">
        <w:rPr>
          <w:rFonts w:ascii="Arial" w:hAnsi="Arial" w:cs="Arial"/>
          <w:sz w:val="22"/>
          <w:szCs w:val="22"/>
          <w:vertAlign w:val="subscript"/>
        </w:rPr>
        <w:t>x</w:t>
      </w:r>
      <w:r w:rsidR="0024147E" w:rsidRPr="0024147E">
        <w:rPr>
          <w:rFonts w:ascii="Arial" w:hAnsi="Arial" w:cs="Arial"/>
          <w:sz w:val="22"/>
          <w:szCs w:val="22"/>
        </w:rPr>
        <w:t>, CO, and PM10.  Detroit Thermal accepted restrictions on Boiler 3 and used those restrictions and netting to limit the PTE of NO</w:t>
      </w:r>
      <w:r w:rsidR="0024147E" w:rsidRPr="0024147E">
        <w:rPr>
          <w:rFonts w:ascii="Arial" w:hAnsi="Arial" w:cs="Arial"/>
          <w:sz w:val="22"/>
          <w:szCs w:val="22"/>
          <w:vertAlign w:val="subscript"/>
        </w:rPr>
        <w:t>x</w:t>
      </w:r>
      <w:r w:rsidR="0024147E" w:rsidRPr="0024147E">
        <w:rPr>
          <w:rFonts w:ascii="Arial" w:hAnsi="Arial" w:cs="Arial"/>
          <w:sz w:val="22"/>
          <w:szCs w:val="22"/>
        </w:rPr>
        <w:t xml:space="preserve"> for this project below the significance level.  With this action, NO</w:t>
      </w:r>
      <w:r w:rsidR="0024147E" w:rsidRPr="0024147E">
        <w:rPr>
          <w:rFonts w:ascii="Arial" w:hAnsi="Arial" w:cs="Arial"/>
          <w:sz w:val="22"/>
          <w:szCs w:val="22"/>
          <w:vertAlign w:val="subscript"/>
        </w:rPr>
        <w:t>x</w:t>
      </w:r>
      <w:r w:rsidR="0024147E" w:rsidRPr="0024147E">
        <w:rPr>
          <w:rFonts w:ascii="Arial" w:hAnsi="Arial" w:cs="Arial"/>
          <w:sz w:val="22"/>
          <w:szCs w:val="22"/>
        </w:rPr>
        <w:t xml:space="preserve"> was no longer subject to major source permitting/review.  CO and PM10 did undergo major source permitting/review as a major PSD modification for both pollutants.  With the issuance of PTI No. 62-21, the Underlying Applicable Requirements for CO, NO</w:t>
      </w:r>
      <w:r w:rsidR="0024147E" w:rsidRPr="0024147E">
        <w:rPr>
          <w:rFonts w:ascii="Arial" w:hAnsi="Arial" w:cs="Arial"/>
          <w:sz w:val="22"/>
          <w:szCs w:val="22"/>
          <w:vertAlign w:val="subscript"/>
        </w:rPr>
        <w:t>x</w:t>
      </w:r>
      <w:r w:rsidR="0024147E" w:rsidRPr="0024147E">
        <w:rPr>
          <w:rFonts w:ascii="Arial" w:hAnsi="Arial" w:cs="Arial"/>
          <w:sz w:val="22"/>
          <w:szCs w:val="22"/>
        </w:rPr>
        <w:t>, PM10, and SO</w:t>
      </w:r>
      <w:r w:rsidR="0024147E" w:rsidRPr="0024147E">
        <w:rPr>
          <w:rFonts w:ascii="Arial" w:hAnsi="Arial" w:cs="Arial"/>
          <w:sz w:val="22"/>
          <w:szCs w:val="22"/>
          <w:vertAlign w:val="subscript"/>
        </w:rPr>
        <w:t>2</w:t>
      </w:r>
      <w:r w:rsidR="0024147E" w:rsidRPr="0024147E">
        <w:rPr>
          <w:rFonts w:ascii="Arial" w:hAnsi="Arial" w:cs="Arial"/>
          <w:sz w:val="22"/>
          <w:szCs w:val="22"/>
        </w:rPr>
        <w:t xml:space="preserve"> emission limits have been updated to cite 40 CFR 52.21(c) and (d) for pollutants that did not go through PSD review, and to cite the equivalent state rules for pollutants that did go through PSD: Rule 1803 (R 336.2803) for PSD Increments, and Rule 1804 (R 336.2804) for NAAQS. The state PSD rules are cited for the PM10 and CO emission limits, and 40 CFR 52.21(c) and (d) is cited for NOx and SO</w:t>
      </w:r>
      <w:r w:rsidR="0024147E" w:rsidRPr="0024147E">
        <w:rPr>
          <w:rFonts w:ascii="Arial" w:hAnsi="Arial" w:cs="Arial"/>
          <w:sz w:val="22"/>
          <w:szCs w:val="22"/>
          <w:vertAlign w:val="subscript"/>
        </w:rPr>
        <w:t>2</w:t>
      </w:r>
      <w:r w:rsidR="0024147E" w:rsidRPr="0024147E">
        <w:rPr>
          <w:rFonts w:ascii="Arial" w:hAnsi="Arial" w:cs="Arial"/>
          <w:sz w:val="22"/>
          <w:szCs w:val="22"/>
        </w:rPr>
        <w:t>.</w:t>
      </w:r>
      <w:bookmarkEnd w:id="15"/>
    </w:p>
    <w:p w14:paraId="131D118B" w14:textId="2A035BB4" w:rsidR="0024147E" w:rsidRDefault="0024147E" w:rsidP="000F73C3">
      <w:pPr>
        <w:jc w:val="both"/>
        <w:rPr>
          <w:rFonts w:ascii="Arial" w:hAnsi="Arial" w:cs="Arial"/>
          <w:sz w:val="22"/>
          <w:szCs w:val="22"/>
        </w:rPr>
      </w:pPr>
    </w:p>
    <w:p w14:paraId="088E9ACA" w14:textId="02C0A139" w:rsidR="0024147E" w:rsidRPr="0024147E" w:rsidRDefault="0024147E" w:rsidP="0024147E">
      <w:pPr>
        <w:jc w:val="both"/>
        <w:rPr>
          <w:rFonts w:ascii="Arial" w:hAnsi="Arial" w:cs="Arial"/>
          <w:sz w:val="22"/>
          <w:szCs w:val="22"/>
        </w:rPr>
      </w:pPr>
      <w:r w:rsidRPr="0024147E">
        <w:rPr>
          <w:rFonts w:ascii="Arial" w:hAnsi="Arial" w:cs="Arial"/>
          <w:sz w:val="22"/>
          <w:szCs w:val="22"/>
        </w:rPr>
        <w:t>In 1973 and 1974, EU-BOILER1</w:t>
      </w:r>
      <w:r w:rsidR="004F640F">
        <w:rPr>
          <w:rFonts w:ascii="Arial" w:hAnsi="Arial" w:cs="Arial"/>
          <w:sz w:val="22"/>
          <w:szCs w:val="22"/>
        </w:rPr>
        <w:t xml:space="preserve">, </w:t>
      </w:r>
      <w:r w:rsidRPr="0024147E">
        <w:rPr>
          <w:rFonts w:ascii="Arial" w:hAnsi="Arial" w:cs="Arial"/>
          <w:sz w:val="22"/>
          <w:szCs w:val="22"/>
        </w:rPr>
        <w:t>EU-BOILER2</w:t>
      </w:r>
      <w:r w:rsidR="004F640F">
        <w:rPr>
          <w:rFonts w:ascii="Arial" w:hAnsi="Arial" w:cs="Arial"/>
          <w:sz w:val="22"/>
          <w:szCs w:val="22"/>
        </w:rPr>
        <w:t>, EU-BOILER3, and EU-BOILER4</w:t>
      </w:r>
      <w:r w:rsidRPr="0024147E">
        <w:rPr>
          <w:rFonts w:ascii="Arial" w:hAnsi="Arial" w:cs="Arial"/>
          <w:sz w:val="22"/>
          <w:szCs w:val="22"/>
        </w:rPr>
        <w:t xml:space="preserve"> were converted from coal</w:t>
      </w:r>
      <w:r w:rsidR="009C0807">
        <w:rPr>
          <w:rFonts w:ascii="Arial" w:hAnsi="Arial" w:cs="Arial"/>
          <w:sz w:val="22"/>
          <w:szCs w:val="22"/>
        </w:rPr>
        <w:t>-</w:t>
      </w:r>
      <w:r w:rsidRPr="0024147E">
        <w:rPr>
          <w:rFonts w:ascii="Arial" w:hAnsi="Arial" w:cs="Arial"/>
          <w:sz w:val="22"/>
          <w:szCs w:val="22"/>
        </w:rPr>
        <w:t>fired boilers to natural gas/No. 2 fuel oil</w:t>
      </w:r>
      <w:r w:rsidR="009C0807">
        <w:rPr>
          <w:rFonts w:ascii="Arial" w:hAnsi="Arial" w:cs="Arial"/>
          <w:sz w:val="22"/>
          <w:szCs w:val="22"/>
        </w:rPr>
        <w:t>-</w:t>
      </w:r>
      <w:r w:rsidRPr="0024147E">
        <w:rPr>
          <w:rFonts w:ascii="Arial" w:hAnsi="Arial" w:cs="Arial"/>
          <w:sz w:val="22"/>
          <w:szCs w:val="22"/>
        </w:rPr>
        <w:t>fired boilers.  The change from coal fired boilers to natural gas/No.2 fuel oil fired boilers does not constitute a modification as defined in 40 CFR 60.2.  Therefore, EU-BOILER1</w:t>
      </w:r>
      <w:r w:rsidR="004F640F">
        <w:rPr>
          <w:rFonts w:ascii="Arial" w:hAnsi="Arial" w:cs="Arial"/>
          <w:sz w:val="22"/>
          <w:szCs w:val="22"/>
        </w:rPr>
        <w:t xml:space="preserve">, </w:t>
      </w:r>
      <w:r w:rsidRPr="0024147E">
        <w:rPr>
          <w:rFonts w:ascii="Arial" w:hAnsi="Arial" w:cs="Arial"/>
          <w:sz w:val="22"/>
          <w:szCs w:val="22"/>
        </w:rPr>
        <w:t>EU-BOILER2</w:t>
      </w:r>
      <w:r w:rsidR="004F640F">
        <w:rPr>
          <w:rFonts w:ascii="Arial" w:hAnsi="Arial" w:cs="Arial"/>
          <w:sz w:val="22"/>
          <w:szCs w:val="22"/>
        </w:rPr>
        <w:t>, EU-BOILER3, and EU-BOILER4</w:t>
      </w:r>
      <w:r w:rsidRPr="0024147E">
        <w:rPr>
          <w:rFonts w:ascii="Arial" w:hAnsi="Arial" w:cs="Arial"/>
          <w:sz w:val="22"/>
          <w:szCs w:val="22"/>
        </w:rPr>
        <w:t xml:space="preserve"> retain the </w:t>
      </w:r>
      <w:r w:rsidR="004F640F">
        <w:rPr>
          <w:rFonts w:ascii="Arial" w:hAnsi="Arial" w:cs="Arial"/>
          <w:sz w:val="22"/>
          <w:szCs w:val="22"/>
        </w:rPr>
        <w:t>pre-</w:t>
      </w:r>
      <w:r w:rsidRPr="0024147E">
        <w:rPr>
          <w:rFonts w:ascii="Arial" w:hAnsi="Arial" w:cs="Arial"/>
          <w:sz w:val="22"/>
          <w:szCs w:val="22"/>
        </w:rPr>
        <w:t>1967 install date as it applies to 40 CFR Part 60, Subpart D.  EU-</w:t>
      </w:r>
      <w:r w:rsidR="000A1545" w:rsidRPr="000A1545">
        <w:rPr>
          <w:rFonts w:ascii="Arial" w:hAnsi="Arial" w:cs="Arial"/>
          <w:sz w:val="22"/>
          <w:szCs w:val="22"/>
        </w:rPr>
        <w:t xml:space="preserve">BOILER1, EU-BOILER2, EU-BOILER3, and EU-BOILER4 </w:t>
      </w:r>
      <w:r w:rsidRPr="0024147E">
        <w:rPr>
          <w:rFonts w:ascii="Arial" w:hAnsi="Arial" w:cs="Arial"/>
          <w:sz w:val="22"/>
          <w:szCs w:val="22"/>
        </w:rPr>
        <w:t>are not currently subject to Subpart D because Subpart D only applies to boilers constructed, modified, or reconstructed after August 17, 1971.</w:t>
      </w:r>
    </w:p>
    <w:p w14:paraId="7759778D" w14:textId="77777777" w:rsidR="000F73C3" w:rsidRPr="008A0FF1" w:rsidRDefault="000F73C3" w:rsidP="000F73C3">
      <w:pPr>
        <w:jc w:val="both"/>
        <w:rPr>
          <w:rFonts w:ascii="Arial" w:hAnsi="Arial" w:cs="Arial"/>
          <w:sz w:val="22"/>
          <w:szCs w:val="22"/>
        </w:rPr>
      </w:pPr>
    </w:p>
    <w:p w14:paraId="0AD0466E" w14:textId="08B2BF25" w:rsidR="000F73C3" w:rsidRPr="00290754" w:rsidRDefault="009843A7" w:rsidP="000F73C3">
      <w:pPr>
        <w:jc w:val="both"/>
        <w:outlineLvl w:val="0"/>
        <w:rPr>
          <w:rFonts w:ascii="Arial" w:hAnsi="Arial" w:cs="Arial"/>
          <w:sz w:val="22"/>
          <w:szCs w:val="22"/>
        </w:rPr>
      </w:pPr>
      <w:r w:rsidRPr="009843A7">
        <w:rPr>
          <w:rFonts w:ascii="Arial" w:hAnsi="Arial" w:cs="Arial"/>
          <w:sz w:val="22"/>
          <w:szCs w:val="22"/>
        </w:rPr>
        <w:t>EU-BOILER6 and EU-BOILER7 at the stationary source 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Pr="009843A7">
        <w:rPr>
          <w:rFonts w:ascii="Arial" w:hAnsi="Arial" w:cs="Arial"/>
          <w:sz w:val="22"/>
          <w:szCs w:val="22"/>
        </w:rPr>
        <w:t>Industrial, Commercial, 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Pr="009843A7">
        <w:rPr>
          <w:rFonts w:ascii="Arial" w:hAnsi="Arial" w:cs="Arial"/>
          <w:sz w:val="22"/>
          <w:szCs w:val="22"/>
        </w:rPr>
        <w:t>Db</w:t>
      </w:r>
      <w:r w:rsidR="000F73C3" w:rsidRPr="00290754">
        <w:rPr>
          <w:rFonts w:ascii="Arial" w:hAnsi="Arial" w:cs="Arial"/>
          <w:sz w:val="22"/>
          <w:szCs w:val="22"/>
        </w:rPr>
        <w:t>.</w:t>
      </w:r>
      <w:r w:rsidR="006D3CC1">
        <w:rPr>
          <w:rFonts w:ascii="Arial" w:hAnsi="Arial" w:cs="Arial"/>
          <w:sz w:val="22"/>
          <w:szCs w:val="22"/>
        </w:rPr>
        <w:t xml:space="preserve"> </w:t>
      </w:r>
      <w:r w:rsidR="006D3CC1" w:rsidRPr="006D3CC1">
        <w:rPr>
          <w:rFonts w:ascii="Arial" w:hAnsi="Arial" w:cs="Arial"/>
          <w:sz w:val="22"/>
          <w:szCs w:val="22"/>
        </w:rPr>
        <w:t>According to the Alternate Monitoring Protocol submitted</w:t>
      </w:r>
      <w:r w:rsidR="006D3CC1">
        <w:rPr>
          <w:rFonts w:ascii="Arial" w:hAnsi="Arial" w:cs="Arial"/>
          <w:sz w:val="22"/>
          <w:szCs w:val="22"/>
        </w:rPr>
        <w:t xml:space="preserve"> to AQD</w:t>
      </w:r>
      <w:r w:rsidR="006D3CC1" w:rsidRPr="006D3CC1">
        <w:rPr>
          <w:rFonts w:ascii="Arial" w:hAnsi="Arial" w:cs="Arial"/>
          <w:sz w:val="22"/>
          <w:szCs w:val="22"/>
        </w:rPr>
        <w:t xml:space="preserve"> in November 2016, these boilers were constructed in 2006.</w:t>
      </w:r>
    </w:p>
    <w:p w14:paraId="30187AD5" w14:textId="35483CE0" w:rsidR="00DB68D5" w:rsidRDefault="00DB68D5" w:rsidP="00DB68D5">
      <w:pPr>
        <w:jc w:val="both"/>
        <w:rPr>
          <w:rFonts w:ascii="Arial" w:hAnsi="Arial" w:cs="Arial"/>
          <w:sz w:val="22"/>
          <w:szCs w:val="22"/>
          <w:highlight w:val="yellow"/>
        </w:rPr>
      </w:pPr>
    </w:p>
    <w:p w14:paraId="2F543112" w14:textId="6EE630CB" w:rsidR="00882F33" w:rsidRDefault="00882F33" w:rsidP="00DB68D5">
      <w:pPr>
        <w:jc w:val="both"/>
        <w:rPr>
          <w:rFonts w:ascii="Arial" w:hAnsi="Arial" w:cs="Arial"/>
          <w:sz w:val="22"/>
          <w:szCs w:val="22"/>
          <w:highlight w:val="yellow"/>
        </w:rPr>
      </w:pPr>
      <w:r w:rsidRPr="00882F33">
        <w:rPr>
          <w:rFonts w:ascii="Arial" w:hAnsi="Arial" w:cs="Arial"/>
          <w:sz w:val="22"/>
          <w:szCs w:val="22"/>
        </w:rPr>
        <w:t xml:space="preserve">Although boilers </w:t>
      </w:r>
      <w:r w:rsidR="004F640F">
        <w:rPr>
          <w:rFonts w:ascii="Arial" w:hAnsi="Arial" w:cs="Arial"/>
          <w:sz w:val="22"/>
          <w:szCs w:val="22"/>
        </w:rPr>
        <w:t xml:space="preserve">1, 2, 3, 4, </w:t>
      </w:r>
      <w:r w:rsidRPr="00882F33">
        <w:rPr>
          <w:rFonts w:ascii="Arial" w:hAnsi="Arial" w:cs="Arial"/>
          <w:sz w:val="22"/>
          <w:szCs w:val="22"/>
        </w:rPr>
        <w:t>6</w:t>
      </w:r>
      <w:r w:rsidR="004F640F">
        <w:rPr>
          <w:rFonts w:ascii="Arial" w:hAnsi="Arial" w:cs="Arial"/>
          <w:sz w:val="22"/>
          <w:szCs w:val="22"/>
        </w:rPr>
        <w:t>,</w:t>
      </w:r>
      <w:r w:rsidRPr="00882F33">
        <w:rPr>
          <w:rFonts w:ascii="Arial" w:hAnsi="Arial" w:cs="Arial"/>
          <w:sz w:val="22"/>
          <w:szCs w:val="22"/>
        </w:rPr>
        <w:t xml:space="preserve"> and 7 at the facility have the capacity to fire No. 2 fuel oil as a backup fuel, the boilers are currently operated/categorized as “gas-fired boilers” as defined in 40 CFR 63.11237.  Pursuant to 40 CFR 63.11195(e), gas-fired boilers are not subject to applicable provisions under 40 CFR Part 63, Subpart JJJJJJ, the National Emission Standards for Hazardous Air Pollutants for Industrial, Commercial, and Institutional Boilers at Area Sources.  If at any time the boilers are reclassified to another subcategory, the facility must comply with all applicable requirements under 40 CFR Part 63, Subparts A </w:t>
      </w:r>
      <w:r w:rsidRPr="00882F33">
        <w:rPr>
          <w:rFonts w:ascii="Arial" w:hAnsi="Arial" w:cs="Arial"/>
          <w:sz w:val="22"/>
          <w:szCs w:val="22"/>
        </w:rPr>
        <w:lastRenderedPageBreak/>
        <w:t>and JJJJJJ.  Conditions pertaining to 40 CFR Part 63, Subpart JJJJJJ, can be found in the ROP under the flexible group FG-BOILER_6,7.</w:t>
      </w:r>
    </w:p>
    <w:p w14:paraId="1FC32D0D" w14:textId="77777777" w:rsidR="00337750" w:rsidRPr="00DE6E0D" w:rsidRDefault="00337750" w:rsidP="0001165D">
      <w:pPr>
        <w:jc w:val="both"/>
        <w:rPr>
          <w:rFonts w:ascii="Arial" w:hAnsi="Arial" w:cs="Arial"/>
          <w:sz w:val="22"/>
          <w:szCs w:val="22"/>
        </w:rPr>
      </w:pPr>
    </w:p>
    <w:p w14:paraId="1DA4027F" w14:textId="32F5ACCC" w:rsidR="00337750" w:rsidRDefault="00882F33" w:rsidP="0001165D">
      <w:pPr>
        <w:jc w:val="both"/>
        <w:rPr>
          <w:rFonts w:ascii="Arial" w:hAnsi="Arial" w:cs="Arial"/>
          <w:sz w:val="22"/>
          <w:szCs w:val="22"/>
        </w:rPr>
      </w:pPr>
      <w:r w:rsidRPr="00882F33">
        <w:rPr>
          <w:rFonts w:ascii="Arial" w:hAnsi="Arial" w:cs="Arial"/>
          <w:sz w:val="22"/>
          <w:szCs w:val="22"/>
        </w:rPr>
        <w:t xml:space="preserve">The facility is not </w:t>
      </w:r>
      <w:r w:rsidR="00337750" w:rsidRPr="00DE6E0D">
        <w:rPr>
          <w:rFonts w:ascii="Arial" w:hAnsi="Arial" w:cs="Arial"/>
          <w:sz w:val="22"/>
          <w:szCs w:val="22"/>
        </w:rPr>
        <w:t xml:space="preserve">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2 </w:t>
      </w:r>
      <w:r w:rsidR="00337750" w:rsidRPr="00DE6E0D">
        <w:rPr>
          <w:rFonts w:ascii="Arial" w:hAnsi="Arial" w:cs="Arial"/>
          <w:sz w:val="22"/>
          <w:szCs w:val="22"/>
        </w:rPr>
        <w:t xml:space="preserve">Trading Program pursuant to 40 CFR Part 97, Subpart </w:t>
      </w:r>
      <w:r w:rsidR="00C6451A" w:rsidRPr="00DE6E0D">
        <w:rPr>
          <w:rFonts w:ascii="Arial" w:hAnsi="Arial" w:cs="Arial"/>
          <w:sz w:val="22"/>
          <w:szCs w:val="22"/>
        </w:rPr>
        <w:t>EEEEE</w:t>
      </w:r>
      <w:r w:rsidR="00337750" w:rsidRPr="00DE6E0D">
        <w:rPr>
          <w:rFonts w:ascii="Arial" w:hAnsi="Arial" w:cs="Arial"/>
          <w:sz w:val="22"/>
          <w:szCs w:val="22"/>
        </w:rPr>
        <w:t>.</w:t>
      </w:r>
      <w:r>
        <w:rPr>
          <w:rFonts w:ascii="Arial" w:hAnsi="Arial" w:cs="Arial"/>
          <w:sz w:val="22"/>
          <w:szCs w:val="22"/>
        </w:rPr>
        <w:t xml:space="preserve"> </w:t>
      </w:r>
      <w:r w:rsidRPr="00882F33">
        <w:rPr>
          <w:rFonts w:ascii="Arial" w:hAnsi="Arial" w:cs="Arial"/>
          <w:sz w:val="22"/>
          <w:szCs w:val="22"/>
        </w:rPr>
        <w:t>However, EU-BOILER</w:t>
      </w:r>
      <w:r w:rsidR="00DD36D2">
        <w:rPr>
          <w:rFonts w:ascii="Arial" w:hAnsi="Arial" w:cs="Arial"/>
          <w:sz w:val="22"/>
          <w:szCs w:val="22"/>
        </w:rPr>
        <w:t xml:space="preserve">1, </w:t>
      </w:r>
      <w:r w:rsidRPr="00882F33">
        <w:rPr>
          <w:rFonts w:ascii="Arial" w:hAnsi="Arial" w:cs="Arial"/>
          <w:sz w:val="22"/>
          <w:szCs w:val="22"/>
        </w:rPr>
        <w:t>EU-BOILER2</w:t>
      </w:r>
      <w:r w:rsidR="00DD36D2">
        <w:rPr>
          <w:rFonts w:ascii="Arial" w:hAnsi="Arial" w:cs="Arial"/>
          <w:sz w:val="22"/>
          <w:szCs w:val="22"/>
        </w:rPr>
        <w:t>, EU-BOILER3, and EU-BOILER4</w:t>
      </w:r>
      <w:r w:rsidRPr="00882F33">
        <w:rPr>
          <w:rFonts w:ascii="Arial" w:hAnsi="Arial" w:cs="Arial"/>
          <w:sz w:val="22"/>
          <w:szCs w:val="22"/>
        </w:rPr>
        <w:t xml:space="preserve"> are required to comply with the requirements of Part 8 of Michigan’s Air Pollution Control Rules. Special conditions can be found in the ROP under FG-BOILER_1</w:t>
      </w:r>
      <w:r w:rsidR="009C0807">
        <w:rPr>
          <w:rFonts w:ascii="Arial" w:hAnsi="Arial" w:cs="Arial"/>
          <w:sz w:val="22"/>
          <w:szCs w:val="22"/>
        </w:rPr>
        <w:t>-4_Rule801</w:t>
      </w:r>
      <w:r w:rsidRPr="00882F33">
        <w:rPr>
          <w:rFonts w:ascii="Arial" w:hAnsi="Arial" w:cs="Arial"/>
          <w:sz w:val="22"/>
          <w:szCs w:val="22"/>
        </w:rPr>
        <w:t>.</w:t>
      </w:r>
    </w:p>
    <w:p w14:paraId="46AF21EF" w14:textId="5ACB3A8D" w:rsidR="0071147B" w:rsidRDefault="0071147B" w:rsidP="004A02CE">
      <w:pPr>
        <w:jc w:val="both"/>
        <w:rPr>
          <w:rFonts w:ascii="Arial" w:hAnsi="Arial" w:cs="Arial"/>
          <w:sz w:val="22"/>
          <w:szCs w:val="22"/>
        </w:rPr>
      </w:pPr>
    </w:p>
    <w:p w14:paraId="41920CE9" w14:textId="25B33A2C" w:rsidR="0071147B" w:rsidRDefault="0071147B" w:rsidP="004A02CE">
      <w:pPr>
        <w:jc w:val="both"/>
        <w:rPr>
          <w:rFonts w:ascii="Arial" w:hAnsi="Arial" w:cs="Arial"/>
          <w:sz w:val="22"/>
          <w:szCs w:val="22"/>
        </w:rPr>
      </w:pPr>
      <w:r w:rsidRPr="0071147B">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36AE3E4" w14:textId="77777777" w:rsidR="0071147B" w:rsidRPr="0071147B" w:rsidRDefault="0071147B" w:rsidP="0071147B">
      <w:pPr>
        <w:jc w:val="both"/>
        <w:rPr>
          <w:rFonts w:ascii="Arial" w:hAnsi="Arial" w:cs="Arial"/>
          <w:sz w:val="22"/>
          <w:szCs w:val="22"/>
        </w:rPr>
      </w:pPr>
    </w:p>
    <w:p w14:paraId="66B5A5ED" w14:textId="77777777" w:rsidR="0071147B" w:rsidRPr="0071147B" w:rsidRDefault="0071147B" w:rsidP="0071147B">
      <w:pPr>
        <w:jc w:val="both"/>
        <w:rPr>
          <w:rFonts w:ascii="Arial" w:hAnsi="Arial" w:cs="Arial"/>
          <w:sz w:val="22"/>
          <w:szCs w:val="22"/>
        </w:rPr>
      </w:pPr>
      <w:r w:rsidRPr="0071147B">
        <w:rPr>
          <w:rFonts w:ascii="Arial" w:hAnsi="Arial" w:cs="Arial"/>
          <w:sz w:val="22"/>
          <w:szCs w:val="22"/>
        </w:rPr>
        <w:t>The following table provides a summary of the emission units subject to CAM.</w:t>
      </w:r>
    </w:p>
    <w:p w14:paraId="61AB57ED" w14:textId="77777777" w:rsidR="0071147B" w:rsidRPr="0071147B" w:rsidRDefault="0071147B" w:rsidP="0071147B">
      <w:pPr>
        <w:jc w:val="both"/>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77"/>
        <w:gridCol w:w="1260"/>
        <w:gridCol w:w="1473"/>
        <w:gridCol w:w="1350"/>
        <w:gridCol w:w="2070"/>
        <w:gridCol w:w="1530"/>
        <w:gridCol w:w="957"/>
      </w:tblGrid>
      <w:tr w:rsidR="0071147B" w:rsidRPr="0071147B" w14:paraId="55A9F14E" w14:textId="77777777" w:rsidTr="009558FB">
        <w:trPr>
          <w:tblHeader/>
        </w:trPr>
        <w:tc>
          <w:tcPr>
            <w:tcW w:w="1677" w:type="dxa"/>
            <w:shd w:val="clear" w:color="auto" w:fill="D9D9D9"/>
          </w:tcPr>
          <w:p w14:paraId="05590F58" w14:textId="77777777" w:rsidR="0071147B" w:rsidRPr="0071147B" w:rsidRDefault="0071147B" w:rsidP="0071147B">
            <w:pPr>
              <w:jc w:val="both"/>
              <w:rPr>
                <w:rFonts w:ascii="Arial" w:hAnsi="Arial" w:cs="Arial"/>
                <w:b/>
                <w:sz w:val="22"/>
                <w:szCs w:val="22"/>
              </w:rPr>
            </w:pPr>
            <w:r w:rsidRPr="0071147B">
              <w:rPr>
                <w:rFonts w:ascii="Arial" w:hAnsi="Arial" w:cs="Arial"/>
                <w:b/>
                <w:sz w:val="22"/>
                <w:szCs w:val="22"/>
              </w:rPr>
              <w:t>Emission Unit/Flexible group ID</w:t>
            </w:r>
          </w:p>
        </w:tc>
        <w:tc>
          <w:tcPr>
            <w:tcW w:w="1260" w:type="dxa"/>
            <w:shd w:val="clear" w:color="auto" w:fill="D9D9D9"/>
          </w:tcPr>
          <w:p w14:paraId="44AE5A31" w14:textId="77777777" w:rsidR="0071147B" w:rsidRPr="0071147B" w:rsidRDefault="0071147B" w:rsidP="0071147B">
            <w:pPr>
              <w:jc w:val="both"/>
              <w:rPr>
                <w:rFonts w:ascii="Arial" w:hAnsi="Arial" w:cs="Arial"/>
                <w:b/>
                <w:sz w:val="22"/>
                <w:szCs w:val="22"/>
              </w:rPr>
            </w:pPr>
            <w:r w:rsidRPr="0071147B">
              <w:rPr>
                <w:rFonts w:ascii="Arial" w:hAnsi="Arial" w:cs="Arial"/>
                <w:b/>
                <w:sz w:val="22"/>
                <w:szCs w:val="22"/>
              </w:rPr>
              <w:t>Pollutant/ Emission Limit</w:t>
            </w:r>
          </w:p>
        </w:tc>
        <w:tc>
          <w:tcPr>
            <w:tcW w:w="1473" w:type="dxa"/>
            <w:shd w:val="clear" w:color="auto" w:fill="D9D9D9"/>
          </w:tcPr>
          <w:p w14:paraId="6FC6DE9E" w14:textId="77777777" w:rsidR="0071147B" w:rsidRPr="0071147B" w:rsidRDefault="0071147B" w:rsidP="0071147B">
            <w:pPr>
              <w:jc w:val="both"/>
              <w:rPr>
                <w:rFonts w:ascii="Arial" w:hAnsi="Arial" w:cs="Arial"/>
                <w:b/>
                <w:sz w:val="22"/>
                <w:szCs w:val="22"/>
              </w:rPr>
            </w:pPr>
            <w:r w:rsidRPr="0071147B">
              <w:rPr>
                <w:rFonts w:ascii="Arial" w:hAnsi="Arial" w:cs="Arial"/>
                <w:b/>
                <w:sz w:val="22"/>
                <w:szCs w:val="22"/>
              </w:rPr>
              <w:t>UAR(s)</w:t>
            </w:r>
          </w:p>
        </w:tc>
        <w:tc>
          <w:tcPr>
            <w:tcW w:w="1350" w:type="dxa"/>
            <w:shd w:val="clear" w:color="auto" w:fill="D9D9D9"/>
          </w:tcPr>
          <w:p w14:paraId="3B5744EA" w14:textId="77777777" w:rsidR="0071147B" w:rsidRPr="0071147B" w:rsidRDefault="0071147B" w:rsidP="0071147B">
            <w:pPr>
              <w:jc w:val="both"/>
              <w:rPr>
                <w:rFonts w:ascii="Arial" w:hAnsi="Arial" w:cs="Arial"/>
                <w:b/>
                <w:sz w:val="22"/>
                <w:szCs w:val="22"/>
              </w:rPr>
            </w:pPr>
            <w:r w:rsidRPr="0071147B">
              <w:rPr>
                <w:rFonts w:ascii="Arial" w:hAnsi="Arial" w:cs="Arial"/>
                <w:b/>
                <w:sz w:val="22"/>
                <w:szCs w:val="22"/>
              </w:rPr>
              <w:t>Control Equipment</w:t>
            </w:r>
          </w:p>
        </w:tc>
        <w:tc>
          <w:tcPr>
            <w:tcW w:w="2070" w:type="dxa"/>
            <w:shd w:val="clear" w:color="auto" w:fill="D9D9D9"/>
          </w:tcPr>
          <w:p w14:paraId="1DFBA60B" w14:textId="77777777" w:rsidR="0071147B" w:rsidRPr="0071147B" w:rsidRDefault="0071147B" w:rsidP="0071147B">
            <w:pPr>
              <w:jc w:val="both"/>
              <w:rPr>
                <w:rFonts w:ascii="Arial" w:hAnsi="Arial" w:cs="Arial"/>
                <w:b/>
                <w:sz w:val="22"/>
                <w:szCs w:val="22"/>
              </w:rPr>
            </w:pPr>
            <w:r w:rsidRPr="0071147B">
              <w:rPr>
                <w:rFonts w:ascii="Arial" w:hAnsi="Arial" w:cs="Arial"/>
                <w:b/>
                <w:sz w:val="22"/>
                <w:szCs w:val="22"/>
              </w:rPr>
              <w:t xml:space="preserve">Monitoring </w:t>
            </w:r>
          </w:p>
        </w:tc>
        <w:tc>
          <w:tcPr>
            <w:tcW w:w="1530" w:type="dxa"/>
            <w:shd w:val="clear" w:color="auto" w:fill="D9D9D9"/>
          </w:tcPr>
          <w:p w14:paraId="5A1DB016" w14:textId="77777777" w:rsidR="0071147B" w:rsidRPr="0071147B" w:rsidRDefault="0071147B" w:rsidP="0071147B">
            <w:pPr>
              <w:jc w:val="both"/>
              <w:rPr>
                <w:rFonts w:ascii="Arial" w:hAnsi="Arial" w:cs="Arial"/>
                <w:b/>
                <w:sz w:val="22"/>
                <w:szCs w:val="22"/>
              </w:rPr>
            </w:pPr>
            <w:r w:rsidRPr="0071147B">
              <w:rPr>
                <w:rFonts w:ascii="Arial" w:hAnsi="Arial" w:cs="Arial"/>
                <w:b/>
                <w:sz w:val="22"/>
                <w:szCs w:val="22"/>
              </w:rPr>
              <w:t>Emission Unit/Flexible Group for CAM</w:t>
            </w:r>
          </w:p>
        </w:tc>
        <w:tc>
          <w:tcPr>
            <w:tcW w:w="957" w:type="dxa"/>
            <w:shd w:val="clear" w:color="auto" w:fill="D9D9D9"/>
          </w:tcPr>
          <w:p w14:paraId="3FF92FC2" w14:textId="77777777" w:rsidR="0071147B" w:rsidRPr="0071147B" w:rsidRDefault="0071147B" w:rsidP="0071147B">
            <w:pPr>
              <w:jc w:val="both"/>
              <w:rPr>
                <w:rFonts w:ascii="Arial" w:hAnsi="Arial" w:cs="Arial"/>
                <w:b/>
                <w:sz w:val="22"/>
                <w:szCs w:val="22"/>
              </w:rPr>
            </w:pPr>
            <w:r w:rsidRPr="0071147B">
              <w:rPr>
                <w:rFonts w:ascii="Arial" w:hAnsi="Arial" w:cs="Arial"/>
                <w:b/>
                <w:sz w:val="22"/>
                <w:szCs w:val="22"/>
              </w:rPr>
              <w:t>PAM? *</w:t>
            </w:r>
          </w:p>
        </w:tc>
      </w:tr>
      <w:tr w:rsidR="00D31514" w:rsidRPr="0071147B" w14:paraId="002CEAFD" w14:textId="77777777" w:rsidTr="00A508DA">
        <w:trPr>
          <w:trHeight w:val="1808"/>
        </w:trPr>
        <w:tc>
          <w:tcPr>
            <w:tcW w:w="1677" w:type="dxa"/>
            <w:vMerge w:val="restart"/>
            <w:shd w:val="clear" w:color="auto" w:fill="auto"/>
          </w:tcPr>
          <w:p w14:paraId="262D04A1" w14:textId="77777777" w:rsidR="00D31514" w:rsidRDefault="00D31514" w:rsidP="0071147B">
            <w:pPr>
              <w:jc w:val="both"/>
              <w:rPr>
                <w:rFonts w:ascii="Arial" w:hAnsi="Arial" w:cs="Arial"/>
                <w:sz w:val="22"/>
                <w:szCs w:val="22"/>
              </w:rPr>
            </w:pPr>
            <w:r>
              <w:rPr>
                <w:rFonts w:ascii="Arial" w:hAnsi="Arial" w:cs="Arial"/>
                <w:sz w:val="22"/>
                <w:szCs w:val="22"/>
              </w:rPr>
              <w:t xml:space="preserve">FG-BOILER_6,7 </w:t>
            </w:r>
          </w:p>
          <w:p w14:paraId="739B1047" w14:textId="3C9473D8" w:rsidR="00D31514" w:rsidRPr="0071147B" w:rsidRDefault="00D31514" w:rsidP="0071147B">
            <w:pPr>
              <w:jc w:val="both"/>
              <w:rPr>
                <w:rFonts w:ascii="Arial" w:hAnsi="Arial" w:cs="Arial"/>
                <w:sz w:val="22"/>
                <w:szCs w:val="22"/>
              </w:rPr>
            </w:pPr>
            <w:r>
              <w:rPr>
                <w:rFonts w:ascii="Arial" w:hAnsi="Arial" w:cs="Arial"/>
                <w:sz w:val="22"/>
                <w:szCs w:val="22"/>
              </w:rPr>
              <w:t>(</w:t>
            </w:r>
            <w:r w:rsidRPr="0071147B">
              <w:rPr>
                <w:rFonts w:ascii="Arial" w:hAnsi="Arial" w:cs="Arial"/>
                <w:sz w:val="22"/>
                <w:szCs w:val="22"/>
              </w:rPr>
              <w:t xml:space="preserve">EU-BOILER6 and </w:t>
            </w:r>
          </w:p>
          <w:p w14:paraId="1ECC76EB" w14:textId="32BA86DE" w:rsidR="00D31514" w:rsidRPr="0071147B" w:rsidRDefault="00D31514" w:rsidP="0071147B">
            <w:pPr>
              <w:jc w:val="both"/>
              <w:rPr>
                <w:rFonts w:ascii="Arial" w:hAnsi="Arial" w:cs="Arial"/>
                <w:sz w:val="22"/>
                <w:szCs w:val="22"/>
              </w:rPr>
            </w:pPr>
            <w:r w:rsidRPr="0071147B">
              <w:rPr>
                <w:rFonts w:ascii="Arial" w:hAnsi="Arial" w:cs="Arial"/>
                <w:sz w:val="22"/>
                <w:szCs w:val="22"/>
              </w:rPr>
              <w:t>EU-BOILER7</w:t>
            </w:r>
            <w:r>
              <w:rPr>
                <w:rFonts w:ascii="Arial" w:hAnsi="Arial" w:cs="Arial"/>
                <w:sz w:val="22"/>
                <w:szCs w:val="22"/>
              </w:rPr>
              <w:t>)</w:t>
            </w:r>
          </w:p>
        </w:tc>
        <w:tc>
          <w:tcPr>
            <w:tcW w:w="1260" w:type="dxa"/>
            <w:shd w:val="clear" w:color="auto" w:fill="auto"/>
          </w:tcPr>
          <w:p w14:paraId="24FAEA6B" w14:textId="55F3B397" w:rsidR="00D31514" w:rsidRPr="0071147B" w:rsidRDefault="00D31514" w:rsidP="0071147B">
            <w:pPr>
              <w:jc w:val="both"/>
              <w:rPr>
                <w:rFonts w:ascii="Arial" w:hAnsi="Arial" w:cs="Arial"/>
                <w:sz w:val="22"/>
                <w:szCs w:val="22"/>
              </w:rPr>
            </w:pPr>
            <w:r w:rsidRPr="0071147B">
              <w:rPr>
                <w:rFonts w:ascii="Arial" w:hAnsi="Arial" w:cs="Arial"/>
                <w:sz w:val="22"/>
                <w:szCs w:val="22"/>
              </w:rPr>
              <w:t>0.140 lb/MMBtu NO</w:t>
            </w:r>
            <w:r w:rsidRPr="0071147B">
              <w:rPr>
                <w:rFonts w:ascii="Arial" w:hAnsi="Arial" w:cs="Arial"/>
                <w:sz w:val="22"/>
                <w:szCs w:val="22"/>
                <w:vertAlign w:val="subscript"/>
              </w:rPr>
              <w:t>x</w:t>
            </w:r>
            <w:r w:rsidRPr="0071147B">
              <w:rPr>
                <w:rFonts w:ascii="Arial" w:hAnsi="Arial" w:cs="Arial"/>
                <w:sz w:val="22"/>
                <w:szCs w:val="22"/>
              </w:rPr>
              <w:t>, when burning 100% No 2 fuel oil</w:t>
            </w:r>
          </w:p>
        </w:tc>
        <w:tc>
          <w:tcPr>
            <w:tcW w:w="1473" w:type="dxa"/>
            <w:tcBorders>
              <w:left w:val="single" w:sz="4" w:space="0" w:color="auto"/>
              <w:right w:val="single" w:sz="4" w:space="0" w:color="auto"/>
            </w:tcBorders>
          </w:tcPr>
          <w:p w14:paraId="4A0E5A77" w14:textId="77777777" w:rsidR="00D31514" w:rsidRPr="00931443" w:rsidRDefault="00D31514" w:rsidP="00A508DA">
            <w:pPr>
              <w:rPr>
                <w:rFonts w:ascii="Arial" w:hAnsi="Arial" w:cs="Arial"/>
                <w:sz w:val="22"/>
                <w:szCs w:val="22"/>
              </w:rPr>
            </w:pPr>
            <w:r w:rsidRPr="00931443">
              <w:rPr>
                <w:rFonts w:ascii="Arial" w:hAnsi="Arial" w:cs="Arial"/>
                <w:sz w:val="22"/>
                <w:szCs w:val="22"/>
              </w:rPr>
              <w:t>R 336.1205,</w:t>
            </w:r>
          </w:p>
          <w:p w14:paraId="1724C346" w14:textId="23B16771" w:rsidR="00D31514" w:rsidRPr="0071147B" w:rsidRDefault="00D31514" w:rsidP="00A508DA">
            <w:pPr>
              <w:rPr>
                <w:rFonts w:ascii="Arial" w:hAnsi="Arial" w:cs="Arial"/>
                <w:sz w:val="22"/>
                <w:szCs w:val="22"/>
              </w:rPr>
            </w:pPr>
            <w:r w:rsidRPr="00931443">
              <w:rPr>
                <w:rFonts w:ascii="Arial" w:hAnsi="Arial" w:cs="Arial"/>
                <w:sz w:val="22"/>
                <w:szCs w:val="22"/>
              </w:rPr>
              <w:t>40 CFR 52.21(c) and (d); 40 CFR Part 60 Section 60.44b(a</w:t>
            </w:r>
            <w:r>
              <w:rPr>
                <w:rFonts w:ascii="Arial" w:hAnsi="Arial" w:cs="Arial"/>
                <w:sz w:val="22"/>
                <w:szCs w:val="22"/>
              </w:rPr>
              <w:t>)</w:t>
            </w:r>
          </w:p>
        </w:tc>
        <w:tc>
          <w:tcPr>
            <w:tcW w:w="1350" w:type="dxa"/>
            <w:vMerge w:val="restart"/>
            <w:shd w:val="clear" w:color="auto" w:fill="auto"/>
          </w:tcPr>
          <w:p w14:paraId="78640AAD" w14:textId="461443BC" w:rsidR="00D31514" w:rsidRPr="0071147B" w:rsidRDefault="00D31514" w:rsidP="00A508DA">
            <w:pPr>
              <w:rPr>
                <w:rFonts w:ascii="Arial" w:hAnsi="Arial" w:cs="Arial"/>
                <w:sz w:val="22"/>
                <w:szCs w:val="22"/>
              </w:rPr>
            </w:pPr>
            <w:r>
              <w:rPr>
                <w:rFonts w:ascii="Arial" w:hAnsi="Arial" w:cs="Arial"/>
                <w:sz w:val="22"/>
                <w:szCs w:val="22"/>
              </w:rPr>
              <w:t>F</w:t>
            </w:r>
            <w:r w:rsidRPr="0071147B">
              <w:rPr>
                <w:rFonts w:ascii="Arial" w:hAnsi="Arial" w:cs="Arial"/>
                <w:sz w:val="22"/>
                <w:szCs w:val="22"/>
              </w:rPr>
              <w:t>lue gas recirculation</w:t>
            </w:r>
          </w:p>
        </w:tc>
        <w:tc>
          <w:tcPr>
            <w:tcW w:w="2070" w:type="dxa"/>
            <w:vMerge w:val="restart"/>
            <w:shd w:val="clear" w:color="auto" w:fill="auto"/>
          </w:tcPr>
          <w:p w14:paraId="09F2FF07" w14:textId="73EDFD3F" w:rsidR="00D31514" w:rsidRPr="00931443" w:rsidRDefault="00D31514" w:rsidP="00A508DA">
            <w:pPr>
              <w:rPr>
                <w:rFonts w:ascii="Arial" w:hAnsi="Arial" w:cs="Arial"/>
                <w:sz w:val="22"/>
                <w:szCs w:val="22"/>
              </w:rPr>
            </w:pPr>
            <w:r w:rsidRPr="00931443">
              <w:rPr>
                <w:rFonts w:ascii="Arial" w:hAnsi="Arial" w:cs="Arial"/>
                <w:sz w:val="22"/>
                <w:szCs w:val="22"/>
              </w:rPr>
              <w:t>NO</w:t>
            </w:r>
            <w:r w:rsidRPr="00931443">
              <w:rPr>
                <w:rFonts w:ascii="Arial" w:hAnsi="Arial" w:cs="Arial"/>
                <w:sz w:val="22"/>
                <w:szCs w:val="22"/>
                <w:vertAlign w:val="subscript"/>
              </w:rPr>
              <w:t>x</w:t>
            </w:r>
            <w:r w:rsidRPr="00931443">
              <w:rPr>
                <w:rFonts w:ascii="Arial" w:hAnsi="Arial" w:cs="Arial"/>
                <w:sz w:val="22"/>
                <w:szCs w:val="22"/>
              </w:rPr>
              <w:t xml:space="preserve"> predictive emission monitoring system (PEMS)= 0.1</w:t>
            </w:r>
            <w:r>
              <w:rPr>
                <w:rFonts w:ascii="Arial" w:hAnsi="Arial" w:cs="Arial"/>
                <w:sz w:val="22"/>
                <w:szCs w:val="22"/>
              </w:rPr>
              <w:t>40</w:t>
            </w:r>
            <w:r w:rsidRPr="00931443">
              <w:rPr>
                <w:rFonts w:ascii="Arial" w:hAnsi="Arial" w:cs="Arial"/>
                <w:sz w:val="22"/>
                <w:szCs w:val="22"/>
              </w:rPr>
              <w:t xml:space="preserve"> MMBtu/hr on an hourly average</w:t>
            </w:r>
          </w:p>
          <w:p w14:paraId="34911A81" w14:textId="029EB42C" w:rsidR="00D31514" w:rsidRPr="0071147B" w:rsidRDefault="00D31514" w:rsidP="00A508DA">
            <w:pPr>
              <w:rPr>
                <w:rFonts w:ascii="Arial" w:hAnsi="Arial" w:cs="Arial"/>
                <w:sz w:val="22"/>
                <w:szCs w:val="22"/>
              </w:rPr>
            </w:pPr>
          </w:p>
        </w:tc>
        <w:tc>
          <w:tcPr>
            <w:tcW w:w="1530" w:type="dxa"/>
            <w:vMerge w:val="restart"/>
            <w:shd w:val="clear" w:color="auto" w:fill="auto"/>
          </w:tcPr>
          <w:p w14:paraId="3DB2A5A6" w14:textId="77777777" w:rsidR="00D31514" w:rsidRPr="0071147B" w:rsidRDefault="00D31514" w:rsidP="0071147B">
            <w:pPr>
              <w:jc w:val="both"/>
              <w:rPr>
                <w:rFonts w:ascii="Arial" w:hAnsi="Arial" w:cs="Arial"/>
                <w:sz w:val="22"/>
                <w:szCs w:val="22"/>
              </w:rPr>
            </w:pPr>
            <w:r w:rsidRPr="0071147B">
              <w:rPr>
                <w:rFonts w:ascii="Arial" w:hAnsi="Arial" w:cs="Arial"/>
                <w:sz w:val="22"/>
                <w:szCs w:val="22"/>
              </w:rPr>
              <w:t>FG-BOILERS_6,7</w:t>
            </w:r>
          </w:p>
        </w:tc>
        <w:tc>
          <w:tcPr>
            <w:tcW w:w="957" w:type="dxa"/>
            <w:vMerge w:val="restart"/>
            <w:shd w:val="clear" w:color="auto" w:fill="auto"/>
          </w:tcPr>
          <w:p w14:paraId="0989A288" w14:textId="4CB3E761" w:rsidR="00D31514" w:rsidRPr="0071147B" w:rsidRDefault="00D31514" w:rsidP="0071147B">
            <w:pPr>
              <w:jc w:val="both"/>
              <w:rPr>
                <w:rFonts w:ascii="Arial" w:hAnsi="Arial" w:cs="Arial"/>
                <w:sz w:val="22"/>
                <w:szCs w:val="22"/>
              </w:rPr>
            </w:pPr>
            <w:r>
              <w:rPr>
                <w:rFonts w:ascii="Arial" w:hAnsi="Arial" w:cs="Arial"/>
                <w:sz w:val="22"/>
                <w:szCs w:val="22"/>
              </w:rPr>
              <w:t>No</w:t>
            </w:r>
          </w:p>
        </w:tc>
      </w:tr>
      <w:tr w:rsidR="0071147B" w:rsidRPr="0071147B" w14:paraId="322EC06D" w14:textId="77777777" w:rsidTr="009558FB">
        <w:trPr>
          <w:trHeight w:val="684"/>
        </w:trPr>
        <w:tc>
          <w:tcPr>
            <w:tcW w:w="1677" w:type="dxa"/>
            <w:vMerge/>
            <w:shd w:val="clear" w:color="auto" w:fill="auto"/>
          </w:tcPr>
          <w:p w14:paraId="3E9E5E5E" w14:textId="77777777" w:rsidR="0071147B" w:rsidRPr="0071147B" w:rsidRDefault="0071147B" w:rsidP="0071147B">
            <w:pPr>
              <w:jc w:val="both"/>
              <w:rPr>
                <w:rFonts w:ascii="Arial" w:hAnsi="Arial" w:cs="Arial"/>
                <w:sz w:val="22"/>
                <w:szCs w:val="22"/>
              </w:rPr>
            </w:pPr>
          </w:p>
        </w:tc>
        <w:tc>
          <w:tcPr>
            <w:tcW w:w="1260" w:type="dxa"/>
            <w:shd w:val="clear" w:color="auto" w:fill="auto"/>
          </w:tcPr>
          <w:p w14:paraId="5C97172F" w14:textId="77777777" w:rsidR="0071147B" w:rsidRPr="0071147B" w:rsidRDefault="0071147B" w:rsidP="0071147B">
            <w:pPr>
              <w:jc w:val="both"/>
              <w:rPr>
                <w:rFonts w:ascii="Arial" w:hAnsi="Arial" w:cs="Arial"/>
                <w:sz w:val="22"/>
                <w:szCs w:val="22"/>
              </w:rPr>
            </w:pPr>
            <w:r w:rsidRPr="0071147B">
              <w:rPr>
                <w:rFonts w:ascii="Arial" w:hAnsi="Arial" w:cs="Arial"/>
                <w:sz w:val="22"/>
                <w:szCs w:val="22"/>
              </w:rPr>
              <w:t>76.4 lb/hour NO</w:t>
            </w:r>
            <w:r w:rsidRPr="0071147B">
              <w:rPr>
                <w:rFonts w:ascii="Arial" w:hAnsi="Arial" w:cs="Arial"/>
                <w:sz w:val="22"/>
                <w:szCs w:val="22"/>
                <w:vertAlign w:val="subscript"/>
              </w:rPr>
              <w:t>x</w:t>
            </w:r>
          </w:p>
        </w:tc>
        <w:tc>
          <w:tcPr>
            <w:tcW w:w="1473" w:type="dxa"/>
            <w:tcBorders>
              <w:left w:val="single" w:sz="4" w:space="0" w:color="auto"/>
              <w:right w:val="single" w:sz="4" w:space="0" w:color="auto"/>
            </w:tcBorders>
          </w:tcPr>
          <w:p w14:paraId="00310C17" w14:textId="77777777" w:rsidR="00931443" w:rsidRPr="00931443" w:rsidRDefault="00931443" w:rsidP="00A508DA">
            <w:pPr>
              <w:rPr>
                <w:rFonts w:ascii="Arial" w:hAnsi="Arial" w:cs="Arial"/>
                <w:sz w:val="22"/>
                <w:szCs w:val="22"/>
              </w:rPr>
            </w:pPr>
            <w:r w:rsidRPr="00931443">
              <w:rPr>
                <w:rFonts w:ascii="Arial" w:hAnsi="Arial" w:cs="Arial"/>
                <w:sz w:val="22"/>
                <w:szCs w:val="22"/>
              </w:rPr>
              <w:t>R 336.1205;</w:t>
            </w:r>
          </w:p>
          <w:p w14:paraId="2B615A84" w14:textId="74A98FC4" w:rsidR="0071147B" w:rsidRPr="0071147B" w:rsidRDefault="00931443" w:rsidP="00A508DA">
            <w:pPr>
              <w:rPr>
                <w:rFonts w:ascii="Arial" w:hAnsi="Arial" w:cs="Arial"/>
                <w:sz w:val="22"/>
                <w:szCs w:val="22"/>
              </w:rPr>
            </w:pPr>
            <w:r w:rsidRPr="00931443">
              <w:rPr>
                <w:rFonts w:ascii="Arial" w:hAnsi="Arial" w:cs="Arial"/>
                <w:sz w:val="22"/>
                <w:szCs w:val="22"/>
              </w:rPr>
              <w:t>40 CFR 52.21(c) and (d)</w:t>
            </w:r>
          </w:p>
        </w:tc>
        <w:tc>
          <w:tcPr>
            <w:tcW w:w="1350" w:type="dxa"/>
            <w:vMerge/>
            <w:shd w:val="clear" w:color="auto" w:fill="auto"/>
          </w:tcPr>
          <w:p w14:paraId="50DA37C5" w14:textId="77777777" w:rsidR="0071147B" w:rsidRPr="0071147B" w:rsidRDefault="0071147B" w:rsidP="0071147B">
            <w:pPr>
              <w:jc w:val="both"/>
              <w:rPr>
                <w:rFonts w:ascii="Arial" w:hAnsi="Arial" w:cs="Arial"/>
                <w:sz w:val="22"/>
                <w:szCs w:val="22"/>
              </w:rPr>
            </w:pPr>
          </w:p>
        </w:tc>
        <w:tc>
          <w:tcPr>
            <w:tcW w:w="2070" w:type="dxa"/>
            <w:vMerge/>
            <w:shd w:val="clear" w:color="auto" w:fill="auto"/>
          </w:tcPr>
          <w:p w14:paraId="5E9A54C9" w14:textId="77777777" w:rsidR="0071147B" w:rsidRPr="0071147B" w:rsidRDefault="0071147B" w:rsidP="0071147B">
            <w:pPr>
              <w:jc w:val="both"/>
              <w:rPr>
                <w:rFonts w:ascii="Arial" w:hAnsi="Arial" w:cs="Arial"/>
                <w:sz w:val="22"/>
                <w:szCs w:val="22"/>
              </w:rPr>
            </w:pPr>
          </w:p>
        </w:tc>
        <w:tc>
          <w:tcPr>
            <w:tcW w:w="1530" w:type="dxa"/>
            <w:vMerge/>
            <w:shd w:val="clear" w:color="auto" w:fill="auto"/>
          </w:tcPr>
          <w:p w14:paraId="61B38327" w14:textId="77777777" w:rsidR="0071147B" w:rsidRPr="0071147B" w:rsidRDefault="0071147B" w:rsidP="0071147B">
            <w:pPr>
              <w:jc w:val="both"/>
              <w:rPr>
                <w:rFonts w:ascii="Arial" w:hAnsi="Arial" w:cs="Arial"/>
                <w:sz w:val="22"/>
                <w:szCs w:val="22"/>
              </w:rPr>
            </w:pPr>
          </w:p>
        </w:tc>
        <w:tc>
          <w:tcPr>
            <w:tcW w:w="957" w:type="dxa"/>
            <w:vMerge/>
            <w:shd w:val="clear" w:color="auto" w:fill="auto"/>
          </w:tcPr>
          <w:p w14:paraId="3EBB4ABB" w14:textId="77777777" w:rsidR="0071147B" w:rsidRPr="0071147B" w:rsidRDefault="0071147B" w:rsidP="0071147B">
            <w:pPr>
              <w:jc w:val="both"/>
              <w:rPr>
                <w:rFonts w:ascii="Arial" w:hAnsi="Arial" w:cs="Arial"/>
                <w:sz w:val="22"/>
                <w:szCs w:val="22"/>
              </w:rPr>
            </w:pPr>
          </w:p>
        </w:tc>
      </w:tr>
      <w:tr w:rsidR="0071147B" w:rsidRPr="0071147B" w14:paraId="1F813854" w14:textId="77777777" w:rsidTr="009558FB">
        <w:trPr>
          <w:trHeight w:val="684"/>
        </w:trPr>
        <w:tc>
          <w:tcPr>
            <w:tcW w:w="1677" w:type="dxa"/>
            <w:vMerge/>
            <w:shd w:val="clear" w:color="auto" w:fill="auto"/>
          </w:tcPr>
          <w:p w14:paraId="4698DCEE" w14:textId="77777777" w:rsidR="0071147B" w:rsidRPr="0071147B" w:rsidRDefault="0071147B" w:rsidP="0071147B">
            <w:pPr>
              <w:jc w:val="both"/>
              <w:rPr>
                <w:rFonts w:ascii="Arial" w:hAnsi="Arial" w:cs="Arial"/>
                <w:sz w:val="22"/>
                <w:szCs w:val="22"/>
              </w:rPr>
            </w:pPr>
          </w:p>
        </w:tc>
        <w:tc>
          <w:tcPr>
            <w:tcW w:w="1260" w:type="dxa"/>
            <w:shd w:val="clear" w:color="auto" w:fill="auto"/>
          </w:tcPr>
          <w:p w14:paraId="71606D4D" w14:textId="77777777" w:rsidR="0071147B" w:rsidRPr="0071147B" w:rsidRDefault="0071147B" w:rsidP="0071147B">
            <w:pPr>
              <w:jc w:val="both"/>
              <w:rPr>
                <w:rFonts w:ascii="Arial" w:hAnsi="Arial" w:cs="Arial"/>
                <w:sz w:val="22"/>
                <w:szCs w:val="22"/>
              </w:rPr>
            </w:pPr>
            <w:r w:rsidRPr="0071147B">
              <w:rPr>
                <w:rFonts w:ascii="Arial" w:hAnsi="Arial" w:cs="Arial"/>
                <w:sz w:val="22"/>
                <w:szCs w:val="22"/>
              </w:rPr>
              <w:t>155.3 tons/yr NO</w:t>
            </w:r>
            <w:r w:rsidRPr="0071147B">
              <w:rPr>
                <w:rFonts w:ascii="Arial" w:hAnsi="Arial" w:cs="Arial"/>
                <w:sz w:val="22"/>
                <w:szCs w:val="22"/>
                <w:vertAlign w:val="subscript"/>
              </w:rPr>
              <w:t>x</w:t>
            </w:r>
          </w:p>
        </w:tc>
        <w:tc>
          <w:tcPr>
            <w:tcW w:w="1473" w:type="dxa"/>
            <w:tcBorders>
              <w:left w:val="single" w:sz="4" w:space="0" w:color="auto"/>
              <w:bottom w:val="double" w:sz="4" w:space="0" w:color="auto"/>
              <w:right w:val="single" w:sz="4" w:space="0" w:color="auto"/>
            </w:tcBorders>
          </w:tcPr>
          <w:p w14:paraId="422968F2" w14:textId="77777777" w:rsidR="00931443" w:rsidRPr="00931443" w:rsidRDefault="00931443" w:rsidP="00A508DA">
            <w:pPr>
              <w:rPr>
                <w:rFonts w:ascii="Arial" w:hAnsi="Arial" w:cs="Arial"/>
                <w:sz w:val="22"/>
                <w:szCs w:val="22"/>
              </w:rPr>
            </w:pPr>
            <w:r w:rsidRPr="00931443">
              <w:rPr>
                <w:rFonts w:ascii="Arial" w:hAnsi="Arial" w:cs="Arial"/>
                <w:sz w:val="22"/>
                <w:szCs w:val="22"/>
              </w:rPr>
              <w:t>R 336.1205;</w:t>
            </w:r>
          </w:p>
          <w:p w14:paraId="1B4E10D2" w14:textId="49ABDABD" w:rsidR="0071147B" w:rsidRPr="0071147B" w:rsidRDefault="00931443" w:rsidP="00A508DA">
            <w:pPr>
              <w:rPr>
                <w:rFonts w:ascii="Arial" w:hAnsi="Arial" w:cs="Arial"/>
                <w:sz w:val="22"/>
                <w:szCs w:val="22"/>
              </w:rPr>
            </w:pPr>
            <w:r w:rsidRPr="00931443">
              <w:rPr>
                <w:rFonts w:ascii="Arial" w:hAnsi="Arial" w:cs="Arial"/>
                <w:sz w:val="22"/>
                <w:szCs w:val="22"/>
              </w:rPr>
              <w:t>40 CFR 52.21(c) and (d)</w:t>
            </w:r>
          </w:p>
        </w:tc>
        <w:tc>
          <w:tcPr>
            <w:tcW w:w="1350" w:type="dxa"/>
            <w:vMerge/>
            <w:shd w:val="clear" w:color="auto" w:fill="auto"/>
          </w:tcPr>
          <w:p w14:paraId="1CE806DB" w14:textId="77777777" w:rsidR="0071147B" w:rsidRPr="0071147B" w:rsidRDefault="0071147B" w:rsidP="0071147B">
            <w:pPr>
              <w:jc w:val="both"/>
              <w:rPr>
                <w:rFonts w:ascii="Arial" w:hAnsi="Arial" w:cs="Arial"/>
                <w:sz w:val="22"/>
                <w:szCs w:val="22"/>
              </w:rPr>
            </w:pPr>
          </w:p>
        </w:tc>
        <w:tc>
          <w:tcPr>
            <w:tcW w:w="2070" w:type="dxa"/>
            <w:vMerge/>
            <w:shd w:val="clear" w:color="auto" w:fill="auto"/>
          </w:tcPr>
          <w:p w14:paraId="0C5BCCBD" w14:textId="77777777" w:rsidR="0071147B" w:rsidRPr="0071147B" w:rsidRDefault="0071147B" w:rsidP="0071147B">
            <w:pPr>
              <w:jc w:val="both"/>
              <w:rPr>
                <w:rFonts w:ascii="Arial" w:hAnsi="Arial" w:cs="Arial"/>
                <w:sz w:val="22"/>
                <w:szCs w:val="22"/>
              </w:rPr>
            </w:pPr>
          </w:p>
        </w:tc>
        <w:tc>
          <w:tcPr>
            <w:tcW w:w="1530" w:type="dxa"/>
            <w:vMerge/>
            <w:shd w:val="clear" w:color="auto" w:fill="auto"/>
          </w:tcPr>
          <w:p w14:paraId="38CA2595" w14:textId="77777777" w:rsidR="0071147B" w:rsidRPr="0071147B" w:rsidRDefault="0071147B" w:rsidP="0071147B">
            <w:pPr>
              <w:jc w:val="both"/>
              <w:rPr>
                <w:rFonts w:ascii="Arial" w:hAnsi="Arial" w:cs="Arial"/>
                <w:sz w:val="22"/>
                <w:szCs w:val="22"/>
              </w:rPr>
            </w:pPr>
          </w:p>
        </w:tc>
        <w:tc>
          <w:tcPr>
            <w:tcW w:w="957" w:type="dxa"/>
            <w:vMerge/>
            <w:shd w:val="clear" w:color="auto" w:fill="auto"/>
          </w:tcPr>
          <w:p w14:paraId="3E10A470" w14:textId="77777777" w:rsidR="0071147B" w:rsidRPr="0071147B" w:rsidRDefault="0071147B" w:rsidP="0071147B">
            <w:pPr>
              <w:jc w:val="both"/>
              <w:rPr>
                <w:rFonts w:ascii="Arial" w:hAnsi="Arial" w:cs="Arial"/>
                <w:sz w:val="22"/>
                <w:szCs w:val="22"/>
              </w:rPr>
            </w:pPr>
          </w:p>
        </w:tc>
      </w:tr>
    </w:tbl>
    <w:p w14:paraId="6264D27D" w14:textId="6112AB53" w:rsidR="0071147B" w:rsidRPr="00427377" w:rsidRDefault="0071147B" w:rsidP="004A02CE">
      <w:pPr>
        <w:jc w:val="both"/>
        <w:rPr>
          <w:rFonts w:ascii="Arial" w:hAnsi="Arial" w:cs="Arial"/>
          <w:sz w:val="22"/>
          <w:szCs w:val="22"/>
        </w:rPr>
      </w:pPr>
      <w:r w:rsidRPr="0071147B">
        <w:rPr>
          <w:rFonts w:ascii="Arial" w:hAnsi="Arial" w:cs="Arial"/>
          <w:sz w:val="22"/>
          <w:szCs w:val="22"/>
        </w:rPr>
        <w:t>*Presumptively Acceptable Monitoring (PAM)</w:t>
      </w:r>
    </w:p>
    <w:p w14:paraId="24B9DBBB" w14:textId="77777777" w:rsidR="00BD6A06" w:rsidRPr="0071147B" w:rsidRDefault="00BD6A06" w:rsidP="00BD6A06">
      <w:pPr>
        <w:jc w:val="both"/>
        <w:rPr>
          <w:rFonts w:ascii="Arial" w:hAnsi="Arial" w:cs="Arial"/>
          <w:sz w:val="22"/>
          <w:szCs w:val="22"/>
        </w:rPr>
      </w:pPr>
    </w:p>
    <w:p w14:paraId="092F4C76" w14:textId="207FFC3E" w:rsidR="00BD6A06" w:rsidRPr="00931443" w:rsidRDefault="00BD6A06" w:rsidP="00BD6A06">
      <w:pPr>
        <w:jc w:val="both"/>
        <w:rPr>
          <w:rFonts w:ascii="Arial" w:hAnsi="Arial" w:cs="Arial"/>
          <w:sz w:val="22"/>
          <w:szCs w:val="22"/>
        </w:rPr>
      </w:pPr>
      <w:r w:rsidRPr="00931443">
        <w:rPr>
          <w:rFonts w:ascii="Arial" w:hAnsi="Arial" w:cs="Arial"/>
          <w:sz w:val="22"/>
          <w:szCs w:val="22"/>
        </w:rPr>
        <w:t>The flexible group FG-BOILER_6,7 contains four emission limits for NO</w:t>
      </w:r>
      <w:r w:rsidRPr="00931443">
        <w:rPr>
          <w:rFonts w:ascii="Arial" w:hAnsi="Arial" w:cs="Arial"/>
          <w:sz w:val="22"/>
          <w:szCs w:val="22"/>
          <w:vertAlign w:val="subscript"/>
        </w:rPr>
        <w:t>x</w:t>
      </w:r>
      <w:r w:rsidRPr="00931443">
        <w:rPr>
          <w:rFonts w:ascii="Arial" w:hAnsi="Arial" w:cs="Arial"/>
          <w:sz w:val="22"/>
          <w:szCs w:val="22"/>
        </w:rPr>
        <w:t>.  Special Conditions (SCs) I.4 (while burning natural gas) and I.5 (while burning No. 2 fuel oil) apply to each boiler and SCs I.6 (lb/hr) and I.7 (TPY) apply collectively to both boilers.  The emission limit of 0.140 pounds NOx per MMBtu (SC I.5) while firing No. 2 fuel oil results in a potential to emit NO</w:t>
      </w:r>
      <w:r w:rsidRPr="00931443">
        <w:rPr>
          <w:rFonts w:ascii="Arial" w:hAnsi="Arial" w:cs="Arial"/>
          <w:sz w:val="22"/>
          <w:szCs w:val="22"/>
          <w:vertAlign w:val="subscript"/>
        </w:rPr>
        <w:t>x</w:t>
      </w:r>
      <w:r w:rsidRPr="00931443">
        <w:rPr>
          <w:rFonts w:ascii="Arial" w:hAnsi="Arial" w:cs="Arial"/>
          <w:sz w:val="22"/>
          <w:szCs w:val="22"/>
        </w:rPr>
        <w:t xml:space="preserve"> at a rate of 110 tons per year for each boiler, after controls.  And collectively, annual NO</w:t>
      </w:r>
      <w:r w:rsidRPr="00931443">
        <w:rPr>
          <w:rFonts w:ascii="Arial" w:hAnsi="Arial" w:cs="Arial"/>
          <w:sz w:val="22"/>
          <w:szCs w:val="22"/>
          <w:vertAlign w:val="subscript"/>
        </w:rPr>
        <w:t>x</w:t>
      </w:r>
      <w:r w:rsidRPr="00931443">
        <w:rPr>
          <w:rFonts w:ascii="Arial" w:hAnsi="Arial" w:cs="Arial"/>
          <w:sz w:val="22"/>
          <w:szCs w:val="22"/>
        </w:rPr>
        <w:t xml:space="preserve"> emissions are limited to 155.3 tons per year, after controls (SC I.7).  Therefore, whether considering a PSEU that encompasses an individual boiler or a PSEU encompassing both boilers, that PSEU has a potential to emit of NO</w:t>
      </w:r>
      <w:r w:rsidRPr="00931443">
        <w:rPr>
          <w:rFonts w:ascii="Arial" w:hAnsi="Arial" w:cs="Arial"/>
          <w:sz w:val="22"/>
          <w:szCs w:val="22"/>
          <w:vertAlign w:val="subscript"/>
        </w:rPr>
        <w:t>x</w:t>
      </w:r>
      <w:r w:rsidRPr="00931443">
        <w:rPr>
          <w:rFonts w:ascii="Arial" w:hAnsi="Arial" w:cs="Arial"/>
          <w:sz w:val="22"/>
          <w:szCs w:val="22"/>
        </w:rPr>
        <w:t xml:space="preserve"> greater than the major source threshold of 100 tons per year and CAM applies to </w:t>
      </w:r>
      <w:r w:rsidR="00A95181">
        <w:rPr>
          <w:rFonts w:ascii="Arial" w:hAnsi="Arial" w:cs="Arial"/>
          <w:sz w:val="22"/>
          <w:szCs w:val="22"/>
        </w:rPr>
        <w:t>the NOx emission limitations while burning No. 2 fuel oil. The pre-control NOx emissions while burning natural gas (SC I.4) are below the major source threshold.</w:t>
      </w:r>
    </w:p>
    <w:p w14:paraId="50B4B81C" w14:textId="6DFD2E92" w:rsidR="000F73C3" w:rsidRDefault="000F73C3" w:rsidP="004A02CE">
      <w:pPr>
        <w:jc w:val="both"/>
        <w:rPr>
          <w:rFonts w:ascii="Arial" w:hAnsi="Arial" w:cs="Arial"/>
          <w:sz w:val="22"/>
          <w:szCs w:val="22"/>
        </w:rPr>
      </w:pPr>
    </w:p>
    <w:p w14:paraId="7450BFA7" w14:textId="3E2C924E" w:rsidR="00931443" w:rsidRPr="00931443" w:rsidRDefault="00931443" w:rsidP="00931443">
      <w:pPr>
        <w:jc w:val="both"/>
        <w:rPr>
          <w:rFonts w:ascii="Arial" w:hAnsi="Arial" w:cs="Arial"/>
          <w:sz w:val="22"/>
          <w:szCs w:val="22"/>
        </w:rPr>
      </w:pPr>
      <w:r w:rsidRPr="00931443">
        <w:rPr>
          <w:rFonts w:ascii="Arial" w:hAnsi="Arial" w:cs="Arial"/>
          <w:sz w:val="22"/>
          <w:szCs w:val="22"/>
        </w:rPr>
        <w:t>Boilers 6 and 7</w:t>
      </w:r>
      <w:r w:rsidR="00A95181">
        <w:rPr>
          <w:rFonts w:ascii="Arial" w:hAnsi="Arial" w:cs="Arial"/>
          <w:sz w:val="22"/>
          <w:szCs w:val="22"/>
        </w:rPr>
        <w:t>, each having a heat input capacity less than 250 MMBtu/hr,</w:t>
      </w:r>
      <w:r w:rsidRPr="00931443">
        <w:rPr>
          <w:rFonts w:ascii="Arial" w:hAnsi="Arial" w:cs="Arial"/>
          <w:sz w:val="22"/>
          <w:szCs w:val="22"/>
        </w:rPr>
        <w:t xml:space="preserve"> are subject to 40 CFR 60 Subpart Db-Standards of Performance for Industrial-Commercial-Institutional Steam Generating Units. </w:t>
      </w:r>
      <w:r w:rsidR="00A95181">
        <w:rPr>
          <w:rFonts w:ascii="Arial" w:hAnsi="Arial" w:cs="Arial"/>
          <w:sz w:val="22"/>
          <w:szCs w:val="22"/>
        </w:rPr>
        <w:t>Under NSPS Db, t</w:t>
      </w:r>
      <w:r w:rsidRPr="00931443">
        <w:rPr>
          <w:rFonts w:ascii="Arial" w:hAnsi="Arial" w:cs="Arial"/>
          <w:sz w:val="22"/>
          <w:szCs w:val="22"/>
        </w:rPr>
        <w:t xml:space="preserve">he permittee is required to install, certify, maintain, and operate continuous emissions monitoring systems (CEMS) to determine hourly NOx emission rates in parts per million (PPM) or pounds per million British thermal units (Lb./MMBtu). Per 40 CFR 60.49b(c), the permittee has elected to install, certify, maintain and operate Predictive Emissions Monitoring Systems (PEMS) in lieu of CEMS and submitted “Alternative Monitoring Protocol Predictive Emissions Monitoring Systems for Natural Gas-Fired Boiler No. 6 (EU-BOILER6) Natural Gas-Fired Boiler No. 7 (EU-BOILER7)”. A PEMS is installed on each boiler.  Each PEMS was commissioned and certified following the procedures in 40 CFR 60, Appendix B, </w:t>
      </w:r>
      <w:r w:rsidRPr="00931443">
        <w:rPr>
          <w:rFonts w:ascii="Arial" w:hAnsi="Arial" w:cs="Arial"/>
          <w:sz w:val="22"/>
          <w:szCs w:val="22"/>
        </w:rPr>
        <w:lastRenderedPageBreak/>
        <w:t>Performance Specification 16, Specifications and Test Procedures for Predictive Emission Monitoring Systems in Stationary Sources.  The Alternative Monitoring Protocol PEMS for Boilers 6 and 7 (AMP Cherokee, 2016) provides additional details with regard to the PEMS.</w:t>
      </w:r>
    </w:p>
    <w:p w14:paraId="2FE8A6BD" w14:textId="77777777" w:rsidR="00BD6A06" w:rsidRPr="0071147B" w:rsidRDefault="00BD6A06" w:rsidP="00BD6A06">
      <w:pPr>
        <w:jc w:val="both"/>
        <w:rPr>
          <w:rFonts w:ascii="Arial" w:hAnsi="Arial" w:cs="Arial"/>
          <w:sz w:val="22"/>
          <w:szCs w:val="22"/>
        </w:rPr>
      </w:pPr>
    </w:p>
    <w:p w14:paraId="0B516F7D" w14:textId="64958E17" w:rsidR="00BD6A06" w:rsidRPr="0071147B" w:rsidRDefault="00BD6A06" w:rsidP="00BD6A06">
      <w:pPr>
        <w:jc w:val="both"/>
        <w:rPr>
          <w:rFonts w:ascii="Arial" w:hAnsi="Arial" w:cs="Arial"/>
          <w:sz w:val="22"/>
          <w:szCs w:val="22"/>
        </w:rPr>
      </w:pPr>
      <w:r w:rsidRPr="0071147B">
        <w:rPr>
          <w:rFonts w:ascii="Arial" w:hAnsi="Arial" w:cs="Arial"/>
          <w:sz w:val="22"/>
          <w:szCs w:val="22"/>
        </w:rPr>
        <w:t xml:space="preserve">PEMS that are required </w:t>
      </w:r>
      <w:r w:rsidR="00A56568">
        <w:rPr>
          <w:rFonts w:ascii="Arial" w:hAnsi="Arial" w:cs="Arial"/>
          <w:sz w:val="22"/>
          <w:szCs w:val="22"/>
        </w:rPr>
        <w:t>pursuant to</w:t>
      </w:r>
      <w:r w:rsidRPr="0071147B">
        <w:rPr>
          <w:rFonts w:ascii="Arial" w:hAnsi="Arial" w:cs="Arial"/>
          <w:sz w:val="22"/>
          <w:szCs w:val="22"/>
        </w:rPr>
        <w:t xml:space="preserve"> other authorit</w:t>
      </w:r>
      <w:r w:rsidR="00A56568">
        <w:rPr>
          <w:rFonts w:ascii="Arial" w:hAnsi="Arial" w:cs="Arial"/>
          <w:sz w:val="22"/>
          <w:szCs w:val="22"/>
        </w:rPr>
        <w:t>y</w:t>
      </w:r>
      <w:r w:rsidRPr="0071147B">
        <w:rPr>
          <w:rFonts w:ascii="Arial" w:hAnsi="Arial" w:cs="Arial"/>
          <w:sz w:val="22"/>
          <w:szCs w:val="22"/>
        </w:rPr>
        <w:t xml:space="preserve"> under the Clean Air Act, such as the NSPS Db, satisfy CAM (40 CFR 64.3(d)(1)) and PEMS that are required to meet applicable provisions within 40 CFR 60.13 are deemed to satisfy the general design </w:t>
      </w:r>
      <w:r w:rsidR="00620C70" w:rsidRPr="0071147B">
        <w:rPr>
          <w:rFonts w:ascii="Arial" w:hAnsi="Arial" w:cs="Arial"/>
          <w:sz w:val="22"/>
          <w:szCs w:val="22"/>
        </w:rPr>
        <w:t xml:space="preserve">criteria </w:t>
      </w:r>
      <w:r w:rsidR="00620C70">
        <w:rPr>
          <w:rFonts w:ascii="Arial" w:hAnsi="Arial" w:cs="Arial"/>
          <w:sz w:val="22"/>
          <w:szCs w:val="22"/>
        </w:rPr>
        <w:t>and</w:t>
      </w:r>
      <w:r w:rsidR="00A56568">
        <w:rPr>
          <w:rFonts w:ascii="Arial" w:hAnsi="Arial" w:cs="Arial"/>
          <w:sz w:val="22"/>
          <w:szCs w:val="22"/>
        </w:rPr>
        <w:t xml:space="preserve"> performance criteria </w:t>
      </w:r>
      <w:r w:rsidRPr="0071147B">
        <w:rPr>
          <w:rFonts w:ascii="Arial" w:hAnsi="Arial" w:cs="Arial"/>
          <w:sz w:val="22"/>
          <w:szCs w:val="22"/>
        </w:rPr>
        <w:t>of 40 CFR 64.3(a) and (b).  Pursuant to 40 CFR 64.3(b)(4)(ii) monitoring is required four times within an hour, matching the frequency stipulated within 40 CFR 60.13(e)(2).</w:t>
      </w:r>
    </w:p>
    <w:p w14:paraId="58D554E4" w14:textId="77777777" w:rsidR="00931443" w:rsidRPr="00931443" w:rsidRDefault="00931443" w:rsidP="00931443">
      <w:pPr>
        <w:jc w:val="both"/>
        <w:rPr>
          <w:rFonts w:ascii="Arial" w:hAnsi="Arial" w:cs="Arial"/>
          <w:sz w:val="22"/>
          <w:szCs w:val="22"/>
        </w:rPr>
      </w:pPr>
    </w:p>
    <w:p w14:paraId="1D3EA6AF" w14:textId="5878E1F8" w:rsidR="00931443" w:rsidRPr="00931443" w:rsidRDefault="00931443" w:rsidP="00931443">
      <w:pPr>
        <w:jc w:val="both"/>
        <w:rPr>
          <w:rFonts w:ascii="Arial" w:hAnsi="Arial" w:cs="Arial"/>
          <w:sz w:val="22"/>
          <w:szCs w:val="22"/>
        </w:rPr>
      </w:pPr>
      <w:r w:rsidRPr="00931443">
        <w:rPr>
          <w:rFonts w:ascii="Arial" w:hAnsi="Arial" w:cs="Arial"/>
          <w:sz w:val="22"/>
          <w:szCs w:val="22"/>
        </w:rPr>
        <w:t xml:space="preserve">As detailed in the </w:t>
      </w:r>
      <w:r w:rsidR="00AE3127">
        <w:rPr>
          <w:rFonts w:ascii="Arial" w:hAnsi="Arial" w:cs="Arial"/>
          <w:sz w:val="22"/>
          <w:szCs w:val="22"/>
        </w:rPr>
        <w:t xml:space="preserve">approved </w:t>
      </w:r>
      <w:r w:rsidRPr="00931443">
        <w:rPr>
          <w:rFonts w:ascii="Arial" w:hAnsi="Arial" w:cs="Arial"/>
          <w:sz w:val="22"/>
          <w:szCs w:val="22"/>
        </w:rPr>
        <w:t>Alternative Monitoring Protocol, the PEMS emissions model was developed for the entire</w:t>
      </w:r>
      <w:r w:rsidR="00BD6A06">
        <w:rPr>
          <w:rFonts w:ascii="Arial" w:hAnsi="Arial" w:cs="Arial"/>
          <w:sz w:val="22"/>
          <w:szCs w:val="22"/>
        </w:rPr>
        <w:t xml:space="preserve"> </w:t>
      </w:r>
      <w:r w:rsidRPr="00931443">
        <w:rPr>
          <w:rFonts w:ascii="Arial" w:hAnsi="Arial" w:cs="Arial"/>
          <w:sz w:val="22"/>
          <w:szCs w:val="22"/>
        </w:rPr>
        <w:t>design range of each boiler. CEMS data was collected over a four-day period for the boilers covering 35</w:t>
      </w:r>
      <w:r w:rsidR="00BD6A06">
        <w:rPr>
          <w:rFonts w:ascii="Arial" w:hAnsi="Arial" w:cs="Arial"/>
          <w:sz w:val="22"/>
          <w:szCs w:val="22"/>
        </w:rPr>
        <w:t xml:space="preserve"> </w:t>
      </w:r>
      <w:r w:rsidRPr="00931443">
        <w:rPr>
          <w:rFonts w:ascii="Arial" w:hAnsi="Arial" w:cs="Arial"/>
          <w:sz w:val="22"/>
          <w:szCs w:val="22"/>
        </w:rPr>
        <w:t>operating ranges (from 0% to 100% load) including periods of startup and shutdown. The sensor indicator</w:t>
      </w:r>
      <w:r w:rsidR="00BD6A06">
        <w:rPr>
          <w:rFonts w:ascii="Arial" w:hAnsi="Arial" w:cs="Arial"/>
          <w:sz w:val="22"/>
          <w:szCs w:val="22"/>
        </w:rPr>
        <w:t xml:space="preserve"> </w:t>
      </w:r>
      <w:r w:rsidRPr="00931443">
        <w:rPr>
          <w:rFonts w:ascii="Arial" w:hAnsi="Arial" w:cs="Arial"/>
          <w:sz w:val="22"/>
          <w:szCs w:val="22"/>
        </w:rPr>
        <w:t>ranges reflect the sensor readings over that load range.</w:t>
      </w:r>
    </w:p>
    <w:p w14:paraId="078D4B63" w14:textId="77777777" w:rsidR="00931443" w:rsidRPr="00931443" w:rsidRDefault="00931443" w:rsidP="00931443">
      <w:pPr>
        <w:jc w:val="both"/>
        <w:rPr>
          <w:rFonts w:ascii="Arial" w:hAnsi="Arial" w:cs="Arial"/>
          <w:sz w:val="22"/>
          <w:szCs w:val="22"/>
        </w:rPr>
      </w:pPr>
    </w:p>
    <w:p w14:paraId="4007F5C5" w14:textId="77777777" w:rsidR="000F73C3" w:rsidRDefault="000F73C3" w:rsidP="004A02CE">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C6C5A1D" w14:textId="77777777" w:rsidR="000F73C3" w:rsidRDefault="000F73C3" w:rsidP="000F73C3">
      <w:pPr>
        <w:jc w:val="both"/>
        <w:rPr>
          <w:rFonts w:ascii="Arial" w:hAnsi="Arial" w:cs="Arial"/>
          <w:sz w:val="22"/>
          <w:szCs w:val="22"/>
        </w:rPr>
      </w:pPr>
    </w:p>
    <w:p w14:paraId="33C9D25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09647B6" w14:textId="77777777" w:rsidR="000F73C3" w:rsidRPr="00290754" w:rsidRDefault="000F73C3" w:rsidP="000F73C3">
      <w:pPr>
        <w:jc w:val="both"/>
        <w:rPr>
          <w:rFonts w:ascii="Arial" w:hAnsi="Arial" w:cs="Arial"/>
          <w:sz w:val="22"/>
          <w:szCs w:val="22"/>
        </w:rPr>
      </w:pPr>
    </w:p>
    <w:p w14:paraId="004A0C9A"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3F5F3D1" w14:textId="77777777" w:rsidR="002B11E3" w:rsidRPr="00BC4F1E" w:rsidRDefault="002B11E3" w:rsidP="000F73C3">
      <w:pPr>
        <w:jc w:val="both"/>
        <w:rPr>
          <w:rFonts w:ascii="Arial" w:hAnsi="Arial" w:cs="Arial"/>
          <w:sz w:val="22"/>
          <w:szCs w:val="22"/>
        </w:rPr>
      </w:pPr>
    </w:p>
    <w:p w14:paraId="0D975792" w14:textId="0484F5DB"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4A02CE" w:rsidRPr="004A02CE">
        <w:rPr>
          <w:rFonts w:ascii="Arial" w:hAnsi="Arial" w:cs="Arial"/>
          <w:bCs/>
          <w:sz w:val="22"/>
        </w:rPr>
        <w:t>MI-ROP-B2814-2014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20729D3" w14:textId="77777777" w:rsidR="000F73C3" w:rsidRPr="00290754" w:rsidRDefault="000F73C3" w:rsidP="000F73C3">
      <w:pPr>
        <w:jc w:val="both"/>
        <w:rPr>
          <w:rFonts w:ascii="Arial" w:hAnsi="Arial" w:cs="Arial"/>
          <w:sz w:val="22"/>
          <w:szCs w:val="22"/>
        </w:rPr>
      </w:pPr>
    </w:p>
    <w:tbl>
      <w:tblPr>
        <w:tblW w:w="10293" w:type="dxa"/>
        <w:tblInd w:w="7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98"/>
        <w:gridCol w:w="2565"/>
        <w:gridCol w:w="2565"/>
        <w:gridCol w:w="2565"/>
      </w:tblGrid>
      <w:tr w:rsidR="000F73C3" w:rsidRPr="00290754" w14:paraId="0621DFD5" w14:textId="77777777" w:rsidTr="004A02CE">
        <w:trPr>
          <w:tblHeader/>
        </w:trPr>
        <w:tc>
          <w:tcPr>
            <w:tcW w:w="10293" w:type="dxa"/>
            <w:gridSpan w:val="4"/>
            <w:tcBorders>
              <w:top w:val="double" w:sz="4" w:space="0" w:color="auto"/>
              <w:left w:val="double" w:sz="4" w:space="0" w:color="auto"/>
              <w:bottom w:val="single" w:sz="4" w:space="0" w:color="auto"/>
              <w:right w:val="double" w:sz="4" w:space="0" w:color="auto"/>
            </w:tcBorders>
            <w:shd w:val="pct10" w:color="auto" w:fill="auto"/>
          </w:tcPr>
          <w:p w14:paraId="67DC367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C6BBF5C" w14:textId="77777777" w:rsidTr="004A02CE">
        <w:tc>
          <w:tcPr>
            <w:tcW w:w="2598" w:type="dxa"/>
            <w:tcBorders>
              <w:top w:val="single" w:sz="4" w:space="0" w:color="auto"/>
              <w:left w:val="double" w:sz="4" w:space="0" w:color="auto"/>
            </w:tcBorders>
          </w:tcPr>
          <w:p w14:paraId="5C9490C5" w14:textId="067E4129" w:rsidR="000F73C3" w:rsidRPr="00290754" w:rsidRDefault="004A02CE" w:rsidP="00F478F0">
            <w:pPr>
              <w:rPr>
                <w:rFonts w:ascii="Arial" w:hAnsi="Arial" w:cs="Arial"/>
                <w:sz w:val="22"/>
                <w:szCs w:val="22"/>
              </w:rPr>
            </w:pPr>
            <w:r w:rsidRPr="004A02CE">
              <w:rPr>
                <w:rFonts w:ascii="Arial" w:hAnsi="Arial" w:cs="Arial"/>
                <w:sz w:val="22"/>
                <w:szCs w:val="22"/>
              </w:rPr>
              <w:t>284-74</w:t>
            </w:r>
          </w:p>
        </w:tc>
        <w:tc>
          <w:tcPr>
            <w:tcW w:w="2565" w:type="dxa"/>
            <w:tcBorders>
              <w:top w:val="single" w:sz="4" w:space="0" w:color="auto"/>
            </w:tcBorders>
          </w:tcPr>
          <w:p w14:paraId="4A82BDB7" w14:textId="574336F7" w:rsidR="000F73C3" w:rsidRPr="00290754" w:rsidRDefault="004A02CE" w:rsidP="00F478F0">
            <w:pPr>
              <w:rPr>
                <w:rFonts w:ascii="Arial" w:hAnsi="Arial" w:cs="Arial"/>
                <w:sz w:val="22"/>
                <w:szCs w:val="22"/>
              </w:rPr>
            </w:pPr>
            <w:r w:rsidRPr="004A02CE">
              <w:rPr>
                <w:rFonts w:ascii="Arial" w:hAnsi="Arial" w:cs="Arial"/>
                <w:sz w:val="22"/>
                <w:szCs w:val="22"/>
              </w:rPr>
              <w:t>128-75</w:t>
            </w:r>
          </w:p>
        </w:tc>
        <w:tc>
          <w:tcPr>
            <w:tcW w:w="2565" w:type="dxa"/>
            <w:tcBorders>
              <w:top w:val="single" w:sz="4" w:space="0" w:color="auto"/>
            </w:tcBorders>
          </w:tcPr>
          <w:p w14:paraId="14B501C1" w14:textId="1155D7B3" w:rsidR="000F73C3" w:rsidRPr="00290754" w:rsidRDefault="004A02CE" w:rsidP="00F478F0">
            <w:pPr>
              <w:rPr>
                <w:rFonts w:ascii="Arial" w:hAnsi="Arial" w:cs="Arial"/>
                <w:sz w:val="22"/>
                <w:szCs w:val="22"/>
              </w:rPr>
            </w:pPr>
            <w:r w:rsidRPr="004A02CE">
              <w:rPr>
                <w:rFonts w:ascii="Arial" w:hAnsi="Arial" w:cs="Arial"/>
                <w:sz w:val="22"/>
                <w:szCs w:val="22"/>
              </w:rPr>
              <w:t>63-05A</w:t>
            </w:r>
          </w:p>
        </w:tc>
        <w:tc>
          <w:tcPr>
            <w:tcW w:w="2565" w:type="dxa"/>
            <w:tcBorders>
              <w:top w:val="single" w:sz="4" w:space="0" w:color="auto"/>
              <w:right w:val="double" w:sz="4" w:space="0" w:color="auto"/>
            </w:tcBorders>
          </w:tcPr>
          <w:p w14:paraId="7F110EA5" w14:textId="2540A6E6" w:rsidR="000F73C3" w:rsidRPr="00290754" w:rsidRDefault="000F73C3" w:rsidP="00F478F0">
            <w:pPr>
              <w:rPr>
                <w:rFonts w:ascii="Arial" w:hAnsi="Arial" w:cs="Arial"/>
                <w:sz w:val="22"/>
                <w:szCs w:val="22"/>
              </w:rPr>
            </w:pPr>
          </w:p>
        </w:tc>
      </w:tr>
    </w:tbl>
    <w:p w14:paraId="636783B3" w14:textId="77777777" w:rsidR="000F73C3" w:rsidRDefault="000F73C3" w:rsidP="000F73C3">
      <w:pPr>
        <w:rPr>
          <w:rFonts w:ascii="Arial" w:hAnsi="Arial" w:cs="Arial"/>
          <w:sz w:val="22"/>
          <w:szCs w:val="22"/>
        </w:rPr>
      </w:pPr>
    </w:p>
    <w:p w14:paraId="153461D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59A3998" w14:textId="77777777" w:rsidR="000F73C3" w:rsidRPr="00DA122E" w:rsidRDefault="000F73C3" w:rsidP="000F73C3">
      <w:pPr>
        <w:rPr>
          <w:rFonts w:ascii="Arial" w:hAnsi="Arial" w:cs="Arial"/>
          <w:sz w:val="22"/>
          <w:szCs w:val="22"/>
        </w:rPr>
      </w:pPr>
    </w:p>
    <w:p w14:paraId="45AF3021" w14:textId="246D8B59"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1987A548" w14:textId="60370312" w:rsidR="00401D67" w:rsidRDefault="00401D67" w:rsidP="000F73C3">
      <w:pPr>
        <w:jc w:val="both"/>
        <w:rPr>
          <w:rFonts w:ascii="Arial" w:hAnsi="Arial" w:cs="Arial"/>
          <w:sz w:val="22"/>
          <w:szCs w:val="22"/>
        </w:rPr>
      </w:pPr>
    </w:p>
    <w:p w14:paraId="1FE6B19A" w14:textId="13E01B2D" w:rsidR="00401D67" w:rsidRPr="00401D67" w:rsidRDefault="00653054" w:rsidP="00401D67">
      <w:pPr>
        <w:jc w:val="both"/>
        <w:rPr>
          <w:rFonts w:ascii="Arial" w:hAnsi="Arial" w:cs="Arial"/>
          <w:sz w:val="22"/>
          <w:szCs w:val="22"/>
        </w:rPr>
      </w:pPr>
      <w:r>
        <w:rPr>
          <w:rFonts w:ascii="Arial" w:hAnsi="Arial" w:cs="Arial"/>
          <w:sz w:val="22"/>
          <w:szCs w:val="22"/>
        </w:rPr>
        <w:t>In FG-BOILER_6,7 t</w:t>
      </w:r>
      <w:r w:rsidR="00401D67" w:rsidRPr="00401D67">
        <w:rPr>
          <w:rFonts w:ascii="Arial" w:hAnsi="Arial" w:cs="Arial"/>
          <w:sz w:val="22"/>
          <w:szCs w:val="22"/>
        </w:rPr>
        <w:t>he NO</w:t>
      </w:r>
      <w:r w:rsidR="00401D67" w:rsidRPr="00401D67">
        <w:rPr>
          <w:rFonts w:ascii="Arial" w:hAnsi="Arial" w:cs="Arial"/>
          <w:sz w:val="22"/>
          <w:szCs w:val="22"/>
          <w:vertAlign w:val="subscript"/>
        </w:rPr>
        <w:t>x</w:t>
      </w:r>
      <w:r w:rsidR="00401D67" w:rsidRPr="00401D67">
        <w:rPr>
          <w:rFonts w:ascii="Arial" w:hAnsi="Arial" w:cs="Arial"/>
          <w:sz w:val="22"/>
          <w:szCs w:val="22"/>
        </w:rPr>
        <w:t xml:space="preserve"> standard at 40 CFR 60.44b(d), applicable for both natural gas and No. 2 oil, is subsumed by SC I.4 (natural gas) and by SC I.5 (No. 2 fuel oil)</w:t>
      </w:r>
      <w:r>
        <w:rPr>
          <w:rFonts w:ascii="Arial" w:hAnsi="Arial" w:cs="Arial"/>
          <w:sz w:val="22"/>
          <w:szCs w:val="22"/>
        </w:rPr>
        <w:t>. T</w:t>
      </w:r>
      <w:r w:rsidR="00401D67" w:rsidRPr="00401D67">
        <w:rPr>
          <w:rFonts w:ascii="Arial" w:hAnsi="Arial" w:cs="Arial"/>
          <w:sz w:val="22"/>
          <w:szCs w:val="22"/>
        </w:rPr>
        <w:t xml:space="preserve">he emission limits at SCs I.4 and I.5 </w:t>
      </w:r>
      <w:r w:rsidR="00B5130D">
        <w:rPr>
          <w:rFonts w:ascii="Arial" w:hAnsi="Arial" w:cs="Arial"/>
          <w:sz w:val="22"/>
          <w:szCs w:val="22"/>
        </w:rPr>
        <w:t xml:space="preserve">use the same </w:t>
      </w:r>
      <w:r w:rsidR="00C333E0">
        <w:rPr>
          <w:rFonts w:ascii="Arial" w:hAnsi="Arial" w:cs="Arial"/>
          <w:sz w:val="22"/>
          <w:szCs w:val="22"/>
        </w:rPr>
        <w:t xml:space="preserve">emission </w:t>
      </w:r>
      <w:r w:rsidR="00B5130D">
        <w:rPr>
          <w:rFonts w:ascii="Arial" w:hAnsi="Arial" w:cs="Arial"/>
          <w:sz w:val="22"/>
          <w:szCs w:val="22"/>
        </w:rPr>
        <w:t>units as the NSPS limit</w:t>
      </w:r>
      <w:r w:rsidR="00C333E0">
        <w:rPr>
          <w:rFonts w:ascii="Arial" w:hAnsi="Arial" w:cs="Arial"/>
          <w:sz w:val="22"/>
          <w:szCs w:val="22"/>
        </w:rPr>
        <w:t xml:space="preserve"> (lb NOx/MMBtu)</w:t>
      </w:r>
      <w:r w:rsidR="00B5130D">
        <w:rPr>
          <w:rFonts w:ascii="Arial" w:hAnsi="Arial" w:cs="Arial"/>
          <w:sz w:val="22"/>
          <w:szCs w:val="22"/>
        </w:rPr>
        <w:t>, so they are comparable. The emission</w:t>
      </w:r>
      <w:r w:rsidR="00C333E0">
        <w:rPr>
          <w:rFonts w:ascii="Arial" w:hAnsi="Arial" w:cs="Arial"/>
          <w:sz w:val="22"/>
          <w:szCs w:val="22"/>
        </w:rPr>
        <w:t xml:space="preserve"> limit</w:t>
      </w:r>
      <w:r w:rsidR="00B5130D">
        <w:rPr>
          <w:rFonts w:ascii="Arial" w:hAnsi="Arial" w:cs="Arial"/>
          <w:sz w:val="22"/>
          <w:szCs w:val="22"/>
        </w:rPr>
        <w:t xml:space="preserve">s </w:t>
      </w:r>
      <w:r w:rsidR="00C333E0">
        <w:rPr>
          <w:rFonts w:ascii="Arial" w:hAnsi="Arial" w:cs="Arial"/>
          <w:sz w:val="22"/>
          <w:szCs w:val="22"/>
        </w:rPr>
        <w:t>in</w:t>
      </w:r>
      <w:r w:rsidR="00B5130D">
        <w:rPr>
          <w:rFonts w:ascii="Arial" w:hAnsi="Arial" w:cs="Arial"/>
          <w:sz w:val="22"/>
          <w:szCs w:val="22"/>
        </w:rPr>
        <w:t xml:space="preserve"> SCs I.4 and I.5 are numerically lower than the NSPS </w:t>
      </w:r>
      <w:r w:rsidR="00C333E0">
        <w:rPr>
          <w:rFonts w:ascii="Arial" w:hAnsi="Arial" w:cs="Arial"/>
          <w:sz w:val="22"/>
          <w:szCs w:val="22"/>
        </w:rPr>
        <w:t xml:space="preserve">emissions </w:t>
      </w:r>
      <w:r w:rsidR="00B5130D">
        <w:rPr>
          <w:rFonts w:ascii="Arial" w:hAnsi="Arial" w:cs="Arial"/>
          <w:sz w:val="22"/>
          <w:szCs w:val="22"/>
        </w:rPr>
        <w:t>limit</w:t>
      </w:r>
      <w:r w:rsidR="00C333E0">
        <w:rPr>
          <w:rFonts w:ascii="Arial" w:hAnsi="Arial" w:cs="Arial"/>
          <w:sz w:val="22"/>
          <w:szCs w:val="22"/>
        </w:rPr>
        <w:t xml:space="preserve"> </w:t>
      </w:r>
      <w:r w:rsidR="00C333E0" w:rsidRPr="00C333E0">
        <w:rPr>
          <w:rFonts w:ascii="Arial" w:hAnsi="Arial" w:cs="Arial"/>
          <w:sz w:val="22"/>
          <w:szCs w:val="22"/>
        </w:rPr>
        <w:t>at 40 CFR 60.44b(d)</w:t>
      </w:r>
      <w:r w:rsidR="00B5130D">
        <w:rPr>
          <w:rFonts w:ascii="Arial" w:hAnsi="Arial" w:cs="Arial"/>
          <w:sz w:val="22"/>
          <w:szCs w:val="22"/>
        </w:rPr>
        <w:t xml:space="preserve">. The time period in SCs I.4 and I.5 </w:t>
      </w:r>
      <w:r w:rsidR="00C333E0">
        <w:rPr>
          <w:rFonts w:ascii="Arial" w:hAnsi="Arial" w:cs="Arial"/>
          <w:sz w:val="22"/>
          <w:szCs w:val="22"/>
        </w:rPr>
        <w:t>is</w:t>
      </w:r>
      <w:r w:rsidR="00B5130D">
        <w:rPr>
          <w:rFonts w:ascii="Arial" w:hAnsi="Arial" w:cs="Arial"/>
          <w:sz w:val="22"/>
          <w:szCs w:val="22"/>
        </w:rPr>
        <w:t xml:space="preserve"> a shorter time frame (on a calendar day basis) than the NSPS limit (over a 30-day time period)</w:t>
      </w:r>
      <w:r w:rsidR="00C333E0">
        <w:rPr>
          <w:rFonts w:ascii="Arial" w:hAnsi="Arial" w:cs="Arial"/>
          <w:sz w:val="22"/>
          <w:szCs w:val="22"/>
        </w:rPr>
        <w:t xml:space="preserve"> </w:t>
      </w:r>
      <w:r w:rsidR="00C333E0" w:rsidRPr="00C333E0">
        <w:rPr>
          <w:rFonts w:ascii="Arial" w:hAnsi="Arial" w:cs="Arial"/>
          <w:sz w:val="22"/>
          <w:szCs w:val="22"/>
        </w:rPr>
        <w:t>at 40 CFR 60.44b(d)</w:t>
      </w:r>
      <w:r w:rsidR="00B5130D">
        <w:rPr>
          <w:rFonts w:ascii="Arial" w:hAnsi="Arial" w:cs="Arial"/>
          <w:sz w:val="22"/>
          <w:szCs w:val="22"/>
        </w:rPr>
        <w:t>. A shorter time period is more stringent.</w:t>
      </w:r>
    </w:p>
    <w:p w14:paraId="6CD63D8C" w14:textId="77777777" w:rsidR="000F73C3" w:rsidRPr="00DA122E" w:rsidRDefault="000F73C3" w:rsidP="000F73C3">
      <w:pPr>
        <w:rPr>
          <w:rFonts w:ascii="Arial" w:hAnsi="Arial" w:cs="Arial"/>
          <w:sz w:val="22"/>
          <w:szCs w:val="22"/>
        </w:rPr>
      </w:pPr>
    </w:p>
    <w:tbl>
      <w:tblPr>
        <w:tblW w:w="10241" w:type="dxa"/>
        <w:tblInd w:w="67"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41"/>
        <w:gridCol w:w="1309"/>
        <w:gridCol w:w="1931"/>
        <w:gridCol w:w="2400"/>
        <w:gridCol w:w="2760"/>
      </w:tblGrid>
      <w:tr w:rsidR="000F73C3" w:rsidRPr="00DA122E" w14:paraId="4F6C052C" w14:textId="77777777" w:rsidTr="001E3C91">
        <w:trPr>
          <w:tblHeader/>
        </w:trPr>
        <w:tc>
          <w:tcPr>
            <w:tcW w:w="1841" w:type="dxa"/>
            <w:shd w:val="pct10" w:color="auto" w:fill="auto"/>
          </w:tcPr>
          <w:p w14:paraId="720422B6"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09" w:type="dxa"/>
            <w:shd w:val="pct10" w:color="auto" w:fill="auto"/>
          </w:tcPr>
          <w:p w14:paraId="23B48DE4"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31" w:type="dxa"/>
            <w:shd w:val="pct10" w:color="auto" w:fill="auto"/>
          </w:tcPr>
          <w:p w14:paraId="60B41B59"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shd w:val="pct10" w:color="auto" w:fill="auto"/>
          </w:tcPr>
          <w:p w14:paraId="788A1605"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shd w:val="clear" w:color="auto" w:fill="E7E6E6"/>
          </w:tcPr>
          <w:p w14:paraId="647BC536" w14:textId="77777777" w:rsidR="00DE6E0D" w:rsidRDefault="00DE6E0D" w:rsidP="00F478F0">
            <w:pPr>
              <w:jc w:val="center"/>
              <w:rPr>
                <w:rFonts w:ascii="Arial" w:hAnsi="Arial" w:cs="Arial"/>
                <w:b/>
                <w:sz w:val="22"/>
                <w:szCs w:val="22"/>
              </w:rPr>
            </w:pPr>
          </w:p>
          <w:p w14:paraId="7B498B25"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644AA0" w:rsidRPr="00DA122E" w14:paraId="38397D4D" w14:textId="77777777" w:rsidTr="001E3C91">
        <w:tc>
          <w:tcPr>
            <w:tcW w:w="1841" w:type="dxa"/>
          </w:tcPr>
          <w:p w14:paraId="7E0F5733" w14:textId="019B0323" w:rsidR="00644AA0" w:rsidRPr="00DA122E" w:rsidRDefault="00644AA0" w:rsidP="00644AA0">
            <w:pPr>
              <w:rPr>
                <w:rFonts w:ascii="Arial" w:hAnsi="Arial" w:cs="Arial"/>
                <w:sz w:val="22"/>
                <w:szCs w:val="22"/>
              </w:rPr>
            </w:pPr>
            <w:r w:rsidRPr="006455E5">
              <w:rPr>
                <w:rFonts w:ascii="Arial" w:hAnsi="Arial" w:cs="Arial"/>
                <w:sz w:val="22"/>
                <w:szCs w:val="22"/>
              </w:rPr>
              <w:t>FG-BOILER_6,7</w:t>
            </w:r>
          </w:p>
        </w:tc>
        <w:tc>
          <w:tcPr>
            <w:tcW w:w="1309" w:type="dxa"/>
          </w:tcPr>
          <w:p w14:paraId="2D914726" w14:textId="0D4039A8" w:rsidR="00644AA0" w:rsidRPr="00DA122E" w:rsidRDefault="00644AA0" w:rsidP="00644AA0">
            <w:pPr>
              <w:rPr>
                <w:rFonts w:ascii="Arial" w:hAnsi="Arial" w:cs="Arial"/>
                <w:sz w:val="22"/>
                <w:szCs w:val="22"/>
              </w:rPr>
            </w:pPr>
            <w:r>
              <w:rPr>
                <w:rFonts w:ascii="Arial" w:hAnsi="Arial" w:cs="Arial"/>
                <w:sz w:val="22"/>
                <w:szCs w:val="22"/>
              </w:rPr>
              <w:t>I.4</w:t>
            </w:r>
          </w:p>
        </w:tc>
        <w:tc>
          <w:tcPr>
            <w:tcW w:w="1931" w:type="dxa"/>
            <w:shd w:val="clear" w:color="auto" w:fill="auto"/>
          </w:tcPr>
          <w:p w14:paraId="39634DF4" w14:textId="6F9A5E59" w:rsidR="00644AA0" w:rsidRPr="00DA122E" w:rsidRDefault="00644AA0" w:rsidP="00644AA0">
            <w:pPr>
              <w:rPr>
                <w:rFonts w:ascii="Arial" w:hAnsi="Arial" w:cs="Arial"/>
                <w:sz w:val="22"/>
                <w:szCs w:val="22"/>
              </w:rPr>
            </w:pPr>
            <w:r w:rsidRPr="006455E5">
              <w:rPr>
                <w:rFonts w:ascii="Arial" w:hAnsi="Arial" w:cs="Arial"/>
                <w:sz w:val="22"/>
                <w:szCs w:val="22"/>
              </w:rPr>
              <w:t>0.036 lb/MMBtu</w:t>
            </w:r>
            <w:r>
              <w:rPr>
                <w:rFonts w:ascii="Arial" w:hAnsi="Arial" w:cs="Arial"/>
                <w:sz w:val="22"/>
                <w:szCs w:val="22"/>
              </w:rPr>
              <w:t xml:space="preserve"> NO</w:t>
            </w:r>
            <w:r w:rsidRPr="001E4899">
              <w:rPr>
                <w:rFonts w:ascii="Arial" w:hAnsi="Arial" w:cs="Arial"/>
                <w:sz w:val="22"/>
                <w:szCs w:val="22"/>
                <w:vertAlign w:val="subscript"/>
              </w:rPr>
              <w:t>x</w:t>
            </w:r>
            <w:r>
              <w:rPr>
                <w:rFonts w:ascii="Arial" w:hAnsi="Arial" w:cs="Arial"/>
                <w:sz w:val="22"/>
                <w:szCs w:val="22"/>
              </w:rPr>
              <w:t xml:space="preserve"> when burning 100% natural gas, evaluated on an calendar day basis.</w:t>
            </w:r>
          </w:p>
        </w:tc>
        <w:tc>
          <w:tcPr>
            <w:tcW w:w="2400" w:type="dxa"/>
            <w:shd w:val="clear" w:color="auto" w:fill="auto"/>
          </w:tcPr>
          <w:p w14:paraId="31B2589E" w14:textId="154CEE50" w:rsidR="00644AA0" w:rsidRPr="00DA122E" w:rsidRDefault="00644AA0" w:rsidP="00644AA0">
            <w:pPr>
              <w:rPr>
                <w:rFonts w:ascii="Arial" w:hAnsi="Arial" w:cs="Arial"/>
                <w:sz w:val="22"/>
                <w:szCs w:val="22"/>
              </w:rPr>
            </w:pPr>
            <w:r w:rsidRPr="00EB1340">
              <w:rPr>
                <w:rFonts w:ascii="Arial" w:hAnsi="Arial" w:cs="Arial"/>
                <w:sz w:val="22"/>
                <w:szCs w:val="22"/>
              </w:rPr>
              <w:t>0.20 pound of NO</w:t>
            </w:r>
            <w:r w:rsidRPr="001E4899">
              <w:rPr>
                <w:rFonts w:ascii="Arial" w:hAnsi="Arial" w:cs="Arial"/>
                <w:sz w:val="22"/>
                <w:szCs w:val="22"/>
                <w:vertAlign w:val="subscript"/>
              </w:rPr>
              <w:t xml:space="preserve">x </w:t>
            </w:r>
            <w:r w:rsidRPr="00EB1340">
              <w:rPr>
                <w:rFonts w:ascii="Arial" w:hAnsi="Arial" w:cs="Arial"/>
                <w:sz w:val="22"/>
                <w:szCs w:val="22"/>
              </w:rPr>
              <w:t>per MMBtu based on a 30-day rolling average calculated as the average of all of the hourly NO</w:t>
            </w:r>
            <w:r w:rsidRPr="001E4899">
              <w:rPr>
                <w:rFonts w:ascii="Arial" w:hAnsi="Arial" w:cs="Arial"/>
                <w:sz w:val="22"/>
                <w:szCs w:val="22"/>
                <w:vertAlign w:val="subscript"/>
              </w:rPr>
              <w:t>x</w:t>
            </w:r>
            <w:r w:rsidRPr="00EB1340">
              <w:rPr>
                <w:rFonts w:ascii="Arial" w:hAnsi="Arial" w:cs="Arial"/>
                <w:sz w:val="22"/>
                <w:szCs w:val="22"/>
              </w:rPr>
              <w:t xml:space="preserve"> emission data for the preceding </w:t>
            </w:r>
            <w:r w:rsidRPr="00EB1340">
              <w:rPr>
                <w:rFonts w:ascii="Arial" w:hAnsi="Arial" w:cs="Arial"/>
                <w:sz w:val="22"/>
                <w:szCs w:val="22"/>
              </w:rPr>
              <w:lastRenderedPageBreak/>
              <w:t>30 steam generating unit operating days (40 CFR 60.44b(i)) and 60.49b(g)).</w:t>
            </w:r>
          </w:p>
        </w:tc>
        <w:tc>
          <w:tcPr>
            <w:tcW w:w="2760" w:type="dxa"/>
            <w:shd w:val="clear" w:color="auto" w:fill="auto"/>
          </w:tcPr>
          <w:p w14:paraId="21FE6A1C" w14:textId="3710CE61" w:rsidR="00644AA0" w:rsidRPr="00DA122E" w:rsidRDefault="00644AA0" w:rsidP="00644AA0">
            <w:pPr>
              <w:rPr>
                <w:rFonts w:ascii="Arial" w:hAnsi="Arial" w:cs="Arial"/>
                <w:sz w:val="22"/>
                <w:szCs w:val="22"/>
              </w:rPr>
            </w:pPr>
            <w:r w:rsidRPr="00F47AD5">
              <w:rPr>
                <w:rFonts w:ascii="Arial" w:hAnsi="Arial" w:cs="Arial"/>
                <w:sz w:val="22"/>
                <w:szCs w:val="22"/>
              </w:rPr>
              <w:lastRenderedPageBreak/>
              <w:t xml:space="preserve">The nitrogen oxides emission limit determined through NSR review and listed in condition </w:t>
            </w:r>
            <w:r>
              <w:rPr>
                <w:rFonts w:ascii="Arial" w:hAnsi="Arial" w:cs="Arial"/>
                <w:sz w:val="22"/>
                <w:szCs w:val="22"/>
              </w:rPr>
              <w:t>I.4</w:t>
            </w:r>
            <w:r w:rsidRPr="00F47AD5">
              <w:rPr>
                <w:rFonts w:ascii="Arial" w:hAnsi="Arial" w:cs="Arial"/>
                <w:sz w:val="22"/>
                <w:szCs w:val="22"/>
              </w:rPr>
              <w:t xml:space="preserve"> (0.</w:t>
            </w:r>
            <w:r>
              <w:rPr>
                <w:rFonts w:ascii="Arial" w:hAnsi="Arial" w:cs="Arial"/>
                <w:sz w:val="22"/>
                <w:szCs w:val="22"/>
              </w:rPr>
              <w:t xml:space="preserve">036 </w:t>
            </w:r>
            <w:r w:rsidRPr="00F47AD5">
              <w:rPr>
                <w:rFonts w:ascii="Arial" w:hAnsi="Arial" w:cs="Arial"/>
                <w:sz w:val="22"/>
                <w:szCs w:val="22"/>
              </w:rPr>
              <w:t>pound</w:t>
            </w:r>
            <w:r>
              <w:rPr>
                <w:rFonts w:ascii="Arial" w:hAnsi="Arial" w:cs="Arial"/>
                <w:sz w:val="22"/>
                <w:szCs w:val="22"/>
              </w:rPr>
              <w:t>s</w:t>
            </w:r>
            <w:r w:rsidRPr="00F47AD5">
              <w:rPr>
                <w:rFonts w:ascii="Arial" w:hAnsi="Arial" w:cs="Arial"/>
                <w:sz w:val="22"/>
                <w:szCs w:val="22"/>
              </w:rPr>
              <w:t xml:space="preserve"> NO</w:t>
            </w:r>
            <w:r w:rsidRPr="001E4899">
              <w:rPr>
                <w:rFonts w:ascii="Arial" w:hAnsi="Arial" w:cs="Arial"/>
                <w:sz w:val="22"/>
                <w:szCs w:val="22"/>
                <w:vertAlign w:val="subscript"/>
              </w:rPr>
              <w:t>x</w:t>
            </w:r>
            <w:r w:rsidRPr="00F47AD5">
              <w:rPr>
                <w:rFonts w:ascii="Arial" w:hAnsi="Arial" w:cs="Arial"/>
                <w:sz w:val="22"/>
                <w:szCs w:val="22"/>
              </w:rPr>
              <w:t xml:space="preserve"> per MMBtu based on a</w:t>
            </w:r>
            <w:r>
              <w:rPr>
                <w:rFonts w:ascii="Arial" w:hAnsi="Arial" w:cs="Arial"/>
                <w:sz w:val="22"/>
                <w:szCs w:val="22"/>
              </w:rPr>
              <w:t xml:space="preserve"> calendar day basis)</w:t>
            </w:r>
            <w:r w:rsidRPr="00F47AD5">
              <w:rPr>
                <w:rFonts w:ascii="Arial" w:hAnsi="Arial" w:cs="Arial"/>
                <w:sz w:val="22"/>
                <w:szCs w:val="22"/>
              </w:rPr>
              <w:t xml:space="preserve"> is </w:t>
            </w:r>
            <w:r w:rsidRPr="00F47AD5">
              <w:rPr>
                <w:rFonts w:ascii="Arial" w:hAnsi="Arial" w:cs="Arial"/>
                <w:sz w:val="22"/>
                <w:szCs w:val="22"/>
              </w:rPr>
              <w:lastRenderedPageBreak/>
              <w:t xml:space="preserve">more stringent in both the </w:t>
            </w:r>
            <w:r>
              <w:rPr>
                <w:rFonts w:ascii="Arial" w:hAnsi="Arial" w:cs="Arial"/>
                <w:sz w:val="22"/>
                <w:szCs w:val="22"/>
              </w:rPr>
              <w:t>numerical value</w:t>
            </w:r>
            <w:r w:rsidRPr="00F47AD5">
              <w:rPr>
                <w:rFonts w:ascii="Arial" w:hAnsi="Arial" w:cs="Arial"/>
                <w:sz w:val="22"/>
                <w:szCs w:val="22"/>
              </w:rPr>
              <w:t xml:space="preserve"> as well as averaging time than the nitrogen oxides limit in NSPS Subpart Db.</w:t>
            </w:r>
          </w:p>
        </w:tc>
      </w:tr>
      <w:tr w:rsidR="00644AA0" w:rsidRPr="00DA122E" w14:paraId="4F965DFC" w14:textId="77777777" w:rsidTr="001E3C91">
        <w:tc>
          <w:tcPr>
            <w:tcW w:w="1841" w:type="dxa"/>
          </w:tcPr>
          <w:p w14:paraId="1088D79B" w14:textId="5A52ED91" w:rsidR="00644AA0" w:rsidRPr="00DA122E" w:rsidRDefault="00644AA0" w:rsidP="00644AA0">
            <w:pPr>
              <w:rPr>
                <w:rFonts w:ascii="Arial" w:hAnsi="Arial" w:cs="Arial"/>
                <w:sz w:val="22"/>
                <w:szCs w:val="22"/>
              </w:rPr>
            </w:pPr>
            <w:r w:rsidRPr="006455E5">
              <w:rPr>
                <w:rFonts w:ascii="Arial" w:hAnsi="Arial" w:cs="Arial"/>
                <w:sz w:val="22"/>
                <w:szCs w:val="22"/>
              </w:rPr>
              <w:lastRenderedPageBreak/>
              <w:t>FG-BOILER_6,7</w:t>
            </w:r>
          </w:p>
        </w:tc>
        <w:tc>
          <w:tcPr>
            <w:tcW w:w="1309" w:type="dxa"/>
          </w:tcPr>
          <w:p w14:paraId="6CC4069C" w14:textId="119D7D08" w:rsidR="00644AA0" w:rsidRPr="00DA122E" w:rsidRDefault="00644AA0" w:rsidP="00644AA0">
            <w:pPr>
              <w:rPr>
                <w:rFonts w:ascii="Arial" w:hAnsi="Arial" w:cs="Arial"/>
                <w:sz w:val="22"/>
                <w:szCs w:val="22"/>
              </w:rPr>
            </w:pPr>
            <w:r>
              <w:rPr>
                <w:rFonts w:ascii="Arial" w:hAnsi="Arial" w:cs="Arial"/>
                <w:sz w:val="22"/>
                <w:szCs w:val="22"/>
              </w:rPr>
              <w:t>I.5</w:t>
            </w:r>
          </w:p>
        </w:tc>
        <w:tc>
          <w:tcPr>
            <w:tcW w:w="1931" w:type="dxa"/>
            <w:shd w:val="clear" w:color="auto" w:fill="auto"/>
          </w:tcPr>
          <w:p w14:paraId="373E7C71" w14:textId="5C84110A" w:rsidR="00644AA0" w:rsidRPr="00DA122E" w:rsidRDefault="00644AA0" w:rsidP="00644AA0">
            <w:pPr>
              <w:rPr>
                <w:rFonts w:ascii="Arial" w:hAnsi="Arial" w:cs="Arial"/>
                <w:sz w:val="22"/>
                <w:szCs w:val="22"/>
              </w:rPr>
            </w:pPr>
            <w:r w:rsidRPr="006455E5">
              <w:rPr>
                <w:rFonts w:ascii="Arial" w:hAnsi="Arial" w:cs="Arial"/>
                <w:sz w:val="22"/>
                <w:szCs w:val="22"/>
              </w:rPr>
              <w:t>0.140 lb/MMBtu</w:t>
            </w:r>
            <w:r>
              <w:rPr>
                <w:rFonts w:ascii="Arial" w:hAnsi="Arial" w:cs="Arial"/>
                <w:sz w:val="22"/>
                <w:szCs w:val="22"/>
              </w:rPr>
              <w:t xml:space="preserve"> NO</w:t>
            </w:r>
            <w:r w:rsidRPr="001E4899">
              <w:rPr>
                <w:rFonts w:ascii="Arial" w:hAnsi="Arial" w:cs="Arial"/>
                <w:sz w:val="22"/>
                <w:szCs w:val="22"/>
                <w:vertAlign w:val="subscript"/>
              </w:rPr>
              <w:t>x</w:t>
            </w:r>
            <w:r>
              <w:rPr>
                <w:rFonts w:ascii="Arial" w:hAnsi="Arial" w:cs="Arial"/>
                <w:sz w:val="22"/>
                <w:szCs w:val="22"/>
              </w:rPr>
              <w:t xml:space="preserve"> when burning 100% No. 2 fuel oil, evaluated on an calendar day basis.</w:t>
            </w:r>
          </w:p>
        </w:tc>
        <w:tc>
          <w:tcPr>
            <w:tcW w:w="2400" w:type="dxa"/>
            <w:shd w:val="clear" w:color="auto" w:fill="auto"/>
          </w:tcPr>
          <w:p w14:paraId="7338D8EF" w14:textId="65872D95" w:rsidR="00644AA0" w:rsidRPr="00DA122E" w:rsidRDefault="00644AA0" w:rsidP="00644AA0">
            <w:pPr>
              <w:rPr>
                <w:rFonts w:ascii="Arial" w:hAnsi="Arial" w:cs="Arial"/>
                <w:sz w:val="22"/>
                <w:szCs w:val="22"/>
              </w:rPr>
            </w:pPr>
            <w:r w:rsidRPr="00EB1340">
              <w:rPr>
                <w:rFonts w:ascii="Arial" w:hAnsi="Arial" w:cs="Arial"/>
                <w:sz w:val="22"/>
                <w:szCs w:val="22"/>
              </w:rPr>
              <w:t>0.40 pound of NO</w:t>
            </w:r>
            <w:r w:rsidRPr="001E4899">
              <w:rPr>
                <w:rFonts w:ascii="Arial" w:hAnsi="Arial" w:cs="Arial"/>
                <w:sz w:val="22"/>
                <w:szCs w:val="22"/>
                <w:vertAlign w:val="subscript"/>
              </w:rPr>
              <w:t>x</w:t>
            </w:r>
            <w:r w:rsidRPr="00EB1340">
              <w:rPr>
                <w:rFonts w:ascii="Arial" w:hAnsi="Arial" w:cs="Arial"/>
                <w:sz w:val="22"/>
                <w:szCs w:val="22"/>
              </w:rPr>
              <w:t xml:space="preserve"> per MMBtu based on a 30-day rolling average calculated as the average of all of the hourly NO</w:t>
            </w:r>
            <w:r w:rsidRPr="001E4899">
              <w:rPr>
                <w:rFonts w:ascii="Arial" w:hAnsi="Arial" w:cs="Arial"/>
                <w:sz w:val="22"/>
                <w:szCs w:val="22"/>
                <w:vertAlign w:val="subscript"/>
              </w:rPr>
              <w:t>x</w:t>
            </w:r>
            <w:r w:rsidRPr="00EB1340">
              <w:rPr>
                <w:rFonts w:ascii="Arial" w:hAnsi="Arial" w:cs="Arial"/>
                <w:sz w:val="22"/>
                <w:szCs w:val="22"/>
              </w:rPr>
              <w:t xml:space="preserve"> emission data for the preceding 30 steam generating unit operating days (40 CFR 60.44b(i)) and 60.49b(g)).</w:t>
            </w:r>
          </w:p>
        </w:tc>
        <w:tc>
          <w:tcPr>
            <w:tcW w:w="2760" w:type="dxa"/>
            <w:shd w:val="clear" w:color="auto" w:fill="auto"/>
          </w:tcPr>
          <w:p w14:paraId="66E73984" w14:textId="47F3F364" w:rsidR="00644AA0" w:rsidRPr="00DA122E" w:rsidRDefault="00644AA0" w:rsidP="00644AA0">
            <w:pPr>
              <w:rPr>
                <w:rFonts w:ascii="Arial" w:hAnsi="Arial" w:cs="Arial"/>
                <w:sz w:val="22"/>
                <w:szCs w:val="22"/>
              </w:rPr>
            </w:pPr>
            <w:r w:rsidRPr="00F47AD5">
              <w:rPr>
                <w:rFonts w:ascii="Arial" w:hAnsi="Arial" w:cs="Arial"/>
                <w:sz w:val="22"/>
                <w:szCs w:val="22"/>
              </w:rPr>
              <w:t xml:space="preserve">The nitrogen oxides emission limit determined through NSR review and listed in condition </w:t>
            </w:r>
            <w:r>
              <w:rPr>
                <w:rFonts w:ascii="Arial" w:hAnsi="Arial" w:cs="Arial"/>
                <w:sz w:val="22"/>
                <w:szCs w:val="22"/>
              </w:rPr>
              <w:t>I.5</w:t>
            </w:r>
            <w:r w:rsidRPr="00F47AD5">
              <w:rPr>
                <w:rFonts w:ascii="Arial" w:hAnsi="Arial" w:cs="Arial"/>
                <w:sz w:val="22"/>
                <w:szCs w:val="22"/>
              </w:rPr>
              <w:t xml:space="preserve"> (0.</w:t>
            </w:r>
            <w:r>
              <w:rPr>
                <w:rFonts w:ascii="Arial" w:hAnsi="Arial" w:cs="Arial"/>
                <w:sz w:val="22"/>
                <w:szCs w:val="22"/>
              </w:rPr>
              <w:t xml:space="preserve">140 </w:t>
            </w:r>
            <w:r w:rsidRPr="00F47AD5">
              <w:rPr>
                <w:rFonts w:ascii="Arial" w:hAnsi="Arial" w:cs="Arial"/>
                <w:sz w:val="22"/>
                <w:szCs w:val="22"/>
              </w:rPr>
              <w:t>pound</w:t>
            </w:r>
            <w:r>
              <w:rPr>
                <w:rFonts w:ascii="Arial" w:hAnsi="Arial" w:cs="Arial"/>
                <w:sz w:val="22"/>
                <w:szCs w:val="22"/>
              </w:rPr>
              <w:t>s</w:t>
            </w:r>
            <w:r w:rsidRPr="00F47AD5">
              <w:rPr>
                <w:rFonts w:ascii="Arial" w:hAnsi="Arial" w:cs="Arial"/>
                <w:sz w:val="22"/>
                <w:szCs w:val="22"/>
              </w:rPr>
              <w:t xml:space="preserve"> NO</w:t>
            </w:r>
            <w:r w:rsidRPr="001E4899">
              <w:rPr>
                <w:rFonts w:ascii="Arial" w:hAnsi="Arial" w:cs="Arial"/>
                <w:sz w:val="22"/>
                <w:szCs w:val="22"/>
                <w:vertAlign w:val="subscript"/>
              </w:rPr>
              <w:t>x</w:t>
            </w:r>
            <w:r w:rsidRPr="00F47AD5">
              <w:rPr>
                <w:rFonts w:ascii="Arial" w:hAnsi="Arial" w:cs="Arial"/>
                <w:sz w:val="22"/>
                <w:szCs w:val="22"/>
              </w:rPr>
              <w:t xml:space="preserve"> per MMBtu based on a</w:t>
            </w:r>
            <w:r>
              <w:rPr>
                <w:rFonts w:ascii="Arial" w:hAnsi="Arial" w:cs="Arial"/>
                <w:sz w:val="22"/>
                <w:szCs w:val="22"/>
              </w:rPr>
              <w:t>n</w:t>
            </w:r>
            <w:r w:rsidRPr="00F47AD5">
              <w:rPr>
                <w:rFonts w:ascii="Arial" w:hAnsi="Arial" w:cs="Arial"/>
                <w:sz w:val="22"/>
                <w:szCs w:val="22"/>
              </w:rPr>
              <w:t xml:space="preserve"> </w:t>
            </w:r>
            <w:r>
              <w:rPr>
                <w:rFonts w:ascii="Arial" w:hAnsi="Arial" w:cs="Arial"/>
                <w:sz w:val="22"/>
                <w:szCs w:val="22"/>
              </w:rPr>
              <w:t>calendar day basis)</w:t>
            </w:r>
            <w:r w:rsidRPr="00F47AD5">
              <w:rPr>
                <w:rFonts w:ascii="Arial" w:hAnsi="Arial" w:cs="Arial"/>
                <w:sz w:val="22"/>
                <w:szCs w:val="22"/>
              </w:rPr>
              <w:t xml:space="preserve"> is more stringent in both the </w:t>
            </w:r>
            <w:r>
              <w:rPr>
                <w:rFonts w:ascii="Arial" w:hAnsi="Arial" w:cs="Arial"/>
                <w:sz w:val="22"/>
                <w:szCs w:val="22"/>
              </w:rPr>
              <w:t>numerical value</w:t>
            </w:r>
            <w:r w:rsidRPr="00F47AD5">
              <w:rPr>
                <w:rFonts w:ascii="Arial" w:hAnsi="Arial" w:cs="Arial"/>
                <w:sz w:val="22"/>
                <w:szCs w:val="22"/>
              </w:rPr>
              <w:t xml:space="preserve"> as well as averaging time than the nitrogen oxides limit in NSPS Subpart Db.</w:t>
            </w:r>
          </w:p>
        </w:tc>
      </w:tr>
    </w:tbl>
    <w:p w14:paraId="29C7CBE0" w14:textId="77777777" w:rsidR="000F73C3" w:rsidRPr="00420850" w:rsidRDefault="000F73C3" w:rsidP="000F73C3">
      <w:pPr>
        <w:rPr>
          <w:rFonts w:ascii="Arial" w:hAnsi="Arial" w:cs="Arial"/>
          <w:sz w:val="22"/>
          <w:szCs w:val="22"/>
        </w:rPr>
      </w:pPr>
    </w:p>
    <w:p w14:paraId="70E51C2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074E9F8" w14:textId="77777777" w:rsidR="000F73C3" w:rsidRPr="00D122B6" w:rsidRDefault="000F73C3" w:rsidP="000F73C3">
      <w:pPr>
        <w:rPr>
          <w:rFonts w:ascii="Arial" w:hAnsi="Arial" w:cs="Arial"/>
          <w:sz w:val="22"/>
          <w:szCs w:val="22"/>
        </w:rPr>
      </w:pPr>
    </w:p>
    <w:p w14:paraId="404089C3"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6F1E04D" w14:textId="77777777" w:rsidR="000F73C3" w:rsidRPr="00D122B6" w:rsidRDefault="000F73C3" w:rsidP="000F73C3">
      <w:pPr>
        <w:rPr>
          <w:rFonts w:ascii="Arial" w:hAnsi="Arial" w:cs="Arial"/>
          <w:sz w:val="22"/>
          <w:szCs w:val="22"/>
        </w:rPr>
      </w:pPr>
    </w:p>
    <w:p w14:paraId="0836910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065EBEB" w14:textId="77777777" w:rsidR="000F73C3" w:rsidRPr="00290754" w:rsidRDefault="000F73C3" w:rsidP="000F73C3">
      <w:pPr>
        <w:rPr>
          <w:rFonts w:ascii="Arial" w:hAnsi="Arial" w:cs="Arial"/>
          <w:sz w:val="22"/>
          <w:szCs w:val="22"/>
        </w:rPr>
      </w:pPr>
    </w:p>
    <w:p w14:paraId="308D253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AFACF76"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379"/>
        <w:gridCol w:w="1980"/>
        <w:gridCol w:w="2561"/>
      </w:tblGrid>
      <w:tr w:rsidR="000F73C3" w:rsidRPr="00290754" w14:paraId="770F675C" w14:textId="77777777" w:rsidTr="00A7333E">
        <w:trPr>
          <w:tblHeader/>
        </w:trPr>
        <w:tc>
          <w:tcPr>
            <w:tcW w:w="2250" w:type="dxa"/>
            <w:tcBorders>
              <w:top w:val="double" w:sz="6" w:space="0" w:color="auto"/>
              <w:bottom w:val="double" w:sz="6" w:space="0" w:color="auto"/>
              <w:right w:val="single" w:sz="6" w:space="0" w:color="auto"/>
            </w:tcBorders>
            <w:shd w:val="pct10" w:color="auto" w:fill="auto"/>
          </w:tcPr>
          <w:p w14:paraId="52F5A6A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50724C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379" w:type="dxa"/>
            <w:tcBorders>
              <w:top w:val="double" w:sz="6" w:space="0" w:color="auto"/>
              <w:bottom w:val="double" w:sz="6" w:space="0" w:color="auto"/>
              <w:right w:val="single" w:sz="6" w:space="0" w:color="auto"/>
            </w:tcBorders>
            <w:shd w:val="pct10" w:color="auto" w:fill="auto"/>
          </w:tcPr>
          <w:p w14:paraId="6E1A53B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30A452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3C0BF9DB"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27D16B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561" w:type="dxa"/>
            <w:tcBorders>
              <w:top w:val="double" w:sz="6" w:space="0" w:color="auto"/>
              <w:left w:val="single" w:sz="4" w:space="0" w:color="auto"/>
              <w:bottom w:val="double" w:sz="6" w:space="0" w:color="auto"/>
              <w:right w:val="double" w:sz="6" w:space="0" w:color="auto"/>
            </w:tcBorders>
            <w:shd w:val="pct10" w:color="auto" w:fill="auto"/>
          </w:tcPr>
          <w:p w14:paraId="03DE026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71C83C84" w14:textId="77777777" w:rsidTr="00A7333E">
        <w:tc>
          <w:tcPr>
            <w:tcW w:w="2250" w:type="dxa"/>
          </w:tcPr>
          <w:p w14:paraId="24FD1FDF" w14:textId="1C24C73F" w:rsidR="000F73C3" w:rsidRPr="00290754" w:rsidRDefault="001E3C91" w:rsidP="00F478F0">
            <w:pPr>
              <w:rPr>
                <w:rFonts w:ascii="Arial" w:hAnsi="Arial" w:cs="Arial"/>
                <w:sz w:val="22"/>
                <w:szCs w:val="22"/>
              </w:rPr>
            </w:pPr>
            <w:r w:rsidRPr="001E3C91">
              <w:rPr>
                <w:rFonts w:ascii="Arial" w:hAnsi="Arial" w:cs="Arial"/>
                <w:sz w:val="22"/>
                <w:szCs w:val="22"/>
              </w:rPr>
              <w:t>EU-MACHINING</w:t>
            </w:r>
          </w:p>
        </w:tc>
        <w:tc>
          <w:tcPr>
            <w:tcW w:w="3379" w:type="dxa"/>
          </w:tcPr>
          <w:p w14:paraId="1DBC73C6" w14:textId="1EDEAF6E" w:rsidR="000F73C3" w:rsidRPr="00290754" w:rsidRDefault="001E3C91" w:rsidP="00F478F0">
            <w:pPr>
              <w:rPr>
                <w:rFonts w:ascii="Arial" w:hAnsi="Arial" w:cs="Arial"/>
                <w:sz w:val="22"/>
                <w:szCs w:val="22"/>
              </w:rPr>
            </w:pPr>
            <w:r w:rsidRPr="001E3C91">
              <w:rPr>
                <w:rFonts w:ascii="Arial" w:hAnsi="Arial" w:cs="Arial"/>
                <w:sz w:val="22"/>
                <w:szCs w:val="22"/>
              </w:rPr>
              <w:t>Various machining equipment</w:t>
            </w:r>
            <w:r w:rsidR="008B4AB0">
              <w:rPr>
                <w:rFonts w:ascii="Arial" w:hAnsi="Arial" w:cs="Arial"/>
                <w:sz w:val="22"/>
                <w:szCs w:val="22"/>
              </w:rPr>
              <w:t>. E</w:t>
            </w:r>
            <w:r w:rsidRPr="001E3C91">
              <w:rPr>
                <w:rFonts w:ascii="Arial" w:hAnsi="Arial" w:cs="Arial"/>
                <w:sz w:val="22"/>
                <w:szCs w:val="22"/>
              </w:rPr>
              <w:t>missions are released to the general in-plant environment.</w:t>
            </w:r>
          </w:p>
        </w:tc>
        <w:tc>
          <w:tcPr>
            <w:tcW w:w="1980" w:type="dxa"/>
          </w:tcPr>
          <w:p w14:paraId="61B22A86" w14:textId="4B62ACEC" w:rsidR="000F73C3" w:rsidRPr="00290754" w:rsidRDefault="001E3C91" w:rsidP="00F478F0">
            <w:pPr>
              <w:jc w:val="center"/>
              <w:rPr>
                <w:rFonts w:ascii="Arial" w:hAnsi="Arial" w:cs="Arial"/>
                <w:sz w:val="22"/>
                <w:szCs w:val="22"/>
              </w:rPr>
            </w:pPr>
            <w:r w:rsidRPr="001E3C91">
              <w:rPr>
                <w:rFonts w:ascii="Arial" w:hAnsi="Arial" w:cs="Arial"/>
                <w:sz w:val="22"/>
                <w:szCs w:val="22"/>
              </w:rPr>
              <w:t>R336.1212(3)(f)</w:t>
            </w:r>
          </w:p>
        </w:tc>
        <w:tc>
          <w:tcPr>
            <w:tcW w:w="2561" w:type="dxa"/>
          </w:tcPr>
          <w:p w14:paraId="0B164E58" w14:textId="7922DF99" w:rsidR="000F73C3" w:rsidRPr="00290754" w:rsidRDefault="001E3C91" w:rsidP="00F478F0">
            <w:pPr>
              <w:jc w:val="center"/>
              <w:rPr>
                <w:rFonts w:ascii="Arial" w:hAnsi="Arial" w:cs="Arial"/>
                <w:sz w:val="22"/>
                <w:szCs w:val="22"/>
              </w:rPr>
            </w:pPr>
            <w:r w:rsidRPr="001E3C91">
              <w:rPr>
                <w:rFonts w:ascii="Arial" w:hAnsi="Arial" w:cs="Arial"/>
                <w:sz w:val="22"/>
                <w:szCs w:val="22"/>
              </w:rPr>
              <w:t>R336.1285(2)(l)(vi)(B)</w:t>
            </w:r>
          </w:p>
        </w:tc>
      </w:tr>
    </w:tbl>
    <w:p w14:paraId="51388885" w14:textId="77777777" w:rsidR="000F73C3" w:rsidRDefault="000F73C3" w:rsidP="000F73C3">
      <w:pPr>
        <w:rPr>
          <w:rFonts w:ascii="Arial" w:hAnsi="Arial" w:cs="Arial"/>
          <w:sz w:val="22"/>
          <w:szCs w:val="22"/>
        </w:rPr>
      </w:pPr>
    </w:p>
    <w:p w14:paraId="00DA2F1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D4E0203" w14:textId="77777777" w:rsidR="000F73C3" w:rsidRPr="00290754" w:rsidRDefault="000F73C3" w:rsidP="000F73C3">
      <w:pPr>
        <w:rPr>
          <w:rFonts w:ascii="Arial" w:hAnsi="Arial" w:cs="Arial"/>
          <w:sz w:val="22"/>
          <w:szCs w:val="22"/>
        </w:rPr>
      </w:pPr>
    </w:p>
    <w:p w14:paraId="06DC011F" w14:textId="3679D603"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4123B7E9" w14:textId="77777777" w:rsidR="000F73C3" w:rsidRPr="00290754" w:rsidRDefault="000F73C3" w:rsidP="000F73C3">
      <w:pPr>
        <w:rPr>
          <w:rFonts w:ascii="Arial" w:hAnsi="Arial" w:cs="Arial"/>
          <w:sz w:val="22"/>
          <w:szCs w:val="22"/>
        </w:rPr>
      </w:pPr>
    </w:p>
    <w:p w14:paraId="12534D1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0C10249" w14:textId="77777777" w:rsidR="000F73C3" w:rsidRPr="00EC0D9E" w:rsidRDefault="000F73C3" w:rsidP="000F73C3">
      <w:pPr>
        <w:rPr>
          <w:rFonts w:ascii="Arial" w:hAnsi="Arial" w:cs="Arial"/>
          <w:sz w:val="22"/>
          <w:szCs w:val="22"/>
        </w:rPr>
      </w:pPr>
    </w:p>
    <w:p w14:paraId="5A83204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379F40B" w14:textId="77777777" w:rsidR="000F73C3" w:rsidRDefault="000F73C3" w:rsidP="000F73C3">
      <w:pPr>
        <w:jc w:val="both"/>
        <w:rPr>
          <w:rFonts w:ascii="Arial" w:hAnsi="Arial" w:cs="Arial"/>
          <w:sz w:val="22"/>
          <w:szCs w:val="22"/>
        </w:rPr>
      </w:pPr>
    </w:p>
    <w:p w14:paraId="2894494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BCCD9D3" w14:textId="77777777" w:rsidR="000F73C3" w:rsidRPr="00290754" w:rsidRDefault="000F73C3" w:rsidP="000F73C3">
      <w:pPr>
        <w:jc w:val="both"/>
        <w:rPr>
          <w:rFonts w:ascii="Arial" w:hAnsi="Arial" w:cs="Arial"/>
          <w:sz w:val="22"/>
          <w:szCs w:val="22"/>
        </w:rPr>
      </w:pPr>
    </w:p>
    <w:p w14:paraId="5CCD5F19" w14:textId="7A7312D1" w:rsidR="005F6B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w:t>
      </w:r>
      <w:r w:rsidRPr="00290754">
        <w:rPr>
          <w:rFonts w:ascii="Arial" w:hAnsi="Arial" w:cs="Arial"/>
          <w:sz w:val="22"/>
          <w:szCs w:val="22"/>
        </w:rPr>
        <w:lastRenderedPageBreak/>
        <w:t xml:space="preserve">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E3C91">
        <w:rPr>
          <w:rFonts w:ascii="Arial" w:hAnsi="Arial" w:cs="Arial"/>
          <w:sz w:val="22"/>
          <w:szCs w:val="22"/>
        </w:rPr>
        <w:t xml:space="preserve">Dr. </w:t>
      </w:r>
      <w:r w:rsidR="001E3C91" w:rsidRPr="001E3C91">
        <w:rPr>
          <w:rFonts w:ascii="Arial" w:hAnsi="Arial" w:cs="Arial"/>
          <w:sz w:val="22"/>
          <w:szCs w:val="22"/>
        </w:rPr>
        <w:t>April Wendling, Detroit</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BA5E280" w14:textId="77777777" w:rsidR="005F6BC3" w:rsidRDefault="005F6BC3">
      <w:pPr>
        <w:rPr>
          <w:rFonts w:ascii="Arial" w:hAnsi="Arial" w:cs="Arial"/>
          <w:sz w:val="22"/>
          <w:szCs w:val="22"/>
        </w:rPr>
      </w:pPr>
      <w:r>
        <w:rPr>
          <w:rFonts w:ascii="Arial" w:hAnsi="Arial" w:cs="Arial"/>
          <w:sz w:val="22"/>
          <w:szCs w:val="22"/>
        </w:rPr>
        <w:br w:type="page"/>
      </w:r>
    </w:p>
    <w:p w14:paraId="5D94DBC9" w14:textId="77777777" w:rsidR="005F6BC3" w:rsidRDefault="005F6BC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F6BC3" w14:paraId="2B35A69C" w14:textId="77777777" w:rsidTr="001F29E7">
        <w:tc>
          <w:tcPr>
            <w:tcW w:w="2250" w:type="dxa"/>
          </w:tcPr>
          <w:p w14:paraId="32C0A801" w14:textId="77777777" w:rsidR="005F6BC3" w:rsidRDefault="005F6BC3" w:rsidP="001F29E7">
            <w:pPr>
              <w:jc w:val="center"/>
              <w:rPr>
                <w:rFonts w:ascii="Arial" w:hAnsi="Arial"/>
                <w:sz w:val="16"/>
              </w:rPr>
            </w:pPr>
          </w:p>
        </w:tc>
        <w:tc>
          <w:tcPr>
            <w:tcW w:w="5670" w:type="dxa"/>
          </w:tcPr>
          <w:p w14:paraId="23F9FD1D" w14:textId="77777777" w:rsidR="005F6BC3" w:rsidRDefault="005F6BC3" w:rsidP="001F29E7">
            <w:pPr>
              <w:ind w:left="-108" w:right="-140"/>
              <w:jc w:val="center"/>
              <w:rPr>
                <w:rFonts w:ascii="Arial" w:hAnsi="Arial"/>
              </w:rPr>
            </w:pPr>
            <w:r>
              <w:rPr>
                <w:rFonts w:ascii="Arial" w:hAnsi="Arial"/>
              </w:rPr>
              <w:t>Michigan Department of Environment, Great Lakes, and Energy</w:t>
            </w:r>
          </w:p>
          <w:p w14:paraId="487017B4" w14:textId="77777777" w:rsidR="005F6BC3" w:rsidRDefault="005F6BC3" w:rsidP="001F29E7">
            <w:pPr>
              <w:jc w:val="center"/>
              <w:rPr>
                <w:rFonts w:ascii="Arial" w:hAnsi="Arial"/>
                <w:sz w:val="16"/>
              </w:rPr>
            </w:pPr>
            <w:r>
              <w:rPr>
                <w:rFonts w:ascii="Arial" w:hAnsi="Arial"/>
              </w:rPr>
              <w:t>Air Quality Division</w:t>
            </w:r>
          </w:p>
        </w:tc>
        <w:tc>
          <w:tcPr>
            <w:tcW w:w="2430" w:type="dxa"/>
          </w:tcPr>
          <w:p w14:paraId="0F4A29E3" w14:textId="77777777" w:rsidR="005F6BC3" w:rsidRDefault="005F6BC3" w:rsidP="001F29E7">
            <w:pPr>
              <w:jc w:val="center"/>
              <w:rPr>
                <w:rFonts w:ascii="Arial" w:hAnsi="Arial"/>
                <w:b/>
                <w:sz w:val="24"/>
              </w:rPr>
            </w:pPr>
          </w:p>
        </w:tc>
      </w:tr>
      <w:tr w:rsidR="005F6BC3" w14:paraId="7EEAED0C" w14:textId="77777777" w:rsidTr="001F29E7">
        <w:trPr>
          <w:cantSplit/>
          <w:trHeight w:val="146"/>
        </w:trPr>
        <w:tc>
          <w:tcPr>
            <w:tcW w:w="2250" w:type="dxa"/>
          </w:tcPr>
          <w:p w14:paraId="44456A8A" w14:textId="77777777" w:rsidR="005F6BC3" w:rsidRPr="00DB5924" w:rsidRDefault="005F6BC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6150EFE" w14:textId="77777777" w:rsidR="005F6BC3" w:rsidRDefault="005F6BC3" w:rsidP="001F29E7">
            <w:pPr>
              <w:pStyle w:val="Header"/>
              <w:jc w:val="center"/>
              <w:rPr>
                <w:rFonts w:ascii="Arial" w:hAnsi="Arial"/>
                <w:b/>
                <w:sz w:val="28"/>
              </w:rPr>
            </w:pPr>
            <w:r>
              <w:rPr>
                <w:rFonts w:ascii="Arial" w:hAnsi="Arial"/>
                <w:b/>
                <w:sz w:val="28"/>
              </w:rPr>
              <w:t>RENEWABLE OPERATING PERMIT</w:t>
            </w:r>
          </w:p>
        </w:tc>
        <w:tc>
          <w:tcPr>
            <w:tcW w:w="2430" w:type="dxa"/>
          </w:tcPr>
          <w:p w14:paraId="60ECFE76" w14:textId="77777777" w:rsidR="005F6BC3" w:rsidRPr="00DB5924" w:rsidRDefault="005F6BC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F6BC3" w14:paraId="4B0D05CD" w14:textId="77777777" w:rsidTr="001F29E7">
        <w:trPr>
          <w:cantSplit/>
          <w:trHeight w:val="145"/>
        </w:trPr>
        <w:tc>
          <w:tcPr>
            <w:tcW w:w="2250" w:type="dxa"/>
          </w:tcPr>
          <w:p w14:paraId="1594F30D" w14:textId="56E1BDCF" w:rsidR="005F6BC3" w:rsidRPr="00910FEA" w:rsidRDefault="00527C9A" w:rsidP="001F29E7">
            <w:pPr>
              <w:pStyle w:val="Header"/>
              <w:jc w:val="center"/>
              <w:rPr>
                <w:rFonts w:ascii="Arial" w:hAnsi="Arial"/>
                <w:sz w:val="22"/>
                <w:szCs w:val="22"/>
              </w:rPr>
            </w:pPr>
            <w:r>
              <w:rPr>
                <w:rFonts w:ascii="Arial" w:hAnsi="Arial"/>
                <w:sz w:val="22"/>
                <w:szCs w:val="22"/>
              </w:rPr>
              <w:t>B2814</w:t>
            </w:r>
          </w:p>
        </w:tc>
        <w:tc>
          <w:tcPr>
            <w:tcW w:w="5670" w:type="dxa"/>
          </w:tcPr>
          <w:p w14:paraId="0E3CFFC9" w14:textId="5A16A0AC" w:rsidR="005F6BC3" w:rsidRPr="003D3F6C" w:rsidRDefault="00527C9A" w:rsidP="003D3F6C">
            <w:pPr>
              <w:pStyle w:val="Heading1"/>
              <w:spacing w:before="120"/>
              <w:rPr>
                <w:sz w:val="22"/>
                <w:szCs w:val="22"/>
              </w:rPr>
            </w:pPr>
            <w:bookmarkStart w:id="16" w:name="_Toc170381164"/>
            <w:r w:rsidRPr="00527C9A">
              <w:rPr>
                <w:sz w:val="22"/>
                <w:szCs w:val="22"/>
              </w:rPr>
              <w:t xml:space="preserve">May </w:t>
            </w:r>
            <w:r>
              <w:rPr>
                <w:sz w:val="22"/>
                <w:szCs w:val="22"/>
              </w:rPr>
              <w:t>13</w:t>
            </w:r>
            <w:r w:rsidRPr="00527C9A">
              <w:rPr>
                <w:sz w:val="22"/>
                <w:szCs w:val="22"/>
              </w:rPr>
              <w:t>, 2024</w:t>
            </w:r>
            <w:r w:rsidR="005F6BC3" w:rsidRPr="003D3F6C">
              <w:rPr>
                <w:sz w:val="22"/>
                <w:szCs w:val="22"/>
              </w:rPr>
              <w:t xml:space="preserve"> STAFF REPORT ADDENDUM</w:t>
            </w:r>
            <w:bookmarkEnd w:id="16"/>
          </w:p>
        </w:tc>
        <w:tc>
          <w:tcPr>
            <w:tcW w:w="2430" w:type="dxa"/>
          </w:tcPr>
          <w:p w14:paraId="552D6F20" w14:textId="615A96B2" w:rsidR="005F6BC3" w:rsidRPr="00910FEA" w:rsidRDefault="00527C9A" w:rsidP="001F29E7">
            <w:pPr>
              <w:pStyle w:val="Header"/>
              <w:jc w:val="center"/>
              <w:rPr>
                <w:rFonts w:ascii="Arial" w:hAnsi="Arial"/>
                <w:sz w:val="22"/>
                <w:szCs w:val="22"/>
              </w:rPr>
            </w:pPr>
            <w:r w:rsidRPr="00527C9A">
              <w:rPr>
                <w:rFonts w:ascii="Arial" w:hAnsi="Arial"/>
                <w:sz w:val="22"/>
                <w:szCs w:val="22"/>
              </w:rPr>
              <w:t>MI-ROP-B2814-20</w:t>
            </w:r>
            <w:r w:rsidR="00C46ED3">
              <w:rPr>
                <w:rFonts w:ascii="Arial" w:hAnsi="Arial"/>
                <w:sz w:val="22"/>
                <w:szCs w:val="22"/>
              </w:rPr>
              <w:t>24</w:t>
            </w:r>
            <w:r w:rsidR="005F6BC3"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5F6BC3" w:rsidRPr="00910FEA">
              <w:rPr>
                <w:rFonts w:ascii="Arial" w:hAnsi="Arial"/>
                <w:sz w:val="22"/>
                <w:szCs w:val="22"/>
              </w:rPr>
              <w:instrText xml:space="preserve"> FORMTEXT </w:instrText>
            </w:r>
            <w:r w:rsidR="001D5971">
              <w:rPr>
                <w:rFonts w:ascii="Arial" w:hAnsi="Arial"/>
                <w:sz w:val="22"/>
                <w:szCs w:val="22"/>
              </w:rPr>
            </w:r>
            <w:r w:rsidR="001D5971">
              <w:rPr>
                <w:rFonts w:ascii="Arial" w:hAnsi="Arial"/>
                <w:sz w:val="22"/>
                <w:szCs w:val="22"/>
              </w:rPr>
              <w:fldChar w:fldCharType="separate"/>
            </w:r>
            <w:r w:rsidR="005F6BC3" w:rsidRPr="00910FEA">
              <w:rPr>
                <w:rFonts w:ascii="Arial" w:hAnsi="Arial"/>
                <w:sz w:val="22"/>
                <w:szCs w:val="22"/>
              </w:rPr>
              <w:fldChar w:fldCharType="end"/>
            </w:r>
          </w:p>
        </w:tc>
      </w:tr>
    </w:tbl>
    <w:p w14:paraId="4DA467E2" w14:textId="77777777" w:rsidR="005F6BC3" w:rsidRDefault="005F6BC3">
      <w:pPr>
        <w:pStyle w:val="Header"/>
        <w:tabs>
          <w:tab w:val="clear" w:pos="4320"/>
          <w:tab w:val="clear" w:pos="8640"/>
        </w:tabs>
        <w:rPr>
          <w:rFonts w:ascii="Arial" w:hAnsi="Arial"/>
          <w:sz w:val="18"/>
        </w:rPr>
      </w:pPr>
    </w:p>
    <w:p w14:paraId="37321DD9" w14:textId="77777777" w:rsidR="005F6BC3" w:rsidRDefault="005F6BC3">
      <w:pPr>
        <w:rPr>
          <w:rFonts w:ascii="Arial" w:hAnsi="Arial"/>
          <w:sz w:val="22"/>
        </w:rPr>
      </w:pPr>
    </w:p>
    <w:p w14:paraId="18AFD205" w14:textId="77777777" w:rsidR="005F6BC3" w:rsidRDefault="005F6BC3">
      <w:pPr>
        <w:rPr>
          <w:rFonts w:ascii="Arial" w:hAnsi="Arial"/>
          <w:b/>
          <w:sz w:val="22"/>
          <w:u w:val="single"/>
        </w:rPr>
      </w:pPr>
      <w:bookmarkStart w:id="17" w:name="_Toc482691122"/>
      <w:r>
        <w:rPr>
          <w:rFonts w:ascii="Arial" w:hAnsi="Arial"/>
          <w:b/>
          <w:sz w:val="22"/>
          <w:u w:val="single"/>
        </w:rPr>
        <w:t>Purpose</w:t>
      </w:r>
      <w:bookmarkEnd w:id="17"/>
    </w:p>
    <w:p w14:paraId="2C18C888" w14:textId="77777777" w:rsidR="005F6BC3" w:rsidRDefault="005F6BC3">
      <w:pPr>
        <w:rPr>
          <w:rFonts w:ascii="Arial" w:hAnsi="Arial"/>
          <w:sz w:val="22"/>
        </w:rPr>
      </w:pPr>
    </w:p>
    <w:p w14:paraId="4DD1E485" w14:textId="0EEF8B4E" w:rsidR="005F6BC3" w:rsidRDefault="00527C9A">
      <w:pPr>
        <w:jc w:val="both"/>
        <w:rPr>
          <w:rFonts w:ascii="Arial" w:hAnsi="Arial"/>
          <w:sz w:val="22"/>
        </w:rPr>
      </w:pPr>
      <w:r w:rsidRPr="00527C9A">
        <w:rPr>
          <w:rFonts w:ascii="Arial" w:hAnsi="Arial"/>
          <w:sz w:val="22"/>
        </w:rPr>
        <w:t>A Staff Report dated March 18, 2024, was developed to set forth the applicable requirements and factual basis for the draft Renewable Operating Permit (ROP) terms and conditions as required by Rule 214(1) of the administrative rules promulgated under Act 451.  The purpose of this Staff Report Addendum is to summarize any significant comments received on the draft ROP during the 30-day public comment period as described in Rule 214(3).  In addition, this addendum describes any changes to the draft ROP resulting from these pertinent comments</w:t>
      </w:r>
      <w:r w:rsidR="005F6BC3">
        <w:rPr>
          <w:rFonts w:ascii="Arial" w:hAnsi="Arial"/>
          <w:sz w:val="22"/>
        </w:rPr>
        <w:t xml:space="preserve">. </w:t>
      </w:r>
    </w:p>
    <w:p w14:paraId="0838975D" w14:textId="77777777" w:rsidR="005F6BC3" w:rsidRDefault="005F6BC3">
      <w:pPr>
        <w:rPr>
          <w:rFonts w:ascii="Arial" w:hAnsi="Arial"/>
          <w:sz w:val="22"/>
        </w:rPr>
      </w:pPr>
    </w:p>
    <w:p w14:paraId="7E13847A" w14:textId="77777777" w:rsidR="005F6BC3" w:rsidRDefault="005F6BC3">
      <w:pPr>
        <w:rPr>
          <w:rFonts w:ascii="Arial" w:hAnsi="Arial"/>
          <w:b/>
          <w:sz w:val="22"/>
          <w:u w:val="single"/>
        </w:rPr>
      </w:pPr>
      <w:r>
        <w:rPr>
          <w:rFonts w:ascii="Arial" w:hAnsi="Arial"/>
          <w:b/>
          <w:sz w:val="22"/>
          <w:u w:val="single"/>
        </w:rPr>
        <w:t>General Information</w:t>
      </w:r>
    </w:p>
    <w:p w14:paraId="4DCE3747" w14:textId="77777777" w:rsidR="005F6BC3" w:rsidRDefault="005F6BC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F6BC3" w14:paraId="371F0E78" w14:textId="77777777">
        <w:tc>
          <w:tcPr>
            <w:tcW w:w="4464" w:type="dxa"/>
          </w:tcPr>
          <w:p w14:paraId="7B2B7B7A" w14:textId="77777777" w:rsidR="005F6BC3" w:rsidRDefault="005F6BC3" w:rsidP="00D71785">
            <w:pPr>
              <w:tabs>
                <w:tab w:val="left" w:pos="3424"/>
              </w:tabs>
              <w:rPr>
                <w:rFonts w:ascii="Arial" w:hAnsi="Arial"/>
                <w:sz w:val="22"/>
              </w:rPr>
            </w:pPr>
            <w:r>
              <w:rPr>
                <w:rFonts w:ascii="Arial" w:hAnsi="Arial"/>
                <w:sz w:val="22"/>
              </w:rPr>
              <w:t>Responsible Official:</w:t>
            </w:r>
          </w:p>
        </w:tc>
        <w:tc>
          <w:tcPr>
            <w:tcW w:w="5796" w:type="dxa"/>
          </w:tcPr>
          <w:p w14:paraId="0DEDC2FF" w14:textId="77777777" w:rsidR="00527C9A" w:rsidRPr="00527C9A" w:rsidRDefault="00527C9A" w:rsidP="00527C9A">
            <w:pPr>
              <w:tabs>
                <w:tab w:val="left" w:pos="3424"/>
              </w:tabs>
              <w:rPr>
                <w:rFonts w:ascii="Arial" w:hAnsi="Arial" w:cs="Arial"/>
                <w:sz w:val="22"/>
                <w:szCs w:val="22"/>
              </w:rPr>
            </w:pPr>
            <w:r w:rsidRPr="00527C9A">
              <w:rPr>
                <w:rFonts w:ascii="Arial" w:hAnsi="Arial" w:cs="Arial"/>
                <w:sz w:val="22"/>
                <w:szCs w:val="22"/>
              </w:rPr>
              <w:t>Phil Malara, Plant Manager</w:t>
            </w:r>
          </w:p>
          <w:p w14:paraId="2C5795EA" w14:textId="755E721F" w:rsidR="005F6BC3" w:rsidRDefault="00527C9A" w:rsidP="00527C9A">
            <w:pPr>
              <w:rPr>
                <w:rFonts w:ascii="Arial" w:hAnsi="Arial"/>
                <w:sz w:val="22"/>
              </w:rPr>
            </w:pPr>
            <w:r w:rsidRPr="00527C9A">
              <w:rPr>
                <w:rFonts w:ascii="Arial" w:hAnsi="Arial" w:cs="Arial"/>
                <w:sz w:val="22"/>
                <w:szCs w:val="22"/>
              </w:rPr>
              <w:t>313-972-4335</w:t>
            </w:r>
          </w:p>
        </w:tc>
      </w:tr>
      <w:tr w:rsidR="005F6BC3" w14:paraId="460EBBC6" w14:textId="77777777">
        <w:tc>
          <w:tcPr>
            <w:tcW w:w="4464" w:type="dxa"/>
          </w:tcPr>
          <w:p w14:paraId="3D7AF0FA" w14:textId="77777777" w:rsidR="005F6BC3" w:rsidRDefault="005F6BC3">
            <w:pPr>
              <w:rPr>
                <w:rFonts w:ascii="Arial" w:hAnsi="Arial"/>
                <w:sz w:val="22"/>
              </w:rPr>
            </w:pPr>
            <w:r>
              <w:rPr>
                <w:rFonts w:ascii="Arial" w:hAnsi="Arial"/>
                <w:sz w:val="22"/>
              </w:rPr>
              <w:t>AQD Contact:</w:t>
            </w:r>
          </w:p>
        </w:tc>
        <w:tc>
          <w:tcPr>
            <w:tcW w:w="5796" w:type="dxa"/>
          </w:tcPr>
          <w:p w14:paraId="09762009" w14:textId="77777777" w:rsidR="00527C9A" w:rsidRPr="00527C9A" w:rsidRDefault="00527C9A" w:rsidP="00527C9A">
            <w:pPr>
              <w:rPr>
                <w:rFonts w:ascii="Arial" w:hAnsi="Arial" w:cs="Arial"/>
                <w:sz w:val="22"/>
                <w:szCs w:val="22"/>
              </w:rPr>
            </w:pPr>
            <w:r w:rsidRPr="00527C9A">
              <w:rPr>
                <w:rFonts w:ascii="Arial" w:hAnsi="Arial" w:cs="Arial"/>
                <w:sz w:val="22"/>
                <w:szCs w:val="22"/>
              </w:rPr>
              <w:t>Sam Liveson, Senior Environmental Engineer</w:t>
            </w:r>
          </w:p>
          <w:p w14:paraId="0E53F5F0" w14:textId="13B7BAD6" w:rsidR="005F6BC3" w:rsidRDefault="00527C9A" w:rsidP="00527C9A">
            <w:pPr>
              <w:rPr>
                <w:rFonts w:ascii="Arial" w:hAnsi="Arial"/>
                <w:sz w:val="22"/>
              </w:rPr>
            </w:pPr>
            <w:r w:rsidRPr="00527C9A">
              <w:rPr>
                <w:rFonts w:ascii="Arial" w:hAnsi="Arial" w:cs="Arial"/>
                <w:sz w:val="22"/>
                <w:szCs w:val="22"/>
              </w:rPr>
              <w:t>313-405-1357</w:t>
            </w:r>
          </w:p>
        </w:tc>
      </w:tr>
    </w:tbl>
    <w:p w14:paraId="3E466EA0" w14:textId="77777777" w:rsidR="005F6BC3" w:rsidRDefault="005F6BC3">
      <w:pPr>
        <w:jc w:val="both"/>
        <w:rPr>
          <w:rFonts w:ascii="Arial" w:hAnsi="Arial"/>
          <w:sz w:val="22"/>
        </w:rPr>
      </w:pPr>
    </w:p>
    <w:p w14:paraId="2F0EC5D8" w14:textId="77777777" w:rsidR="005F6BC3" w:rsidRDefault="005F6BC3">
      <w:pPr>
        <w:rPr>
          <w:rFonts w:ascii="Arial" w:hAnsi="Arial"/>
          <w:b/>
          <w:sz w:val="22"/>
          <w:u w:val="single"/>
        </w:rPr>
      </w:pPr>
      <w:bookmarkStart w:id="18" w:name="_Toc482691123"/>
      <w:r>
        <w:rPr>
          <w:rFonts w:ascii="Arial" w:hAnsi="Arial"/>
          <w:b/>
          <w:sz w:val="22"/>
          <w:u w:val="single"/>
        </w:rPr>
        <w:t>Summary of Pertinent Comments</w:t>
      </w:r>
      <w:bookmarkEnd w:id="18"/>
    </w:p>
    <w:p w14:paraId="64C8C183" w14:textId="77777777" w:rsidR="005F6BC3" w:rsidRDefault="005F6BC3">
      <w:pPr>
        <w:rPr>
          <w:rFonts w:ascii="Arial" w:hAnsi="Arial"/>
          <w:b/>
          <w:sz w:val="22"/>
          <w:u w:val="single"/>
        </w:rPr>
      </w:pPr>
    </w:p>
    <w:p w14:paraId="7014B380" w14:textId="187EB562" w:rsidR="005F6BC3" w:rsidRDefault="00CB0A33">
      <w:pPr>
        <w:jc w:val="both"/>
        <w:rPr>
          <w:rFonts w:ascii="Arial" w:hAnsi="Arial"/>
          <w:noProof/>
          <w:sz w:val="22"/>
        </w:rPr>
      </w:pPr>
      <w:bookmarkStart w:id="19" w:name="Text9"/>
      <w:r>
        <w:rPr>
          <w:rFonts w:ascii="Arial" w:hAnsi="Arial"/>
          <w:sz w:val="22"/>
        </w:rPr>
        <w:t>Four c</w:t>
      </w:r>
      <w:r w:rsidR="005F6BC3">
        <w:rPr>
          <w:rFonts w:ascii="Arial" w:hAnsi="Arial"/>
          <w:noProof/>
          <w:sz w:val="22"/>
        </w:rPr>
        <w:t>omments were received by the facility on April 12, 2024.</w:t>
      </w:r>
    </w:p>
    <w:p w14:paraId="0FFD7295" w14:textId="77777777" w:rsidR="005F6BC3" w:rsidRDefault="005F6BC3">
      <w:pPr>
        <w:jc w:val="both"/>
        <w:rPr>
          <w:rFonts w:ascii="Arial" w:hAnsi="Arial"/>
          <w:noProof/>
          <w:sz w:val="22"/>
        </w:rPr>
      </w:pPr>
    </w:p>
    <w:p w14:paraId="5BFC28AE" w14:textId="294ECCF6" w:rsidR="005F6BC3" w:rsidRDefault="005F6BC3">
      <w:pPr>
        <w:jc w:val="both"/>
        <w:rPr>
          <w:rFonts w:ascii="Arial" w:hAnsi="Arial"/>
          <w:sz w:val="22"/>
        </w:rPr>
      </w:pPr>
      <w:r>
        <w:rPr>
          <w:rFonts w:ascii="Arial" w:hAnsi="Arial"/>
          <w:sz w:val="22"/>
        </w:rPr>
        <w:t>Comment 1</w:t>
      </w:r>
      <w:r w:rsidR="00CB0A33">
        <w:rPr>
          <w:rFonts w:ascii="Arial" w:hAnsi="Arial"/>
          <w:sz w:val="22"/>
        </w:rPr>
        <w:t xml:space="preserve"> from the facility</w:t>
      </w:r>
      <w:r>
        <w:rPr>
          <w:rFonts w:ascii="Arial" w:hAnsi="Arial"/>
          <w:sz w:val="22"/>
        </w:rPr>
        <w:t>:</w:t>
      </w:r>
    </w:p>
    <w:p w14:paraId="60EC81BE" w14:textId="77777777" w:rsidR="005F6BC3" w:rsidRDefault="005F6BC3">
      <w:pPr>
        <w:jc w:val="both"/>
        <w:rPr>
          <w:rFonts w:ascii="Arial" w:hAnsi="Arial"/>
          <w:sz w:val="22"/>
        </w:rPr>
      </w:pPr>
    </w:p>
    <w:p w14:paraId="5D78EE02" w14:textId="77777777" w:rsidR="002B159F" w:rsidRDefault="002B159F" w:rsidP="002B159F">
      <w:pPr>
        <w:ind w:left="720"/>
        <w:jc w:val="both"/>
        <w:rPr>
          <w:rFonts w:ascii="Arial" w:hAnsi="Arial"/>
          <w:sz w:val="22"/>
        </w:rPr>
      </w:pPr>
      <w:r>
        <w:rPr>
          <w:rFonts w:ascii="Arial" w:hAnsi="Arial"/>
          <w:sz w:val="22"/>
        </w:rPr>
        <w:t>1. Appendix 7A - Nitrogen Oxides (NOx) Emission Factors for EUBOILER1 and EUBOILER2.</w:t>
      </w:r>
    </w:p>
    <w:p w14:paraId="206FB5C3" w14:textId="77777777" w:rsidR="002B159F" w:rsidRDefault="002B159F" w:rsidP="002B159F">
      <w:pPr>
        <w:ind w:left="720"/>
        <w:jc w:val="both"/>
        <w:rPr>
          <w:rFonts w:ascii="Arial" w:hAnsi="Arial"/>
          <w:sz w:val="22"/>
        </w:rPr>
      </w:pPr>
    </w:p>
    <w:p w14:paraId="108A149B" w14:textId="034F9E11" w:rsidR="005F6BC3" w:rsidRDefault="005F6BC3" w:rsidP="002B159F">
      <w:pPr>
        <w:ind w:left="720"/>
        <w:jc w:val="both"/>
        <w:rPr>
          <w:rFonts w:ascii="Arial" w:hAnsi="Arial"/>
          <w:sz w:val="22"/>
        </w:rPr>
      </w:pPr>
      <w:r>
        <w:rPr>
          <w:rFonts w:ascii="Arial" w:hAnsi="Arial"/>
          <w:sz w:val="22"/>
        </w:rPr>
        <w:t>AQD has proposed emission factors for Boilers 1 and 2 of 280 lbs. NOx per million cubic feet of natural gas. This emission factor was added during this renewal period. The facility has used an applicable emission factor of 190 lbs. NOx per million cubic feet in calculations determining compliance with the NOx emission limit for boilers 1 and 2 during the ozone season which, in the draft permit, is included as FG-BOILER_1-4_RULE801 special condition (SC) I.1. While the facility has satisfactorily used the 190 lbs. NOx emission factor in previous calculations reviewed and tacitly approved by the district, the proposed emission factor will mean that boilers 1 and 2 would theoretically not be in compliance with SC I.1 during the 2024 ozone season if the proposed emission factors are required.</w:t>
      </w:r>
    </w:p>
    <w:p w14:paraId="05FBA2B0" w14:textId="77777777" w:rsidR="005F6BC3" w:rsidRDefault="005F6BC3" w:rsidP="002B159F">
      <w:pPr>
        <w:ind w:left="720"/>
        <w:jc w:val="both"/>
        <w:rPr>
          <w:rFonts w:ascii="Arial" w:hAnsi="Arial"/>
          <w:sz w:val="22"/>
        </w:rPr>
      </w:pPr>
    </w:p>
    <w:p w14:paraId="1A97E0D7" w14:textId="31CCE22B" w:rsidR="005F6BC3" w:rsidRDefault="005F6BC3" w:rsidP="002B159F">
      <w:pPr>
        <w:ind w:left="720"/>
        <w:jc w:val="both"/>
        <w:rPr>
          <w:rFonts w:ascii="Arial" w:hAnsi="Arial"/>
          <w:sz w:val="22"/>
        </w:rPr>
      </w:pPr>
      <w:r>
        <w:rPr>
          <w:rFonts w:ascii="Arial" w:hAnsi="Arial"/>
          <w:sz w:val="22"/>
        </w:rPr>
        <w:t>The facility is required to perform stack testing on Boilers 1 and 2 within 180 days of operation using natural gas or combination of fuel oil (SC V.1 and V.2, respectively) after the effective date of the permit. The facility proposes to remove the proposed emission factors for EUBOILER1 and EUBOILER2, pending stack testing which will establish emission factors as otherwise stated in Appendix 7A.</w:t>
      </w:r>
    </w:p>
    <w:p w14:paraId="51415A00" w14:textId="77777777" w:rsidR="005F6BC3" w:rsidRDefault="005F6BC3">
      <w:pPr>
        <w:jc w:val="both"/>
        <w:rPr>
          <w:rFonts w:ascii="Arial" w:hAnsi="Arial"/>
          <w:sz w:val="22"/>
        </w:rPr>
      </w:pPr>
    </w:p>
    <w:p w14:paraId="0C86D9C6" w14:textId="77777777" w:rsidR="00CB0A33" w:rsidRDefault="005F6BC3">
      <w:pPr>
        <w:jc w:val="both"/>
        <w:rPr>
          <w:rFonts w:ascii="Arial" w:hAnsi="Arial"/>
          <w:sz w:val="22"/>
        </w:rPr>
      </w:pPr>
      <w:r>
        <w:rPr>
          <w:rFonts w:ascii="Arial" w:hAnsi="Arial"/>
          <w:sz w:val="22"/>
        </w:rPr>
        <w:t>AQD Response to Comment 1:</w:t>
      </w:r>
    </w:p>
    <w:p w14:paraId="0F12070F" w14:textId="77777777" w:rsidR="00CB0A33" w:rsidRDefault="00CB0A33">
      <w:pPr>
        <w:jc w:val="both"/>
        <w:rPr>
          <w:rFonts w:ascii="Arial" w:hAnsi="Arial"/>
          <w:sz w:val="22"/>
        </w:rPr>
      </w:pPr>
    </w:p>
    <w:p w14:paraId="0A9B7417" w14:textId="42332367" w:rsidR="005F6BC3" w:rsidRDefault="005F6BC3" w:rsidP="002B159F">
      <w:pPr>
        <w:ind w:left="720"/>
        <w:jc w:val="both"/>
        <w:rPr>
          <w:rFonts w:ascii="Arial" w:hAnsi="Arial"/>
          <w:sz w:val="22"/>
        </w:rPr>
      </w:pPr>
      <w:r>
        <w:rPr>
          <w:rFonts w:ascii="Arial" w:hAnsi="Arial"/>
          <w:sz w:val="22"/>
        </w:rPr>
        <w:t xml:space="preserve">AQD </w:t>
      </w:r>
      <w:r w:rsidR="00E0242D">
        <w:rPr>
          <w:rFonts w:ascii="Arial" w:hAnsi="Arial"/>
          <w:sz w:val="22"/>
        </w:rPr>
        <w:t xml:space="preserve">agrees that compliance with the emission limit in FG-BOILER_1-4_RULE801 SC I.1 is determined by stack testing. The Monitoring/Testing Method for this emission limit </w:t>
      </w:r>
      <w:r w:rsidR="00A400E0">
        <w:rPr>
          <w:rFonts w:ascii="Arial" w:hAnsi="Arial"/>
          <w:sz w:val="22"/>
        </w:rPr>
        <w:t>are conditions</w:t>
      </w:r>
      <w:r w:rsidR="00E0242D">
        <w:rPr>
          <w:rFonts w:ascii="Arial" w:hAnsi="Arial"/>
          <w:sz w:val="22"/>
        </w:rPr>
        <w:t xml:space="preserve"> V.1 and V.3, which are stack testing conditions.</w:t>
      </w:r>
      <w:r w:rsidR="00C92079">
        <w:rPr>
          <w:rFonts w:ascii="Arial" w:hAnsi="Arial"/>
          <w:sz w:val="22"/>
        </w:rPr>
        <w:t xml:space="preserve"> </w:t>
      </w:r>
      <w:r w:rsidR="00CB0A33">
        <w:rPr>
          <w:rFonts w:ascii="Arial" w:hAnsi="Arial"/>
          <w:sz w:val="22"/>
        </w:rPr>
        <w:t xml:space="preserve">Emission factors in Appendix 7A are placeholders for stack testing. Stack testing is required within 180 days of ROP issuance per </w:t>
      </w:r>
      <w:r w:rsidR="00CB0A33" w:rsidRPr="00CB0A33">
        <w:rPr>
          <w:rFonts w:ascii="Arial" w:hAnsi="Arial"/>
          <w:sz w:val="22"/>
        </w:rPr>
        <w:t>FG-BOILER_1-</w:t>
      </w:r>
      <w:r w:rsidR="00CB0A33" w:rsidRPr="00CB0A33">
        <w:rPr>
          <w:rFonts w:ascii="Arial" w:hAnsi="Arial"/>
          <w:sz w:val="22"/>
        </w:rPr>
        <w:lastRenderedPageBreak/>
        <w:t>4_RULE801</w:t>
      </w:r>
      <w:r w:rsidR="00CB0A33">
        <w:rPr>
          <w:rFonts w:ascii="Arial" w:hAnsi="Arial"/>
          <w:sz w:val="22"/>
        </w:rPr>
        <w:t xml:space="preserve"> SC V.1. Because compliance will be determined by stack testing within 180 days of permit issuance, AQD will remove these emission factors from Appendix 7A.</w:t>
      </w:r>
    </w:p>
    <w:p w14:paraId="1A45C801" w14:textId="77777777" w:rsidR="00CB0A33" w:rsidRDefault="00CB0A33">
      <w:pPr>
        <w:jc w:val="both"/>
        <w:rPr>
          <w:rFonts w:ascii="Arial" w:hAnsi="Arial"/>
          <w:sz w:val="22"/>
        </w:rPr>
      </w:pPr>
    </w:p>
    <w:p w14:paraId="040771DF" w14:textId="5E28A6B0" w:rsidR="00CB0A33" w:rsidRDefault="00CB0A33">
      <w:pPr>
        <w:jc w:val="both"/>
        <w:rPr>
          <w:rFonts w:ascii="Arial" w:hAnsi="Arial"/>
          <w:sz w:val="22"/>
        </w:rPr>
      </w:pPr>
      <w:r>
        <w:rPr>
          <w:rFonts w:ascii="Arial" w:hAnsi="Arial"/>
          <w:sz w:val="22"/>
        </w:rPr>
        <w:t>Comment 2 from the facility:</w:t>
      </w:r>
    </w:p>
    <w:p w14:paraId="18AB88B0" w14:textId="77777777" w:rsidR="00CB0A33" w:rsidRDefault="00CB0A33">
      <w:pPr>
        <w:jc w:val="both"/>
        <w:rPr>
          <w:rFonts w:ascii="Arial" w:hAnsi="Arial"/>
          <w:sz w:val="22"/>
        </w:rPr>
      </w:pPr>
    </w:p>
    <w:p w14:paraId="5664A9DA" w14:textId="16525A9E" w:rsidR="002B159F" w:rsidRDefault="002B159F" w:rsidP="002B159F">
      <w:pPr>
        <w:ind w:left="720"/>
        <w:jc w:val="both"/>
        <w:rPr>
          <w:rFonts w:ascii="Arial" w:hAnsi="Arial"/>
          <w:sz w:val="22"/>
        </w:rPr>
      </w:pPr>
      <w:r>
        <w:rPr>
          <w:rFonts w:ascii="Arial" w:hAnsi="Arial"/>
          <w:sz w:val="22"/>
        </w:rPr>
        <w:t>2. FG-BOILER_1-4_RULE801 SC V.3</w:t>
      </w:r>
    </w:p>
    <w:p w14:paraId="798AA848" w14:textId="77777777" w:rsidR="002B159F" w:rsidRDefault="002B159F" w:rsidP="002B159F">
      <w:pPr>
        <w:ind w:left="720"/>
        <w:jc w:val="both"/>
        <w:rPr>
          <w:rFonts w:ascii="Arial" w:hAnsi="Arial"/>
          <w:sz w:val="22"/>
        </w:rPr>
      </w:pPr>
    </w:p>
    <w:p w14:paraId="40501682" w14:textId="5001213B" w:rsidR="00CB0A33" w:rsidRDefault="00CB0A33" w:rsidP="002B159F">
      <w:pPr>
        <w:ind w:left="720"/>
        <w:jc w:val="both"/>
        <w:rPr>
          <w:rFonts w:ascii="Arial" w:hAnsi="Arial"/>
          <w:sz w:val="22"/>
        </w:rPr>
      </w:pPr>
      <w:r>
        <w:rPr>
          <w:rFonts w:ascii="Arial" w:hAnsi="Arial"/>
          <w:sz w:val="22"/>
        </w:rPr>
        <w:t>The facility understands that the requirement to test during the ozone season begins after the initial performance test (SC V.1 and V.2) which are required within 180 days after the effective date of the ROP. Due to the timing of the renewal, the facility would appreciate clarification or agreement that the initial performance test during the ozone season will likely be required in 2025. This would follow a presumptive initial performance test in October (within 180 days of an anticipated ROP effective date in May) after which a performance test during the ozone season would be required.</w:t>
      </w:r>
    </w:p>
    <w:p w14:paraId="189D450E" w14:textId="0B459E6C" w:rsidR="00CB0A33" w:rsidRDefault="00CB0A33" w:rsidP="002B159F">
      <w:pPr>
        <w:ind w:left="720"/>
        <w:jc w:val="both"/>
        <w:rPr>
          <w:rFonts w:ascii="Arial" w:hAnsi="Arial"/>
          <w:sz w:val="22"/>
        </w:rPr>
      </w:pPr>
    </w:p>
    <w:p w14:paraId="5FC63CAF" w14:textId="3AD08E6E" w:rsidR="00CB0A33" w:rsidRDefault="00CB0A33" w:rsidP="002B159F">
      <w:pPr>
        <w:ind w:left="720"/>
        <w:jc w:val="both"/>
        <w:rPr>
          <w:rFonts w:ascii="Arial" w:hAnsi="Arial"/>
          <w:sz w:val="22"/>
        </w:rPr>
      </w:pPr>
      <w:r>
        <w:rPr>
          <w:rFonts w:ascii="Arial" w:hAnsi="Arial"/>
          <w:sz w:val="22"/>
        </w:rPr>
        <w:t>As previously discussed with AQD, the facility primarily operates Boilers 1 and 2 during the cold season to provide steam heating to the downtown heating district and therefore, plans to conduct the initial performance test when colder weather is anticipated, and a higher boiler load is feasible.</w:t>
      </w:r>
    </w:p>
    <w:p w14:paraId="68FE1E05" w14:textId="77777777" w:rsidR="00CB0A33" w:rsidRDefault="00CB0A33">
      <w:pPr>
        <w:jc w:val="both"/>
        <w:rPr>
          <w:rFonts w:ascii="Arial" w:hAnsi="Arial"/>
          <w:sz w:val="22"/>
        </w:rPr>
      </w:pPr>
    </w:p>
    <w:p w14:paraId="65C7F00A" w14:textId="617D5B79" w:rsidR="00CB0A33" w:rsidRDefault="00CB0A33">
      <w:pPr>
        <w:jc w:val="both"/>
        <w:rPr>
          <w:rFonts w:ascii="Arial" w:hAnsi="Arial"/>
          <w:sz w:val="22"/>
        </w:rPr>
      </w:pPr>
      <w:r>
        <w:rPr>
          <w:rFonts w:ascii="Arial" w:hAnsi="Arial"/>
          <w:sz w:val="22"/>
        </w:rPr>
        <w:t>AQD Response to Comment 2:</w:t>
      </w:r>
    </w:p>
    <w:p w14:paraId="0E77812F" w14:textId="77777777" w:rsidR="00CB0A33" w:rsidRDefault="00CB0A33">
      <w:pPr>
        <w:jc w:val="both"/>
        <w:rPr>
          <w:rFonts w:ascii="Arial" w:hAnsi="Arial"/>
          <w:sz w:val="22"/>
        </w:rPr>
      </w:pPr>
    </w:p>
    <w:p w14:paraId="37F47AF8" w14:textId="1CAC9372" w:rsidR="00CB0A33" w:rsidRDefault="00CB0A33" w:rsidP="002B159F">
      <w:pPr>
        <w:ind w:left="720"/>
        <w:jc w:val="both"/>
        <w:rPr>
          <w:rFonts w:ascii="Arial" w:hAnsi="Arial"/>
          <w:sz w:val="22"/>
        </w:rPr>
      </w:pPr>
      <w:r>
        <w:rPr>
          <w:rFonts w:ascii="Arial" w:hAnsi="Arial"/>
          <w:sz w:val="22"/>
        </w:rPr>
        <w:t>AQD agrees that</w:t>
      </w:r>
      <w:r w:rsidR="00333237">
        <w:rPr>
          <w:rFonts w:ascii="Arial" w:hAnsi="Arial"/>
          <w:sz w:val="22"/>
        </w:rPr>
        <w:t xml:space="preserve"> after the initial performance test per FG-BOILER_1-4_RULE801 SC V.1, the </w:t>
      </w:r>
      <w:r w:rsidR="002B159F">
        <w:rPr>
          <w:rFonts w:ascii="Arial" w:hAnsi="Arial"/>
          <w:sz w:val="22"/>
        </w:rPr>
        <w:t xml:space="preserve">first </w:t>
      </w:r>
      <w:r w:rsidR="00333237">
        <w:rPr>
          <w:rFonts w:ascii="Arial" w:hAnsi="Arial"/>
          <w:sz w:val="22"/>
        </w:rPr>
        <w:t>test</w:t>
      </w:r>
      <w:r w:rsidR="002B159F">
        <w:rPr>
          <w:rFonts w:ascii="Arial" w:hAnsi="Arial"/>
          <w:sz w:val="22"/>
        </w:rPr>
        <w:t xml:space="preserve"> required</w:t>
      </w:r>
      <w:r w:rsidR="00333237">
        <w:rPr>
          <w:rFonts w:ascii="Arial" w:hAnsi="Arial"/>
          <w:sz w:val="22"/>
        </w:rPr>
        <w:t xml:space="preserve"> in</w:t>
      </w:r>
      <w:r w:rsidR="002B159F">
        <w:rPr>
          <w:rFonts w:ascii="Arial" w:hAnsi="Arial"/>
          <w:sz w:val="22"/>
        </w:rPr>
        <w:t xml:space="preserve"> SC</w:t>
      </w:r>
      <w:r w:rsidR="00333237">
        <w:rPr>
          <w:rFonts w:ascii="Arial" w:hAnsi="Arial"/>
          <w:sz w:val="22"/>
        </w:rPr>
        <w:t xml:space="preserve"> V.3.a will </w:t>
      </w:r>
      <w:r w:rsidR="00333237" w:rsidRPr="00333237">
        <w:rPr>
          <w:rFonts w:ascii="Arial" w:hAnsi="Arial"/>
          <w:sz w:val="22"/>
        </w:rPr>
        <w:t xml:space="preserve">likely be </w:t>
      </w:r>
      <w:r w:rsidR="00BA7B59">
        <w:rPr>
          <w:rFonts w:ascii="Arial" w:hAnsi="Arial"/>
          <w:sz w:val="22"/>
        </w:rPr>
        <w:t xml:space="preserve">during </w:t>
      </w:r>
      <w:r w:rsidR="00333237">
        <w:rPr>
          <w:rFonts w:ascii="Arial" w:hAnsi="Arial"/>
          <w:sz w:val="22"/>
        </w:rPr>
        <w:t>the 2025 ozone control peri</w:t>
      </w:r>
      <w:r w:rsidR="002B159F">
        <w:rPr>
          <w:rFonts w:ascii="Arial" w:hAnsi="Arial"/>
          <w:sz w:val="22"/>
        </w:rPr>
        <w:t xml:space="preserve">od, </w:t>
      </w:r>
      <w:r w:rsidR="00C63036">
        <w:rPr>
          <w:rFonts w:ascii="Arial" w:hAnsi="Arial"/>
          <w:sz w:val="22"/>
        </w:rPr>
        <w:t>depending on the ROP issuance date.</w:t>
      </w:r>
    </w:p>
    <w:p w14:paraId="40F6274B" w14:textId="77777777" w:rsidR="00333237" w:rsidRDefault="00333237">
      <w:pPr>
        <w:jc w:val="both"/>
        <w:rPr>
          <w:rFonts w:ascii="Arial" w:hAnsi="Arial"/>
          <w:sz w:val="22"/>
        </w:rPr>
      </w:pPr>
    </w:p>
    <w:p w14:paraId="5813FCA6" w14:textId="0C92D20B" w:rsidR="00333237" w:rsidRDefault="00333237">
      <w:pPr>
        <w:jc w:val="both"/>
        <w:rPr>
          <w:rFonts w:ascii="Arial" w:hAnsi="Arial"/>
          <w:sz w:val="22"/>
        </w:rPr>
      </w:pPr>
      <w:r>
        <w:rPr>
          <w:rFonts w:ascii="Arial" w:hAnsi="Arial"/>
          <w:sz w:val="22"/>
        </w:rPr>
        <w:t>Comment 3 from the facility:</w:t>
      </w:r>
    </w:p>
    <w:p w14:paraId="00A0245E" w14:textId="77777777" w:rsidR="00333237" w:rsidRDefault="00333237">
      <w:pPr>
        <w:jc w:val="both"/>
        <w:rPr>
          <w:rFonts w:ascii="Arial" w:hAnsi="Arial"/>
          <w:sz w:val="22"/>
        </w:rPr>
      </w:pPr>
    </w:p>
    <w:p w14:paraId="04227C7D" w14:textId="7AC3A19F" w:rsidR="00333237" w:rsidRDefault="006D1812" w:rsidP="002B159F">
      <w:pPr>
        <w:ind w:left="720"/>
        <w:jc w:val="both"/>
        <w:rPr>
          <w:rFonts w:ascii="Arial" w:hAnsi="Arial"/>
          <w:sz w:val="22"/>
        </w:rPr>
      </w:pPr>
      <w:r>
        <w:rPr>
          <w:rFonts w:ascii="Arial" w:hAnsi="Arial"/>
          <w:sz w:val="22"/>
        </w:rPr>
        <w:t xml:space="preserve">3. </w:t>
      </w:r>
      <w:r w:rsidR="002B159F">
        <w:rPr>
          <w:rFonts w:ascii="Arial" w:hAnsi="Arial"/>
          <w:sz w:val="22"/>
        </w:rPr>
        <w:t>FG-BOILER_6,7 SC IV.1 and IV.2</w:t>
      </w:r>
    </w:p>
    <w:p w14:paraId="6A6AA207" w14:textId="77777777" w:rsidR="002B159F" w:rsidRDefault="002B159F" w:rsidP="002B159F">
      <w:pPr>
        <w:ind w:left="720"/>
        <w:jc w:val="both"/>
        <w:rPr>
          <w:rFonts w:ascii="Arial" w:hAnsi="Arial"/>
          <w:sz w:val="22"/>
        </w:rPr>
      </w:pPr>
    </w:p>
    <w:p w14:paraId="688126EE" w14:textId="72B461FB" w:rsidR="002B159F" w:rsidRDefault="002B159F" w:rsidP="002B159F">
      <w:pPr>
        <w:ind w:left="720"/>
        <w:jc w:val="both"/>
        <w:rPr>
          <w:rFonts w:ascii="Arial" w:hAnsi="Arial"/>
          <w:sz w:val="22"/>
        </w:rPr>
      </w:pPr>
      <w:r>
        <w:rPr>
          <w:rFonts w:ascii="Arial" w:hAnsi="Arial"/>
          <w:sz w:val="22"/>
        </w:rPr>
        <w:t>These special conditions require PEMS when operating Boilers 6 and 7, however the propose language includes “individually for natural-gas combustion and for No. 2 fuel oil combustion.” The facility recommends specifying when these conditions apply by adding “when combusting natural gas” and “when combusting No. 2 fuel oil”. That is to say, the facility understands that PEMS must be installed, certified, maintained, and operate prior to and when combusting the individual fuels. The facility currently combusts natural gas in Boilers 6 and 7 and if they decide to combust fuel oil in the future, the facility understands that they would need to install, certify, maintain, and operate the PEMS prior to No. 2 fuel oil combustion.</w:t>
      </w:r>
    </w:p>
    <w:p w14:paraId="1B2F0C86" w14:textId="77777777" w:rsidR="002B159F" w:rsidRDefault="002B159F">
      <w:pPr>
        <w:jc w:val="both"/>
        <w:rPr>
          <w:rFonts w:ascii="Arial" w:hAnsi="Arial"/>
          <w:sz w:val="22"/>
        </w:rPr>
      </w:pPr>
    </w:p>
    <w:p w14:paraId="29561C2F" w14:textId="5EAECF95" w:rsidR="002B159F" w:rsidRDefault="002B159F">
      <w:pPr>
        <w:jc w:val="both"/>
        <w:rPr>
          <w:rFonts w:ascii="Arial" w:hAnsi="Arial"/>
          <w:sz w:val="22"/>
        </w:rPr>
      </w:pPr>
      <w:r>
        <w:rPr>
          <w:rFonts w:ascii="Arial" w:hAnsi="Arial"/>
          <w:sz w:val="22"/>
        </w:rPr>
        <w:t>AQD Response to Comment 3:</w:t>
      </w:r>
    </w:p>
    <w:p w14:paraId="0ABD0D9A" w14:textId="77777777" w:rsidR="002B159F" w:rsidRDefault="002B159F">
      <w:pPr>
        <w:jc w:val="both"/>
        <w:rPr>
          <w:rFonts w:ascii="Arial" w:hAnsi="Arial"/>
          <w:sz w:val="22"/>
        </w:rPr>
      </w:pPr>
    </w:p>
    <w:p w14:paraId="4A3FAED8" w14:textId="0881DCB2" w:rsidR="002B159F" w:rsidRDefault="006D1812" w:rsidP="006D1812">
      <w:pPr>
        <w:ind w:left="720"/>
        <w:jc w:val="both"/>
        <w:rPr>
          <w:rFonts w:ascii="Arial" w:hAnsi="Arial"/>
          <w:sz w:val="22"/>
        </w:rPr>
      </w:pPr>
      <w:r>
        <w:rPr>
          <w:rFonts w:ascii="Arial" w:hAnsi="Arial"/>
          <w:sz w:val="22"/>
        </w:rPr>
        <w:t>These conditions IV.1 and IV.2 come from Permit to Install 62-21, and these conditions are being rolled into the Renewable Operating Permit. AQD does not modify Permit to Install conditions during the ROP process</w:t>
      </w:r>
      <w:r w:rsidR="00A400E0">
        <w:rPr>
          <w:rFonts w:ascii="Arial" w:hAnsi="Arial"/>
          <w:sz w:val="22"/>
        </w:rPr>
        <w:t xml:space="preserve"> unless the condition is obsolete or in error</w:t>
      </w:r>
      <w:r>
        <w:rPr>
          <w:rFonts w:ascii="Arial" w:hAnsi="Arial"/>
          <w:sz w:val="22"/>
        </w:rPr>
        <w:t xml:space="preserve">. To </w:t>
      </w:r>
      <w:r w:rsidR="00A400E0">
        <w:rPr>
          <w:rFonts w:ascii="Arial" w:hAnsi="Arial"/>
          <w:sz w:val="22"/>
        </w:rPr>
        <w:t>change these conditions</w:t>
      </w:r>
      <w:r>
        <w:rPr>
          <w:rFonts w:ascii="Arial" w:hAnsi="Arial"/>
          <w:sz w:val="22"/>
        </w:rPr>
        <w:t>, the facility can apply to modify these conditions via a Permit to Install application.</w:t>
      </w:r>
    </w:p>
    <w:p w14:paraId="6B39FFA9" w14:textId="77777777" w:rsidR="006D1812" w:rsidRDefault="006D1812" w:rsidP="006D1812">
      <w:pPr>
        <w:jc w:val="both"/>
        <w:rPr>
          <w:rFonts w:ascii="Arial" w:hAnsi="Arial"/>
          <w:sz w:val="22"/>
        </w:rPr>
      </w:pPr>
    </w:p>
    <w:p w14:paraId="0C642F8D" w14:textId="60EA04B8" w:rsidR="006D1812" w:rsidRDefault="006D1812" w:rsidP="006D1812">
      <w:pPr>
        <w:jc w:val="both"/>
        <w:rPr>
          <w:rFonts w:ascii="Arial" w:hAnsi="Arial"/>
          <w:sz w:val="22"/>
        </w:rPr>
      </w:pPr>
      <w:r>
        <w:rPr>
          <w:rFonts w:ascii="Arial" w:hAnsi="Arial"/>
          <w:sz w:val="22"/>
        </w:rPr>
        <w:t>Comment 4 from the facility:</w:t>
      </w:r>
    </w:p>
    <w:p w14:paraId="54D3E59C" w14:textId="77777777" w:rsidR="006D1812" w:rsidRDefault="006D1812" w:rsidP="006D1812">
      <w:pPr>
        <w:jc w:val="both"/>
        <w:rPr>
          <w:rFonts w:ascii="Arial" w:hAnsi="Arial"/>
          <w:sz w:val="22"/>
        </w:rPr>
      </w:pPr>
    </w:p>
    <w:p w14:paraId="29039649" w14:textId="76B64EC0" w:rsidR="006D1812" w:rsidRDefault="006D1812" w:rsidP="006D1812">
      <w:pPr>
        <w:jc w:val="both"/>
        <w:rPr>
          <w:rFonts w:ascii="Arial" w:hAnsi="Arial"/>
          <w:sz w:val="22"/>
        </w:rPr>
      </w:pPr>
      <w:r>
        <w:rPr>
          <w:rFonts w:ascii="Arial" w:hAnsi="Arial"/>
          <w:sz w:val="22"/>
        </w:rPr>
        <w:tab/>
        <w:t>4. FG-BOILER_6,7 SC IV.4</w:t>
      </w:r>
    </w:p>
    <w:p w14:paraId="2C15C8CD" w14:textId="77777777" w:rsidR="006D1812" w:rsidRDefault="006D1812" w:rsidP="006D1812">
      <w:pPr>
        <w:jc w:val="both"/>
        <w:rPr>
          <w:rFonts w:ascii="Arial" w:hAnsi="Arial"/>
          <w:sz w:val="22"/>
        </w:rPr>
      </w:pPr>
    </w:p>
    <w:p w14:paraId="51C2D33C" w14:textId="32C2B072" w:rsidR="006D1812" w:rsidRDefault="006D1812" w:rsidP="00A400E0">
      <w:pPr>
        <w:ind w:left="720"/>
        <w:jc w:val="both"/>
        <w:rPr>
          <w:rFonts w:ascii="Arial" w:hAnsi="Arial"/>
          <w:sz w:val="22"/>
        </w:rPr>
      </w:pPr>
      <w:r>
        <w:rPr>
          <w:rFonts w:ascii="Arial" w:hAnsi="Arial"/>
          <w:sz w:val="22"/>
        </w:rPr>
        <w:t xml:space="preserve">This special condition specifies a required site-specific monitoring plan approve by the department meant to provide monitoring parameters for demonstration of compliance with the opacity standard. As specified in SC I.13, the opacity standard is 20% opacity except for one 6-minute average per hour of not more than 27% as demonstrated by visual emissions observations according to SC VI.4 and VI.5. SC I.13 and VI.4 both specifically state that they apply when firing No. 2 fuel oil; therefore, the facility would like to revise this condition to include “when burning fuel oil” and confirmation that </w:t>
      </w:r>
      <w:r>
        <w:rPr>
          <w:rFonts w:ascii="Arial" w:hAnsi="Arial"/>
          <w:sz w:val="22"/>
        </w:rPr>
        <w:lastRenderedPageBreak/>
        <w:t>the associated condition SC IV.4 also applies when burning No. 2 fuel oil and, similarly to the last comment, would be a requirement if the facility decides to combust No. 2 fuel oil in the future.</w:t>
      </w:r>
    </w:p>
    <w:p w14:paraId="4D5DA0CC" w14:textId="77777777" w:rsidR="006D1812" w:rsidRDefault="006D1812" w:rsidP="006D1812">
      <w:pPr>
        <w:jc w:val="both"/>
        <w:rPr>
          <w:rFonts w:ascii="Arial" w:hAnsi="Arial"/>
          <w:sz w:val="22"/>
        </w:rPr>
      </w:pPr>
    </w:p>
    <w:p w14:paraId="05F0B30F" w14:textId="70098C06" w:rsidR="006D1812" w:rsidRDefault="006D1812" w:rsidP="006D1812">
      <w:pPr>
        <w:jc w:val="both"/>
        <w:rPr>
          <w:rFonts w:ascii="Arial" w:hAnsi="Arial"/>
          <w:sz w:val="22"/>
        </w:rPr>
      </w:pPr>
      <w:r>
        <w:rPr>
          <w:rFonts w:ascii="Arial" w:hAnsi="Arial"/>
          <w:sz w:val="22"/>
        </w:rPr>
        <w:t>AQD Response to Comment 4:</w:t>
      </w:r>
    </w:p>
    <w:p w14:paraId="780CF100" w14:textId="77777777" w:rsidR="006D1812" w:rsidRDefault="006D1812" w:rsidP="006D1812">
      <w:pPr>
        <w:jc w:val="both"/>
        <w:rPr>
          <w:rFonts w:ascii="Arial" w:hAnsi="Arial"/>
          <w:sz w:val="22"/>
        </w:rPr>
      </w:pPr>
    </w:p>
    <w:p w14:paraId="4245A399" w14:textId="77777777" w:rsidR="00A400E0" w:rsidRDefault="00A400E0" w:rsidP="00A400E0">
      <w:pPr>
        <w:ind w:left="720"/>
        <w:jc w:val="both"/>
        <w:rPr>
          <w:rFonts w:ascii="Arial" w:hAnsi="Arial"/>
          <w:sz w:val="22"/>
        </w:rPr>
      </w:pPr>
      <w:r>
        <w:rPr>
          <w:rFonts w:ascii="Arial" w:hAnsi="Arial"/>
          <w:sz w:val="22"/>
        </w:rPr>
        <w:t>This condition IV.4 comes from Permit to Install 62-21, and these conditions are being rolled into the Renewable Operating Permit. AQD does not modify Permit to Install conditions during the ROP process unless the condition is obsolete or in error. To change these conditions, the facility can apply to modify these conditions via a Permit to Install application.</w:t>
      </w:r>
    </w:p>
    <w:p w14:paraId="4CC5534D" w14:textId="63585942" w:rsidR="006D1812" w:rsidRDefault="006D1812" w:rsidP="006D1812">
      <w:pPr>
        <w:jc w:val="both"/>
        <w:rPr>
          <w:rFonts w:ascii="Arial" w:hAnsi="Arial"/>
          <w:sz w:val="22"/>
        </w:rPr>
      </w:pPr>
    </w:p>
    <w:p w14:paraId="6531FC56" w14:textId="628007F9" w:rsidR="005F6BC3" w:rsidRDefault="005F6BC3">
      <w:pPr>
        <w:rPr>
          <w:rFonts w:ascii="Arial" w:hAnsi="Arial"/>
          <w:b/>
          <w:sz w:val="22"/>
          <w:u w:val="single"/>
        </w:rPr>
      </w:pPr>
      <w:bookmarkStart w:id="20" w:name="_Toc482691124"/>
      <w:bookmarkEnd w:id="19"/>
      <w:r>
        <w:rPr>
          <w:rFonts w:ascii="Arial" w:hAnsi="Arial"/>
          <w:b/>
          <w:sz w:val="22"/>
          <w:u w:val="single"/>
        </w:rPr>
        <w:t xml:space="preserve">Changes to the </w:t>
      </w:r>
      <w:r w:rsidR="00A400E0">
        <w:rPr>
          <w:rFonts w:ascii="Arial" w:hAnsi="Arial" w:cs="Arial"/>
          <w:b/>
          <w:sz w:val="22"/>
          <w:szCs w:val="22"/>
          <w:u w:val="single"/>
        </w:rPr>
        <w:t>March 18, 2024</w:t>
      </w:r>
      <w:r>
        <w:rPr>
          <w:rFonts w:ascii="Arial" w:hAnsi="Arial"/>
          <w:b/>
          <w:sz w:val="22"/>
          <w:u w:val="single"/>
        </w:rPr>
        <w:t xml:space="preserve"> </w:t>
      </w:r>
      <w:r w:rsidR="00527C9A" w:rsidRPr="00527C9A">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0"/>
    </w:p>
    <w:p w14:paraId="49AA4E2D" w14:textId="77777777" w:rsidR="005F6BC3" w:rsidRDefault="005F6BC3">
      <w:pPr>
        <w:rPr>
          <w:rFonts w:ascii="Arial" w:hAnsi="Arial"/>
          <w:b/>
          <w:sz w:val="22"/>
        </w:rPr>
      </w:pPr>
    </w:p>
    <w:p w14:paraId="5A1CCF15" w14:textId="25EBD78E" w:rsidR="005F6BC3" w:rsidRDefault="005F6BC3" w:rsidP="000B4F0F">
      <w:pPr>
        <w:rPr>
          <w:rFonts w:ascii="Arial" w:hAnsi="Arial"/>
          <w:noProof/>
          <w:sz w:val="22"/>
        </w:rPr>
      </w:pPr>
      <w:bookmarkStart w:id="21" w:name="Text10"/>
      <w:r>
        <w:rPr>
          <w:rFonts w:ascii="Arial" w:hAnsi="Arial"/>
          <w:noProof/>
          <w:sz w:val="22"/>
        </w:rPr>
        <w:t>In Appendix 7A, the emission factors for Boilers 1 and 2 of 280 pounds NOx per million cubic feet of natural gas were removed.</w:t>
      </w:r>
      <w:bookmarkEnd w:id="21"/>
    </w:p>
    <w:p w14:paraId="35905009" w14:textId="77777777" w:rsidR="007B2B52" w:rsidRDefault="007B2B52" w:rsidP="000B4F0F">
      <w:pPr>
        <w:rPr>
          <w:rFonts w:ascii="Arial" w:hAnsi="Arial"/>
          <w:noProof/>
          <w:sz w:val="22"/>
        </w:rPr>
      </w:pPr>
    </w:p>
    <w:p w14:paraId="4FFD0AF4" w14:textId="3AD23F18" w:rsidR="007B2B52" w:rsidRDefault="007B2B52" w:rsidP="000B4F0F">
      <w:pPr>
        <w:rPr>
          <w:rFonts w:ascii="Arial" w:hAnsi="Arial"/>
          <w:noProof/>
          <w:sz w:val="22"/>
        </w:rPr>
      </w:pPr>
      <w:r>
        <w:rPr>
          <w:rFonts w:ascii="Arial" w:hAnsi="Arial"/>
          <w:noProof/>
          <w:sz w:val="22"/>
        </w:rPr>
        <w:t xml:space="preserve">In Appendix 7, the first paragraph reference to </w:t>
      </w:r>
      <w:bookmarkStart w:id="22" w:name="_Hlk165467559"/>
      <w:r>
        <w:rPr>
          <w:rFonts w:ascii="Arial" w:hAnsi="Arial"/>
          <w:noProof/>
          <w:sz w:val="22"/>
        </w:rPr>
        <w:t>flexible groups “</w:t>
      </w:r>
      <w:r w:rsidRPr="007B2B52">
        <w:rPr>
          <w:rFonts w:ascii="Arial" w:hAnsi="Arial"/>
          <w:noProof/>
          <w:sz w:val="22"/>
        </w:rPr>
        <w:t>FG-BOILER_1,2_RULE801, and FG-BOILER_3,4_RULE801</w:t>
      </w:r>
      <w:bookmarkEnd w:id="22"/>
      <w:r w:rsidRPr="007B2B52">
        <w:rPr>
          <w:rFonts w:ascii="Arial" w:hAnsi="Arial"/>
          <w:noProof/>
          <w:sz w:val="22"/>
        </w:rPr>
        <w:t>” was corrected to</w:t>
      </w:r>
      <w:r>
        <w:rPr>
          <w:rFonts w:ascii="Arial" w:hAnsi="Arial"/>
          <w:noProof/>
          <w:sz w:val="22"/>
        </w:rPr>
        <w:t xml:space="preserve"> “</w:t>
      </w:r>
      <w:r w:rsidRPr="007B2B52">
        <w:rPr>
          <w:rFonts w:ascii="Arial" w:hAnsi="Arial"/>
          <w:noProof/>
          <w:sz w:val="22"/>
        </w:rPr>
        <w:t>FG-BOILER_1-4_RULE801”</w:t>
      </w:r>
      <w:r>
        <w:rPr>
          <w:rFonts w:ascii="Arial" w:hAnsi="Arial"/>
          <w:noProof/>
          <w:sz w:val="22"/>
        </w:rPr>
        <w:t>.</w:t>
      </w:r>
    </w:p>
    <w:p w14:paraId="2768CC51" w14:textId="77777777" w:rsidR="000F73C3" w:rsidRPr="007B2B52" w:rsidRDefault="000F73C3" w:rsidP="007B2B52">
      <w:pPr>
        <w:rPr>
          <w:rFonts w:ascii="Arial" w:hAnsi="Arial"/>
          <w:noProof/>
          <w:sz w:val="22"/>
        </w:rPr>
      </w:pPr>
    </w:p>
    <w:sectPr w:rsidR="000F73C3" w:rsidRPr="007B2B52">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246D" w14:textId="77777777" w:rsidR="006C4E47" w:rsidRDefault="006C4E47">
      <w:r>
        <w:separator/>
      </w:r>
    </w:p>
  </w:endnote>
  <w:endnote w:type="continuationSeparator" w:id="0">
    <w:p w14:paraId="396589BB" w14:textId="77777777" w:rsidR="006C4E47" w:rsidRDefault="006C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D798"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4FC4"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574B" w14:textId="77777777" w:rsidR="006C4E47" w:rsidRDefault="006C4E47">
      <w:r>
        <w:separator/>
      </w:r>
    </w:p>
  </w:footnote>
  <w:footnote w:type="continuationSeparator" w:id="0">
    <w:p w14:paraId="0414DE7C" w14:textId="77777777" w:rsidR="006C4E47" w:rsidRDefault="006C4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4867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1417294">
    <w:abstractNumId w:val="1"/>
  </w:num>
  <w:num w:numId="3" w16cid:durableId="1702049277">
    <w:abstractNumId w:val="3"/>
  </w:num>
  <w:num w:numId="4" w16cid:durableId="1612666201">
    <w:abstractNumId w:val="8"/>
  </w:num>
  <w:num w:numId="5" w16cid:durableId="1299846114">
    <w:abstractNumId w:val="5"/>
  </w:num>
  <w:num w:numId="6" w16cid:durableId="1712680751">
    <w:abstractNumId w:val="6"/>
  </w:num>
  <w:num w:numId="7" w16cid:durableId="1500609355">
    <w:abstractNumId w:val="9"/>
  </w:num>
  <w:num w:numId="8" w16cid:durableId="52392750">
    <w:abstractNumId w:val="7"/>
  </w:num>
  <w:num w:numId="9" w16cid:durableId="1180007271">
    <w:abstractNumId w:val="10"/>
  </w:num>
  <w:num w:numId="10" w16cid:durableId="1358507325">
    <w:abstractNumId w:val="11"/>
  </w:num>
  <w:num w:numId="11" w16cid:durableId="8677690">
    <w:abstractNumId w:val="2"/>
  </w:num>
  <w:num w:numId="12" w16cid:durableId="471599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77"/>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38A1"/>
    <w:rsid w:val="00057978"/>
    <w:rsid w:val="00060FD0"/>
    <w:rsid w:val="00070B20"/>
    <w:rsid w:val="00082A06"/>
    <w:rsid w:val="00083979"/>
    <w:rsid w:val="00086493"/>
    <w:rsid w:val="000901C4"/>
    <w:rsid w:val="0009079D"/>
    <w:rsid w:val="000A1545"/>
    <w:rsid w:val="000A3504"/>
    <w:rsid w:val="000A463D"/>
    <w:rsid w:val="000B62FD"/>
    <w:rsid w:val="000B78C9"/>
    <w:rsid w:val="000C1E62"/>
    <w:rsid w:val="000C35CB"/>
    <w:rsid w:val="000C4F65"/>
    <w:rsid w:val="000C7F27"/>
    <w:rsid w:val="000D6F52"/>
    <w:rsid w:val="000D7BB0"/>
    <w:rsid w:val="000E1BBC"/>
    <w:rsid w:val="000E2E60"/>
    <w:rsid w:val="000E43A8"/>
    <w:rsid w:val="000E73AD"/>
    <w:rsid w:val="000E781D"/>
    <w:rsid w:val="000F32F4"/>
    <w:rsid w:val="000F72C8"/>
    <w:rsid w:val="000F73C3"/>
    <w:rsid w:val="001002E3"/>
    <w:rsid w:val="00100562"/>
    <w:rsid w:val="00102B51"/>
    <w:rsid w:val="0010361E"/>
    <w:rsid w:val="00106135"/>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0B28"/>
    <w:rsid w:val="00172178"/>
    <w:rsid w:val="001723A8"/>
    <w:rsid w:val="00172BD9"/>
    <w:rsid w:val="00175DF5"/>
    <w:rsid w:val="00177285"/>
    <w:rsid w:val="001801BE"/>
    <w:rsid w:val="00182993"/>
    <w:rsid w:val="00185993"/>
    <w:rsid w:val="001900AD"/>
    <w:rsid w:val="00190444"/>
    <w:rsid w:val="00191106"/>
    <w:rsid w:val="001A21E9"/>
    <w:rsid w:val="001A6D8D"/>
    <w:rsid w:val="001B5D76"/>
    <w:rsid w:val="001B634B"/>
    <w:rsid w:val="001C45A8"/>
    <w:rsid w:val="001D0502"/>
    <w:rsid w:val="001D0646"/>
    <w:rsid w:val="001D2622"/>
    <w:rsid w:val="001D5971"/>
    <w:rsid w:val="001D6B5F"/>
    <w:rsid w:val="001D7607"/>
    <w:rsid w:val="001E3C91"/>
    <w:rsid w:val="001E3D60"/>
    <w:rsid w:val="001E6273"/>
    <w:rsid w:val="001F1448"/>
    <w:rsid w:val="001F287A"/>
    <w:rsid w:val="001F2F32"/>
    <w:rsid w:val="001F3B26"/>
    <w:rsid w:val="001F742A"/>
    <w:rsid w:val="00201CC7"/>
    <w:rsid w:val="00201FE1"/>
    <w:rsid w:val="0020224E"/>
    <w:rsid w:val="00203061"/>
    <w:rsid w:val="00203E24"/>
    <w:rsid w:val="00204A58"/>
    <w:rsid w:val="002065AF"/>
    <w:rsid w:val="00222544"/>
    <w:rsid w:val="002229BE"/>
    <w:rsid w:val="00226144"/>
    <w:rsid w:val="00226BBE"/>
    <w:rsid w:val="0022752F"/>
    <w:rsid w:val="002315E7"/>
    <w:rsid w:val="00231A25"/>
    <w:rsid w:val="0023247F"/>
    <w:rsid w:val="0023576E"/>
    <w:rsid w:val="00237F04"/>
    <w:rsid w:val="00240431"/>
    <w:rsid w:val="0024147E"/>
    <w:rsid w:val="00242BA6"/>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159F"/>
    <w:rsid w:val="002B4B0E"/>
    <w:rsid w:val="002B5D3B"/>
    <w:rsid w:val="002B7F84"/>
    <w:rsid w:val="002C0333"/>
    <w:rsid w:val="002C652F"/>
    <w:rsid w:val="002C7612"/>
    <w:rsid w:val="002C7CA9"/>
    <w:rsid w:val="002D0498"/>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293F"/>
    <w:rsid w:val="003173E8"/>
    <w:rsid w:val="003256EB"/>
    <w:rsid w:val="00326A81"/>
    <w:rsid w:val="00333237"/>
    <w:rsid w:val="00333AE9"/>
    <w:rsid w:val="00335641"/>
    <w:rsid w:val="00337750"/>
    <w:rsid w:val="00340C1D"/>
    <w:rsid w:val="00345D9F"/>
    <w:rsid w:val="0034680F"/>
    <w:rsid w:val="0034763F"/>
    <w:rsid w:val="00347E5D"/>
    <w:rsid w:val="00350573"/>
    <w:rsid w:val="00351F7C"/>
    <w:rsid w:val="003533D0"/>
    <w:rsid w:val="00354260"/>
    <w:rsid w:val="00355F38"/>
    <w:rsid w:val="0035687B"/>
    <w:rsid w:val="00363292"/>
    <w:rsid w:val="003637D0"/>
    <w:rsid w:val="0036784E"/>
    <w:rsid w:val="0037082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4391"/>
    <w:rsid w:val="003D6336"/>
    <w:rsid w:val="003D6A01"/>
    <w:rsid w:val="003D6B07"/>
    <w:rsid w:val="003D6C8F"/>
    <w:rsid w:val="003E3ECF"/>
    <w:rsid w:val="003E54BC"/>
    <w:rsid w:val="003E6F49"/>
    <w:rsid w:val="003F16E7"/>
    <w:rsid w:val="003F18CA"/>
    <w:rsid w:val="003F318D"/>
    <w:rsid w:val="003F6499"/>
    <w:rsid w:val="0040112A"/>
    <w:rsid w:val="00401D67"/>
    <w:rsid w:val="00402D14"/>
    <w:rsid w:val="00403632"/>
    <w:rsid w:val="004039E8"/>
    <w:rsid w:val="00411971"/>
    <w:rsid w:val="004127B6"/>
    <w:rsid w:val="00425C80"/>
    <w:rsid w:val="004266E1"/>
    <w:rsid w:val="00427377"/>
    <w:rsid w:val="00433BF1"/>
    <w:rsid w:val="00433C6D"/>
    <w:rsid w:val="00436CA9"/>
    <w:rsid w:val="00441393"/>
    <w:rsid w:val="004423A1"/>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02CE"/>
    <w:rsid w:val="004A6016"/>
    <w:rsid w:val="004A6FD2"/>
    <w:rsid w:val="004B2A6F"/>
    <w:rsid w:val="004B2E32"/>
    <w:rsid w:val="004B3242"/>
    <w:rsid w:val="004B44A9"/>
    <w:rsid w:val="004B4D8B"/>
    <w:rsid w:val="004B6B17"/>
    <w:rsid w:val="004C27B9"/>
    <w:rsid w:val="004C39E7"/>
    <w:rsid w:val="004C46DF"/>
    <w:rsid w:val="004C48F7"/>
    <w:rsid w:val="004C51C5"/>
    <w:rsid w:val="004C7125"/>
    <w:rsid w:val="004C78FD"/>
    <w:rsid w:val="004D1F5F"/>
    <w:rsid w:val="004D4B7D"/>
    <w:rsid w:val="004D5012"/>
    <w:rsid w:val="004D6673"/>
    <w:rsid w:val="004D7ACD"/>
    <w:rsid w:val="004E0003"/>
    <w:rsid w:val="004E13FD"/>
    <w:rsid w:val="004E63D7"/>
    <w:rsid w:val="004E713D"/>
    <w:rsid w:val="004F0976"/>
    <w:rsid w:val="004F283B"/>
    <w:rsid w:val="004F640F"/>
    <w:rsid w:val="004F6C98"/>
    <w:rsid w:val="00502068"/>
    <w:rsid w:val="0050260F"/>
    <w:rsid w:val="00506F9E"/>
    <w:rsid w:val="0050744F"/>
    <w:rsid w:val="005122AD"/>
    <w:rsid w:val="005204BA"/>
    <w:rsid w:val="005224A0"/>
    <w:rsid w:val="00527C9A"/>
    <w:rsid w:val="00532985"/>
    <w:rsid w:val="0053606A"/>
    <w:rsid w:val="00537997"/>
    <w:rsid w:val="005426C1"/>
    <w:rsid w:val="00543DF8"/>
    <w:rsid w:val="005451BC"/>
    <w:rsid w:val="0055232C"/>
    <w:rsid w:val="0055244E"/>
    <w:rsid w:val="005553AB"/>
    <w:rsid w:val="005619EA"/>
    <w:rsid w:val="00562E17"/>
    <w:rsid w:val="00562E6E"/>
    <w:rsid w:val="00564E2E"/>
    <w:rsid w:val="00566446"/>
    <w:rsid w:val="00570468"/>
    <w:rsid w:val="00572826"/>
    <w:rsid w:val="005728E4"/>
    <w:rsid w:val="00572F51"/>
    <w:rsid w:val="00573DC1"/>
    <w:rsid w:val="0057400E"/>
    <w:rsid w:val="005758FF"/>
    <w:rsid w:val="005768C3"/>
    <w:rsid w:val="00587FAA"/>
    <w:rsid w:val="0059043D"/>
    <w:rsid w:val="0059259B"/>
    <w:rsid w:val="00592ED5"/>
    <w:rsid w:val="00596804"/>
    <w:rsid w:val="00596B15"/>
    <w:rsid w:val="00596FEA"/>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2F12"/>
    <w:rsid w:val="005D3DDD"/>
    <w:rsid w:val="005E0339"/>
    <w:rsid w:val="005E2621"/>
    <w:rsid w:val="005E5143"/>
    <w:rsid w:val="005E7221"/>
    <w:rsid w:val="005F1B8C"/>
    <w:rsid w:val="005F1FFC"/>
    <w:rsid w:val="005F6BC3"/>
    <w:rsid w:val="00600D78"/>
    <w:rsid w:val="0060352A"/>
    <w:rsid w:val="006044DF"/>
    <w:rsid w:val="00604E76"/>
    <w:rsid w:val="006051CB"/>
    <w:rsid w:val="00610D52"/>
    <w:rsid w:val="00611F67"/>
    <w:rsid w:val="0061223B"/>
    <w:rsid w:val="006138D1"/>
    <w:rsid w:val="00615F8C"/>
    <w:rsid w:val="00616FFF"/>
    <w:rsid w:val="006206B0"/>
    <w:rsid w:val="00620C70"/>
    <w:rsid w:val="00621F23"/>
    <w:rsid w:val="006240B1"/>
    <w:rsid w:val="00630E5E"/>
    <w:rsid w:val="006335CA"/>
    <w:rsid w:val="00633724"/>
    <w:rsid w:val="006414DE"/>
    <w:rsid w:val="00643E45"/>
    <w:rsid w:val="00643FF9"/>
    <w:rsid w:val="00644884"/>
    <w:rsid w:val="00644AA0"/>
    <w:rsid w:val="00644FAC"/>
    <w:rsid w:val="006461E5"/>
    <w:rsid w:val="00647809"/>
    <w:rsid w:val="00651F0D"/>
    <w:rsid w:val="00653054"/>
    <w:rsid w:val="00654F9E"/>
    <w:rsid w:val="006552A6"/>
    <w:rsid w:val="00655AFA"/>
    <w:rsid w:val="00656000"/>
    <w:rsid w:val="0065614C"/>
    <w:rsid w:val="00656E14"/>
    <w:rsid w:val="00660097"/>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3E50"/>
    <w:rsid w:val="0069759E"/>
    <w:rsid w:val="006978FD"/>
    <w:rsid w:val="00697E2F"/>
    <w:rsid w:val="006A2CA7"/>
    <w:rsid w:val="006A43CB"/>
    <w:rsid w:val="006A770B"/>
    <w:rsid w:val="006B4DBB"/>
    <w:rsid w:val="006B7EC5"/>
    <w:rsid w:val="006C0886"/>
    <w:rsid w:val="006C4E47"/>
    <w:rsid w:val="006C5DF1"/>
    <w:rsid w:val="006D1812"/>
    <w:rsid w:val="006D3CC1"/>
    <w:rsid w:val="006D57EE"/>
    <w:rsid w:val="006D7383"/>
    <w:rsid w:val="006E04EE"/>
    <w:rsid w:val="006E3E47"/>
    <w:rsid w:val="006F1886"/>
    <w:rsid w:val="006F61D2"/>
    <w:rsid w:val="00701F63"/>
    <w:rsid w:val="0070306D"/>
    <w:rsid w:val="00703588"/>
    <w:rsid w:val="00703F50"/>
    <w:rsid w:val="00710154"/>
    <w:rsid w:val="00710F06"/>
    <w:rsid w:val="007111F9"/>
    <w:rsid w:val="0071147B"/>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AB0"/>
    <w:rsid w:val="00773C90"/>
    <w:rsid w:val="00777549"/>
    <w:rsid w:val="007805D9"/>
    <w:rsid w:val="00781399"/>
    <w:rsid w:val="007870F6"/>
    <w:rsid w:val="0079109F"/>
    <w:rsid w:val="00795CB5"/>
    <w:rsid w:val="00795D6C"/>
    <w:rsid w:val="00796375"/>
    <w:rsid w:val="00796F90"/>
    <w:rsid w:val="007A22BD"/>
    <w:rsid w:val="007A6504"/>
    <w:rsid w:val="007A77F1"/>
    <w:rsid w:val="007B107F"/>
    <w:rsid w:val="007B199C"/>
    <w:rsid w:val="007B2B52"/>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D7C"/>
    <w:rsid w:val="00854F8B"/>
    <w:rsid w:val="0085642C"/>
    <w:rsid w:val="00857B39"/>
    <w:rsid w:val="00861C6E"/>
    <w:rsid w:val="00862EC5"/>
    <w:rsid w:val="00863EC3"/>
    <w:rsid w:val="008670E6"/>
    <w:rsid w:val="008677AC"/>
    <w:rsid w:val="00873B63"/>
    <w:rsid w:val="00874CB0"/>
    <w:rsid w:val="00875D1C"/>
    <w:rsid w:val="00875FB3"/>
    <w:rsid w:val="00876E17"/>
    <w:rsid w:val="00880972"/>
    <w:rsid w:val="00882F33"/>
    <w:rsid w:val="00884CC7"/>
    <w:rsid w:val="00886777"/>
    <w:rsid w:val="008902C9"/>
    <w:rsid w:val="008906DF"/>
    <w:rsid w:val="00890E76"/>
    <w:rsid w:val="008929F9"/>
    <w:rsid w:val="0089312A"/>
    <w:rsid w:val="00893B36"/>
    <w:rsid w:val="00893BBA"/>
    <w:rsid w:val="00893E50"/>
    <w:rsid w:val="00893F56"/>
    <w:rsid w:val="00895282"/>
    <w:rsid w:val="00897257"/>
    <w:rsid w:val="008A0380"/>
    <w:rsid w:val="008A0FF1"/>
    <w:rsid w:val="008A1834"/>
    <w:rsid w:val="008A38F5"/>
    <w:rsid w:val="008B0AB4"/>
    <w:rsid w:val="008B1972"/>
    <w:rsid w:val="008B41E5"/>
    <w:rsid w:val="008B4AB0"/>
    <w:rsid w:val="008B70E2"/>
    <w:rsid w:val="008B7F9F"/>
    <w:rsid w:val="008C0EAF"/>
    <w:rsid w:val="008C3D85"/>
    <w:rsid w:val="008C63A7"/>
    <w:rsid w:val="008C6E52"/>
    <w:rsid w:val="008C70BB"/>
    <w:rsid w:val="008C73B2"/>
    <w:rsid w:val="008D0C75"/>
    <w:rsid w:val="008D30F9"/>
    <w:rsid w:val="008D7CDB"/>
    <w:rsid w:val="008E1371"/>
    <w:rsid w:val="008E1AD6"/>
    <w:rsid w:val="008E3FA1"/>
    <w:rsid w:val="008E5110"/>
    <w:rsid w:val="008E5C4C"/>
    <w:rsid w:val="008E5EC0"/>
    <w:rsid w:val="008E6BC5"/>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1443"/>
    <w:rsid w:val="0093193B"/>
    <w:rsid w:val="00931A49"/>
    <w:rsid w:val="00935F15"/>
    <w:rsid w:val="0094046A"/>
    <w:rsid w:val="00943279"/>
    <w:rsid w:val="00946B41"/>
    <w:rsid w:val="00950054"/>
    <w:rsid w:val="0095187D"/>
    <w:rsid w:val="0095206B"/>
    <w:rsid w:val="009527AC"/>
    <w:rsid w:val="0095312A"/>
    <w:rsid w:val="009531FA"/>
    <w:rsid w:val="009539D8"/>
    <w:rsid w:val="009545AB"/>
    <w:rsid w:val="00955814"/>
    <w:rsid w:val="009558FB"/>
    <w:rsid w:val="00956132"/>
    <w:rsid w:val="009571B1"/>
    <w:rsid w:val="00960BC8"/>
    <w:rsid w:val="00962036"/>
    <w:rsid w:val="00962267"/>
    <w:rsid w:val="00970E8F"/>
    <w:rsid w:val="00971B11"/>
    <w:rsid w:val="009819CF"/>
    <w:rsid w:val="00982658"/>
    <w:rsid w:val="00983014"/>
    <w:rsid w:val="009830F9"/>
    <w:rsid w:val="009843A7"/>
    <w:rsid w:val="0098464A"/>
    <w:rsid w:val="00985FF1"/>
    <w:rsid w:val="00991BCF"/>
    <w:rsid w:val="00991E9D"/>
    <w:rsid w:val="00991F5C"/>
    <w:rsid w:val="009922C7"/>
    <w:rsid w:val="00995DE1"/>
    <w:rsid w:val="009970EC"/>
    <w:rsid w:val="009A000C"/>
    <w:rsid w:val="009A58E1"/>
    <w:rsid w:val="009A5F7D"/>
    <w:rsid w:val="009A6697"/>
    <w:rsid w:val="009A6835"/>
    <w:rsid w:val="009B2268"/>
    <w:rsid w:val="009B3617"/>
    <w:rsid w:val="009C0807"/>
    <w:rsid w:val="009C19C6"/>
    <w:rsid w:val="009C4E62"/>
    <w:rsid w:val="009C5CE5"/>
    <w:rsid w:val="009C76F1"/>
    <w:rsid w:val="009D0C37"/>
    <w:rsid w:val="009D1C8A"/>
    <w:rsid w:val="009D5EBC"/>
    <w:rsid w:val="009E10CB"/>
    <w:rsid w:val="009E2122"/>
    <w:rsid w:val="009E4796"/>
    <w:rsid w:val="009F584A"/>
    <w:rsid w:val="00A0363B"/>
    <w:rsid w:val="00A04B84"/>
    <w:rsid w:val="00A05E44"/>
    <w:rsid w:val="00A071A4"/>
    <w:rsid w:val="00A14720"/>
    <w:rsid w:val="00A15A87"/>
    <w:rsid w:val="00A16A4A"/>
    <w:rsid w:val="00A17E36"/>
    <w:rsid w:val="00A21F9D"/>
    <w:rsid w:val="00A27D2C"/>
    <w:rsid w:val="00A30B26"/>
    <w:rsid w:val="00A30B5F"/>
    <w:rsid w:val="00A320C2"/>
    <w:rsid w:val="00A37849"/>
    <w:rsid w:val="00A400E0"/>
    <w:rsid w:val="00A4048D"/>
    <w:rsid w:val="00A40DFE"/>
    <w:rsid w:val="00A444F3"/>
    <w:rsid w:val="00A458A7"/>
    <w:rsid w:val="00A479C2"/>
    <w:rsid w:val="00A508DA"/>
    <w:rsid w:val="00A56568"/>
    <w:rsid w:val="00A57739"/>
    <w:rsid w:val="00A57799"/>
    <w:rsid w:val="00A61FF1"/>
    <w:rsid w:val="00A62B77"/>
    <w:rsid w:val="00A6319F"/>
    <w:rsid w:val="00A64289"/>
    <w:rsid w:val="00A6568D"/>
    <w:rsid w:val="00A6653C"/>
    <w:rsid w:val="00A67F55"/>
    <w:rsid w:val="00A711AB"/>
    <w:rsid w:val="00A73320"/>
    <w:rsid w:val="00A7333E"/>
    <w:rsid w:val="00A7562C"/>
    <w:rsid w:val="00A757D5"/>
    <w:rsid w:val="00A75C83"/>
    <w:rsid w:val="00A82D08"/>
    <w:rsid w:val="00A85B58"/>
    <w:rsid w:val="00A8755E"/>
    <w:rsid w:val="00A94AEF"/>
    <w:rsid w:val="00A95181"/>
    <w:rsid w:val="00A960D3"/>
    <w:rsid w:val="00A9700A"/>
    <w:rsid w:val="00AA0D6E"/>
    <w:rsid w:val="00AA4AB0"/>
    <w:rsid w:val="00AB1054"/>
    <w:rsid w:val="00AB1DA1"/>
    <w:rsid w:val="00AB5A05"/>
    <w:rsid w:val="00AC069D"/>
    <w:rsid w:val="00AC0D86"/>
    <w:rsid w:val="00AC169F"/>
    <w:rsid w:val="00AC5456"/>
    <w:rsid w:val="00AD1428"/>
    <w:rsid w:val="00AD6437"/>
    <w:rsid w:val="00AD65E5"/>
    <w:rsid w:val="00AD697A"/>
    <w:rsid w:val="00AD754F"/>
    <w:rsid w:val="00AE061E"/>
    <w:rsid w:val="00AE1678"/>
    <w:rsid w:val="00AE2622"/>
    <w:rsid w:val="00AE2ED9"/>
    <w:rsid w:val="00AE3127"/>
    <w:rsid w:val="00AE5528"/>
    <w:rsid w:val="00AF10F4"/>
    <w:rsid w:val="00AF4326"/>
    <w:rsid w:val="00AF5CDE"/>
    <w:rsid w:val="00B008B3"/>
    <w:rsid w:val="00B03D3A"/>
    <w:rsid w:val="00B07691"/>
    <w:rsid w:val="00B17134"/>
    <w:rsid w:val="00B17711"/>
    <w:rsid w:val="00B20017"/>
    <w:rsid w:val="00B20A6D"/>
    <w:rsid w:val="00B2681D"/>
    <w:rsid w:val="00B3117B"/>
    <w:rsid w:val="00B333DF"/>
    <w:rsid w:val="00B336B9"/>
    <w:rsid w:val="00B340D3"/>
    <w:rsid w:val="00B37F1A"/>
    <w:rsid w:val="00B432EB"/>
    <w:rsid w:val="00B45992"/>
    <w:rsid w:val="00B50C3F"/>
    <w:rsid w:val="00B5130D"/>
    <w:rsid w:val="00B547BF"/>
    <w:rsid w:val="00B54C93"/>
    <w:rsid w:val="00B63414"/>
    <w:rsid w:val="00B66B39"/>
    <w:rsid w:val="00B72733"/>
    <w:rsid w:val="00B72FDA"/>
    <w:rsid w:val="00B73643"/>
    <w:rsid w:val="00B75BDB"/>
    <w:rsid w:val="00B83795"/>
    <w:rsid w:val="00B91559"/>
    <w:rsid w:val="00B922A0"/>
    <w:rsid w:val="00B925E1"/>
    <w:rsid w:val="00BA40DE"/>
    <w:rsid w:val="00BA7B59"/>
    <w:rsid w:val="00BB20D6"/>
    <w:rsid w:val="00BB3412"/>
    <w:rsid w:val="00BB4D1B"/>
    <w:rsid w:val="00BB6928"/>
    <w:rsid w:val="00BC4F1E"/>
    <w:rsid w:val="00BC5143"/>
    <w:rsid w:val="00BD0797"/>
    <w:rsid w:val="00BD0E65"/>
    <w:rsid w:val="00BD1497"/>
    <w:rsid w:val="00BD2DFE"/>
    <w:rsid w:val="00BD6A06"/>
    <w:rsid w:val="00BD7123"/>
    <w:rsid w:val="00BE430B"/>
    <w:rsid w:val="00BE5F90"/>
    <w:rsid w:val="00C0589B"/>
    <w:rsid w:val="00C113BC"/>
    <w:rsid w:val="00C12BAA"/>
    <w:rsid w:val="00C164A0"/>
    <w:rsid w:val="00C205E5"/>
    <w:rsid w:val="00C23A6C"/>
    <w:rsid w:val="00C24C83"/>
    <w:rsid w:val="00C260E0"/>
    <w:rsid w:val="00C32CBF"/>
    <w:rsid w:val="00C333E0"/>
    <w:rsid w:val="00C342AF"/>
    <w:rsid w:val="00C35E94"/>
    <w:rsid w:val="00C407C8"/>
    <w:rsid w:val="00C41158"/>
    <w:rsid w:val="00C43561"/>
    <w:rsid w:val="00C46ED3"/>
    <w:rsid w:val="00C47F6C"/>
    <w:rsid w:val="00C501AE"/>
    <w:rsid w:val="00C50355"/>
    <w:rsid w:val="00C512CC"/>
    <w:rsid w:val="00C53DF2"/>
    <w:rsid w:val="00C54ADE"/>
    <w:rsid w:val="00C6059C"/>
    <w:rsid w:val="00C61A82"/>
    <w:rsid w:val="00C63036"/>
    <w:rsid w:val="00C6451A"/>
    <w:rsid w:val="00C6488B"/>
    <w:rsid w:val="00C65371"/>
    <w:rsid w:val="00C66375"/>
    <w:rsid w:val="00C66BD6"/>
    <w:rsid w:val="00C67104"/>
    <w:rsid w:val="00C677A9"/>
    <w:rsid w:val="00C72A47"/>
    <w:rsid w:val="00C73FBD"/>
    <w:rsid w:val="00C744F8"/>
    <w:rsid w:val="00C76E93"/>
    <w:rsid w:val="00C801D0"/>
    <w:rsid w:val="00C802FD"/>
    <w:rsid w:val="00C80562"/>
    <w:rsid w:val="00C812D3"/>
    <w:rsid w:val="00C82F1E"/>
    <w:rsid w:val="00C84243"/>
    <w:rsid w:val="00C87C94"/>
    <w:rsid w:val="00C92079"/>
    <w:rsid w:val="00C92F27"/>
    <w:rsid w:val="00C94DBD"/>
    <w:rsid w:val="00C95903"/>
    <w:rsid w:val="00CA0B13"/>
    <w:rsid w:val="00CA28F3"/>
    <w:rsid w:val="00CA4B03"/>
    <w:rsid w:val="00CA4ECA"/>
    <w:rsid w:val="00CB00FB"/>
    <w:rsid w:val="00CB0A33"/>
    <w:rsid w:val="00CB0D4C"/>
    <w:rsid w:val="00CB1F6C"/>
    <w:rsid w:val="00CB43FA"/>
    <w:rsid w:val="00CB60BD"/>
    <w:rsid w:val="00CC0457"/>
    <w:rsid w:val="00CC371A"/>
    <w:rsid w:val="00CC5082"/>
    <w:rsid w:val="00CC6306"/>
    <w:rsid w:val="00CC67DF"/>
    <w:rsid w:val="00CC7CF8"/>
    <w:rsid w:val="00CD32D9"/>
    <w:rsid w:val="00CD3E7C"/>
    <w:rsid w:val="00CD3EBB"/>
    <w:rsid w:val="00CD6A10"/>
    <w:rsid w:val="00CD71F7"/>
    <w:rsid w:val="00CE1538"/>
    <w:rsid w:val="00CE5FB0"/>
    <w:rsid w:val="00CE65B2"/>
    <w:rsid w:val="00CF34F2"/>
    <w:rsid w:val="00CF37B7"/>
    <w:rsid w:val="00D01DA5"/>
    <w:rsid w:val="00D0289A"/>
    <w:rsid w:val="00D04321"/>
    <w:rsid w:val="00D05485"/>
    <w:rsid w:val="00D122B6"/>
    <w:rsid w:val="00D17D48"/>
    <w:rsid w:val="00D22B42"/>
    <w:rsid w:val="00D26941"/>
    <w:rsid w:val="00D30940"/>
    <w:rsid w:val="00D31514"/>
    <w:rsid w:val="00D32088"/>
    <w:rsid w:val="00D325DF"/>
    <w:rsid w:val="00D34A15"/>
    <w:rsid w:val="00D364A2"/>
    <w:rsid w:val="00D37AF4"/>
    <w:rsid w:val="00D40EAD"/>
    <w:rsid w:val="00D42E06"/>
    <w:rsid w:val="00D43A9A"/>
    <w:rsid w:val="00D43EB9"/>
    <w:rsid w:val="00D5459C"/>
    <w:rsid w:val="00D551DF"/>
    <w:rsid w:val="00D57666"/>
    <w:rsid w:val="00D57EFB"/>
    <w:rsid w:val="00D62EAA"/>
    <w:rsid w:val="00D63D29"/>
    <w:rsid w:val="00D660F4"/>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36D2"/>
    <w:rsid w:val="00DD4D4E"/>
    <w:rsid w:val="00DE392C"/>
    <w:rsid w:val="00DE39D5"/>
    <w:rsid w:val="00DE538D"/>
    <w:rsid w:val="00DE6BD6"/>
    <w:rsid w:val="00DE6E0D"/>
    <w:rsid w:val="00DF00D6"/>
    <w:rsid w:val="00DF46AD"/>
    <w:rsid w:val="00DF6578"/>
    <w:rsid w:val="00DF7BBC"/>
    <w:rsid w:val="00E01E9D"/>
    <w:rsid w:val="00E0242D"/>
    <w:rsid w:val="00E037E8"/>
    <w:rsid w:val="00E11812"/>
    <w:rsid w:val="00E13551"/>
    <w:rsid w:val="00E1421A"/>
    <w:rsid w:val="00E2261A"/>
    <w:rsid w:val="00E2303A"/>
    <w:rsid w:val="00E24CF7"/>
    <w:rsid w:val="00E24E0F"/>
    <w:rsid w:val="00E26617"/>
    <w:rsid w:val="00E27A36"/>
    <w:rsid w:val="00E3000B"/>
    <w:rsid w:val="00E34597"/>
    <w:rsid w:val="00E34B40"/>
    <w:rsid w:val="00E35C98"/>
    <w:rsid w:val="00E35D6E"/>
    <w:rsid w:val="00E36E08"/>
    <w:rsid w:val="00E376CE"/>
    <w:rsid w:val="00E406A7"/>
    <w:rsid w:val="00E47B7A"/>
    <w:rsid w:val="00E55569"/>
    <w:rsid w:val="00E562DC"/>
    <w:rsid w:val="00E63937"/>
    <w:rsid w:val="00E64008"/>
    <w:rsid w:val="00E66734"/>
    <w:rsid w:val="00E73374"/>
    <w:rsid w:val="00E73943"/>
    <w:rsid w:val="00E73A29"/>
    <w:rsid w:val="00E74066"/>
    <w:rsid w:val="00E766C7"/>
    <w:rsid w:val="00E81954"/>
    <w:rsid w:val="00E8317B"/>
    <w:rsid w:val="00E84291"/>
    <w:rsid w:val="00E854CE"/>
    <w:rsid w:val="00E907F1"/>
    <w:rsid w:val="00E94CDE"/>
    <w:rsid w:val="00E95744"/>
    <w:rsid w:val="00E960AC"/>
    <w:rsid w:val="00EA38D1"/>
    <w:rsid w:val="00EA42F9"/>
    <w:rsid w:val="00EA7B05"/>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6FA6"/>
    <w:rsid w:val="00F37731"/>
    <w:rsid w:val="00F37B82"/>
    <w:rsid w:val="00F41E50"/>
    <w:rsid w:val="00F477A5"/>
    <w:rsid w:val="00F478F0"/>
    <w:rsid w:val="00F5342E"/>
    <w:rsid w:val="00F545EB"/>
    <w:rsid w:val="00F546FE"/>
    <w:rsid w:val="00F55032"/>
    <w:rsid w:val="00F60F16"/>
    <w:rsid w:val="00F64196"/>
    <w:rsid w:val="00F65467"/>
    <w:rsid w:val="00F72008"/>
    <w:rsid w:val="00F72107"/>
    <w:rsid w:val="00F734C6"/>
    <w:rsid w:val="00F73A59"/>
    <w:rsid w:val="00F77AFD"/>
    <w:rsid w:val="00F847D5"/>
    <w:rsid w:val="00F8630A"/>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81D"/>
    <w:rsid w:val="00FC0EC2"/>
    <w:rsid w:val="00FC27C3"/>
    <w:rsid w:val="00FC5534"/>
    <w:rsid w:val="00FC56E5"/>
    <w:rsid w:val="00FC649A"/>
    <w:rsid w:val="00FD5C7C"/>
    <w:rsid w:val="00FD6000"/>
    <w:rsid w:val="00FE17B0"/>
    <w:rsid w:val="00FE1C9B"/>
    <w:rsid w:val="00FE6510"/>
    <w:rsid w:val="00FE7DBC"/>
    <w:rsid w:val="00FF0DCD"/>
    <w:rsid w:val="00FF2BEF"/>
    <w:rsid w:val="00FF31C5"/>
    <w:rsid w:val="00FF547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F97742C"/>
  <w15:chartTrackingRefBased/>
  <w15:docId w15:val="{2631B705-D6E3-4510-9A93-90096D8F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656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255</TotalTime>
  <Pages>12</Pages>
  <Words>4166</Words>
  <Characters>22332</Characters>
  <Application>Microsoft Office Word</Application>
  <DocSecurity>0</DocSecurity>
  <Lines>656</Lines>
  <Paragraphs>267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26231</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Liveson, Sam (EGLE)</dc:creator>
  <cp:keywords>AQD-AIR-ROP-TITLE V, Permit,Staff Report</cp:keywords>
  <dc:description/>
  <cp:lastModifiedBy>Ramsey, Marguerita (EGLE)</cp:lastModifiedBy>
  <cp:revision>46</cp:revision>
  <cp:lastPrinted>2024-06-27T15:45:00Z</cp:lastPrinted>
  <dcterms:created xsi:type="dcterms:W3CDTF">2023-12-19T13:25:00Z</dcterms:created>
  <dcterms:modified xsi:type="dcterms:W3CDTF">2024-06-27T15:46:00Z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