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p>
        </w:tc>
        <w:tc>
          <w:tcPr>
            <w:tcW w:w="9000" w:type="dxa"/>
          </w:tcPr>
          <w:p w:rsidR="0099525C" w:rsidRPr="00012E33" w:rsidRDefault="0099525C" w:rsidP="0099525C">
            <w:pPr>
              <w:spacing w:before="20" w:after="20"/>
              <w:jc w:val="center"/>
              <w:rPr>
                <w:b/>
                <w:sz w:val="24"/>
                <w:szCs w:val="24"/>
              </w:rPr>
            </w:pPr>
            <w:r w:rsidRPr="00012E33">
              <w:rPr>
                <w:b/>
                <w:sz w:val="24"/>
                <w:szCs w:val="24"/>
              </w:rPr>
              <w:t>MICHIGAN DEPARTMENT OF ENVIRONMENT</w:t>
            </w:r>
            <w:r>
              <w:rPr>
                <w:b/>
                <w:sz w:val="24"/>
                <w:szCs w:val="24"/>
              </w:rPr>
              <w:t>, GREAT LAKES, AND ENERGY</w:t>
            </w:r>
          </w:p>
          <w:p w:rsidR="005E5399" w:rsidRDefault="0099525C" w:rsidP="0099525C">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9C0A7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E27FA">
              <w:rPr>
                <w:szCs w:val="22"/>
              </w:rPr>
              <w:t xml:space="preserve"> June 7, 2019</w:t>
            </w:r>
          </w:p>
          <w:p w:rsidR="009C0A7A" w:rsidRDefault="009C0A7A"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226C56" w:rsidP="00B9050D">
            <w:pPr>
              <w:jc w:val="center"/>
              <w:rPr>
                <w:b/>
                <w:szCs w:val="22"/>
              </w:rPr>
            </w:pPr>
            <w:bookmarkStart w:id="0" w:name="bCompanyName"/>
            <w:r>
              <w:rPr>
                <w:b/>
                <w:szCs w:val="22"/>
              </w:rPr>
              <w:t>Standard Coating Inc.</w:t>
            </w:r>
            <w:bookmarkStart w:id="1" w:name="_GoBack"/>
            <w:bookmarkEnd w:id="1"/>
          </w:p>
          <w:bookmarkEnd w:id="0"/>
          <w:p w:rsidR="00C2618F" w:rsidRPr="00927270" w:rsidRDefault="00C2618F" w:rsidP="00C2618F">
            <w:pPr>
              <w:jc w:val="center"/>
              <w:rPr>
                <w:szCs w:val="22"/>
              </w:rPr>
            </w:pPr>
          </w:p>
          <w:p w:rsidR="00B9050D" w:rsidRDefault="00C2618F" w:rsidP="00B9050D">
            <w:pPr>
              <w:jc w:val="center"/>
              <w:rPr>
                <w:szCs w:val="22"/>
              </w:rPr>
            </w:pPr>
            <w:r w:rsidRPr="00927270">
              <w:rPr>
                <w:szCs w:val="22"/>
              </w:rPr>
              <w:t xml:space="preserve">State Registration Number (SRN):  </w:t>
            </w:r>
            <w:bookmarkStart w:id="2" w:name="bSRN"/>
            <w:r w:rsidR="00226C56">
              <w:rPr>
                <w:szCs w:val="22"/>
              </w:rPr>
              <w:t>B2363</w:t>
            </w:r>
          </w:p>
          <w:bookmarkEnd w:id="2"/>
          <w:p w:rsidR="00C2618F" w:rsidRDefault="00C2618F" w:rsidP="00C2618F">
            <w:pPr>
              <w:jc w:val="center"/>
              <w:rPr>
                <w:szCs w:val="22"/>
              </w:rPr>
            </w:pPr>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226C56" w:rsidP="002B29E9">
            <w:pPr>
              <w:jc w:val="center"/>
              <w:rPr>
                <w:szCs w:val="22"/>
              </w:rPr>
            </w:pPr>
            <w:bookmarkStart w:id="3" w:name="bStreetAddress"/>
            <w:bookmarkEnd w:id="3"/>
            <w:r>
              <w:rPr>
                <w:szCs w:val="22"/>
              </w:rPr>
              <w:t>32565 Dequindre Road</w:t>
            </w:r>
            <w:r w:rsidR="002B29E9">
              <w:rPr>
                <w:szCs w:val="22"/>
              </w:rPr>
              <w:t>,</w:t>
            </w:r>
            <w:r>
              <w:rPr>
                <w:szCs w:val="22"/>
              </w:rPr>
              <w:t xml:space="preserve"> Madison Heights</w:t>
            </w:r>
            <w:bookmarkStart w:id="4" w:name="bCity"/>
            <w:bookmarkEnd w:id="4"/>
            <w:r w:rsidR="002B29E9">
              <w:rPr>
                <w:szCs w:val="22"/>
              </w:rPr>
              <w:t xml:space="preserve">, </w:t>
            </w:r>
            <w:r w:rsidR="002B29E9" w:rsidRPr="00927270">
              <w:rPr>
                <w:szCs w:val="22"/>
              </w:rPr>
              <w:t>Michigan</w:t>
            </w:r>
            <w:r>
              <w:rPr>
                <w:szCs w:val="22"/>
              </w:rPr>
              <w:t xml:space="preserve">  48071</w:t>
            </w:r>
            <w:r w:rsidR="002B29E9">
              <w:rPr>
                <w:szCs w:val="22"/>
              </w:rPr>
              <w:t xml:space="preserve">  </w:t>
            </w:r>
            <w:bookmarkStart w:id="5" w:name="bZip"/>
            <w:bookmarkEnd w:id="5"/>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26C56">
              <w:rPr>
                <w:sz w:val="24"/>
              </w:rPr>
              <w:t>B2363</w:t>
            </w:r>
            <w:r w:rsidR="004032B7" w:rsidRPr="001838ED">
              <w:rPr>
                <w:sz w:val="24"/>
              </w:rPr>
              <w:t>-</w:t>
            </w:r>
            <w:bookmarkStart w:id="7" w:name="bIssueYear"/>
            <w:bookmarkEnd w:id="7"/>
            <w:r w:rsidR="00226C56">
              <w:rPr>
                <w:sz w:val="24"/>
              </w:rPr>
              <w:t>20</w:t>
            </w:r>
            <w:r w:rsidR="005B20A3">
              <w:rPr>
                <w:sz w:val="24"/>
              </w:rPr>
              <w:t>19</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5B20A3">
              <w:rPr>
                <w:sz w:val="24"/>
              </w:rPr>
              <w:t>June 7, 2024</w:t>
            </w:r>
          </w:p>
          <w:p w:rsidR="0025601A" w:rsidRPr="001838ED" w:rsidRDefault="0025601A" w:rsidP="001838ED">
            <w:pPr>
              <w:ind w:left="2880" w:firstLine="360"/>
              <w:rPr>
                <w:sz w:val="24"/>
              </w:rPr>
            </w:pPr>
          </w:p>
          <w:p w:rsidR="009C0A7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5B20A3">
              <w:rPr>
                <w:sz w:val="24"/>
                <w:szCs w:val="24"/>
              </w:rPr>
              <w:t>December 7, 2022 and December 7, 2023</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rsidTr="006D688D">
        <w:trPr>
          <w:jc w:val="center"/>
        </w:trPr>
        <w:tc>
          <w:tcPr>
            <w:tcW w:w="10551"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SOURCE-WIDE PERMIT TO INSTALL</w:t>
            </w:r>
          </w:p>
          <w:p w:rsidR="009C0A7A" w:rsidRDefault="009C0A7A" w:rsidP="005A402E">
            <w:pPr>
              <w:ind w:left="2880" w:firstLine="720"/>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26C56">
              <w:rPr>
                <w:sz w:val="24"/>
                <w:szCs w:val="24"/>
              </w:rPr>
              <w:t>B2363</w:t>
            </w:r>
            <w:r w:rsidR="000D5F06">
              <w:rPr>
                <w:sz w:val="24"/>
                <w:szCs w:val="24"/>
              </w:rPr>
              <w:t>-</w:t>
            </w:r>
            <w:bookmarkStart w:id="10" w:name="bIssueYear2"/>
            <w:bookmarkEnd w:id="10"/>
            <w:r w:rsidR="00B32D54">
              <w:rPr>
                <w:sz w:val="24"/>
                <w:szCs w:val="24"/>
              </w:rPr>
              <w:t>20</w:t>
            </w:r>
            <w:r w:rsidR="005B20A3">
              <w:rPr>
                <w:sz w:val="24"/>
                <w:szCs w:val="24"/>
              </w:rPr>
              <w:t>19</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6D688D" w:rsidRDefault="006D688D" w:rsidP="006D688D">
      <w:pPr>
        <w:ind w:left="-180"/>
        <w:rPr>
          <w:szCs w:val="22"/>
        </w:rPr>
      </w:pPr>
      <w:r>
        <w:rPr>
          <w:szCs w:val="22"/>
        </w:rPr>
        <w:t>Michigan Department of Environment, Great Lakes, and Energy</w:t>
      </w:r>
    </w:p>
    <w:p w:rsidR="00233961" w:rsidRDefault="00233961" w:rsidP="00F73D71">
      <w:pPr>
        <w:ind w:left="-180"/>
        <w:rPr>
          <w:szCs w:val="22"/>
        </w:rPr>
      </w:pPr>
    </w:p>
    <w:p w:rsidR="006F2C46" w:rsidRDefault="006F2C46" w:rsidP="00F73D71">
      <w:pPr>
        <w:ind w:left="-180"/>
        <w:rPr>
          <w:szCs w:val="22"/>
        </w:rPr>
      </w:pPr>
    </w:p>
    <w:p w:rsidR="006F2C46" w:rsidRDefault="006F2C46" w:rsidP="00F73D71">
      <w:pPr>
        <w:ind w:left="-180"/>
        <w:rPr>
          <w:szCs w:val="22"/>
        </w:rPr>
      </w:pPr>
    </w:p>
    <w:p w:rsidR="002F4C64" w:rsidRPr="0097673C" w:rsidRDefault="00AB2375" w:rsidP="009C0A7A">
      <w:pPr>
        <w:ind w:left="-180"/>
        <w:rPr>
          <w:b/>
          <w:sz w:val="18"/>
        </w:rPr>
      </w:pPr>
      <w:r w:rsidRPr="006A1190">
        <w:rPr>
          <w:szCs w:val="22"/>
        </w:rPr>
        <w:t>_______________________</w:t>
      </w:r>
      <w:r w:rsidR="007045E6">
        <w:rPr>
          <w:szCs w:val="22"/>
        </w:rPr>
        <w:t>___</w:t>
      </w:r>
      <w:r w:rsidRPr="006A1190">
        <w:rPr>
          <w:szCs w:val="22"/>
        </w:rPr>
        <w:t>_____</w:t>
      </w:r>
      <w:r w:rsidR="009C0A7A">
        <w:rPr>
          <w:szCs w:val="22"/>
        </w:rPr>
        <w:br/>
      </w:r>
      <w:bookmarkStart w:id="11" w:name="bDS"/>
      <w:bookmarkEnd w:id="11"/>
      <w:r w:rsidR="00226C56">
        <w:rPr>
          <w:szCs w:val="22"/>
        </w:rPr>
        <w:t xml:space="preserve">Joyce Zhu, </w:t>
      </w:r>
      <w:r w:rsidR="0099525C">
        <w:rPr>
          <w:szCs w:val="22"/>
        </w:rPr>
        <w:t>Warren</w:t>
      </w:r>
      <w:r w:rsidR="007045E6">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32346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726724" w:history="1">
        <w:r w:rsidR="0032346C" w:rsidRPr="007C5B90">
          <w:rPr>
            <w:rStyle w:val="Hyperlink"/>
            <w:noProof/>
          </w:rPr>
          <w:t>AUTHORITY AND ENFORCEABILITY</w:t>
        </w:r>
        <w:r w:rsidR="0032346C">
          <w:rPr>
            <w:noProof/>
            <w:webHidden/>
          </w:rPr>
          <w:tab/>
        </w:r>
        <w:r w:rsidR="0032346C">
          <w:rPr>
            <w:noProof/>
            <w:webHidden/>
          </w:rPr>
          <w:fldChar w:fldCharType="begin"/>
        </w:r>
        <w:r w:rsidR="0032346C">
          <w:rPr>
            <w:noProof/>
            <w:webHidden/>
          </w:rPr>
          <w:instrText xml:space="preserve"> PAGEREF _Toc10726724 \h </w:instrText>
        </w:r>
        <w:r w:rsidR="0032346C">
          <w:rPr>
            <w:noProof/>
            <w:webHidden/>
          </w:rPr>
        </w:r>
        <w:r w:rsidR="0032346C">
          <w:rPr>
            <w:noProof/>
            <w:webHidden/>
          </w:rPr>
          <w:fldChar w:fldCharType="separate"/>
        </w:r>
        <w:r w:rsidR="0032346C">
          <w:rPr>
            <w:noProof/>
            <w:webHidden/>
          </w:rPr>
          <w:t>3</w:t>
        </w:r>
        <w:r w:rsidR="0032346C">
          <w:rPr>
            <w:noProof/>
            <w:webHidden/>
          </w:rPr>
          <w:fldChar w:fldCharType="end"/>
        </w:r>
      </w:hyperlink>
    </w:p>
    <w:p w:rsidR="0032346C" w:rsidRDefault="00E43074">
      <w:pPr>
        <w:pStyle w:val="TOC1"/>
        <w:rPr>
          <w:rFonts w:asciiTheme="minorHAnsi" w:eastAsiaTheme="minorEastAsia" w:hAnsiTheme="minorHAnsi" w:cstheme="minorBidi"/>
          <w:b w:val="0"/>
          <w:noProof/>
        </w:rPr>
      </w:pPr>
      <w:hyperlink w:anchor="_Toc10726725" w:history="1">
        <w:r w:rsidR="0032346C" w:rsidRPr="007C5B90">
          <w:rPr>
            <w:rStyle w:val="Hyperlink"/>
            <w:noProof/>
          </w:rPr>
          <w:t>A.  GENERAL CONDITIONS</w:t>
        </w:r>
        <w:r w:rsidR="0032346C">
          <w:rPr>
            <w:noProof/>
            <w:webHidden/>
          </w:rPr>
          <w:tab/>
        </w:r>
        <w:r w:rsidR="0032346C">
          <w:rPr>
            <w:noProof/>
            <w:webHidden/>
          </w:rPr>
          <w:fldChar w:fldCharType="begin"/>
        </w:r>
        <w:r w:rsidR="0032346C">
          <w:rPr>
            <w:noProof/>
            <w:webHidden/>
          </w:rPr>
          <w:instrText xml:space="preserve"> PAGEREF _Toc10726725 \h </w:instrText>
        </w:r>
        <w:r w:rsidR="0032346C">
          <w:rPr>
            <w:noProof/>
            <w:webHidden/>
          </w:rPr>
        </w:r>
        <w:r w:rsidR="0032346C">
          <w:rPr>
            <w:noProof/>
            <w:webHidden/>
          </w:rPr>
          <w:fldChar w:fldCharType="separate"/>
        </w:r>
        <w:r w:rsidR="0032346C">
          <w:rPr>
            <w:noProof/>
            <w:webHidden/>
          </w:rPr>
          <w:t>4</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26" w:history="1">
        <w:r w:rsidR="0032346C" w:rsidRPr="007C5B90">
          <w:rPr>
            <w:rStyle w:val="Hyperlink"/>
            <w:noProof/>
          </w:rPr>
          <w:t>Permit Enforceability</w:t>
        </w:r>
        <w:r w:rsidR="0032346C">
          <w:rPr>
            <w:noProof/>
            <w:webHidden/>
          </w:rPr>
          <w:tab/>
        </w:r>
        <w:r w:rsidR="0032346C">
          <w:rPr>
            <w:noProof/>
            <w:webHidden/>
          </w:rPr>
          <w:fldChar w:fldCharType="begin"/>
        </w:r>
        <w:r w:rsidR="0032346C">
          <w:rPr>
            <w:noProof/>
            <w:webHidden/>
          </w:rPr>
          <w:instrText xml:space="preserve"> PAGEREF _Toc10726726 \h </w:instrText>
        </w:r>
        <w:r w:rsidR="0032346C">
          <w:rPr>
            <w:noProof/>
            <w:webHidden/>
          </w:rPr>
        </w:r>
        <w:r w:rsidR="0032346C">
          <w:rPr>
            <w:noProof/>
            <w:webHidden/>
          </w:rPr>
          <w:fldChar w:fldCharType="separate"/>
        </w:r>
        <w:r w:rsidR="0032346C">
          <w:rPr>
            <w:noProof/>
            <w:webHidden/>
          </w:rPr>
          <w:t>4</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27" w:history="1">
        <w:r w:rsidR="0032346C" w:rsidRPr="007C5B90">
          <w:rPr>
            <w:rStyle w:val="Hyperlink"/>
            <w:noProof/>
          </w:rPr>
          <w:t>General Provisions</w:t>
        </w:r>
        <w:r w:rsidR="0032346C">
          <w:rPr>
            <w:noProof/>
            <w:webHidden/>
          </w:rPr>
          <w:tab/>
        </w:r>
        <w:r w:rsidR="0032346C">
          <w:rPr>
            <w:noProof/>
            <w:webHidden/>
          </w:rPr>
          <w:fldChar w:fldCharType="begin"/>
        </w:r>
        <w:r w:rsidR="0032346C">
          <w:rPr>
            <w:noProof/>
            <w:webHidden/>
          </w:rPr>
          <w:instrText xml:space="preserve"> PAGEREF _Toc10726727 \h </w:instrText>
        </w:r>
        <w:r w:rsidR="0032346C">
          <w:rPr>
            <w:noProof/>
            <w:webHidden/>
          </w:rPr>
        </w:r>
        <w:r w:rsidR="0032346C">
          <w:rPr>
            <w:noProof/>
            <w:webHidden/>
          </w:rPr>
          <w:fldChar w:fldCharType="separate"/>
        </w:r>
        <w:r w:rsidR="0032346C">
          <w:rPr>
            <w:noProof/>
            <w:webHidden/>
          </w:rPr>
          <w:t>4</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28" w:history="1">
        <w:r w:rsidR="0032346C" w:rsidRPr="007C5B90">
          <w:rPr>
            <w:rStyle w:val="Hyperlink"/>
            <w:noProof/>
          </w:rPr>
          <w:t>Equipment &amp; Design</w:t>
        </w:r>
        <w:r w:rsidR="0032346C">
          <w:rPr>
            <w:noProof/>
            <w:webHidden/>
          </w:rPr>
          <w:tab/>
        </w:r>
        <w:r w:rsidR="0032346C">
          <w:rPr>
            <w:noProof/>
            <w:webHidden/>
          </w:rPr>
          <w:fldChar w:fldCharType="begin"/>
        </w:r>
        <w:r w:rsidR="0032346C">
          <w:rPr>
            <w:noProof/>
            <w:webHidden/>
          </w:rPr>
          <w:instrText xml:space="preserve"> PAGEREF _Toc10726728 \h </w:instrText>
        </w:r>
        <w:r w:rsidR="0032346C">
          <w:rPr>
            <w:noProof/>
            <w:webHidden/>
          </w:rPr>
        </w:r>
        <w:r w:rsidR="0032346C">
          <w:rPr>
            <w:noProof/>
            <w:webHidden/>
          </w:rPr>
          <w:fldChar w:fldCharType="separate"/>
        </w:r>
        <w:r w:rsidR="0032346C">
          <w:rPr>
            <w:noProof/>
            <w:webHidden/>
          </w:rPr>
          <w:t>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29" w:history="1">
        <w:r w:rsidR="0032346C" w:rsidRPr="007C5B90">
          <w:rPr>
            <w:rStyle w:val="Hyperlink"/>
            <w:noProof/>
          </w:rPr>
          <w:t>Emission Limits</w:t>
        </w:r>
        <w:r w:rsidR="0032346C">
          <w:rPr>
            <w:noProof/>
            <w:webHidden/>
          </w:rPr>
          <w:tab/>
        </w:r>
        <w:r w:rsidR="0032346C">
          <w:rPr>
            <w:noProof/>
            <w:webHidden/>
          </w:rPr>
          <w:fldChar w:fldCharType="begin"/>
        </w:r>
        <w:r w:rsidR="0032346C">
          <w:rPr>
            <w:noProof/>
            <w:webHidden/>
          </w:rPr>
          <w:instrText xml:space="preserve"> PAGEREF _Toc10726729 \h </w:instrText>
        </w:r>
        <w:r w:rsidR="0032346C">
          <w:rPr>
            <w:noProof/>
            <w:webHidden/>
          </w:rPr>
        </w:r>
        <w:r w:rsidR="0032346C">
          <w:rPr>
            <w:noProof/>
            <w:webHidden/>
          </w:rPr>
          <w:fldChar w:fldCharType="separate"/>
        </w:r>
        <w:r w:rsidR="0032346C">
          <w:rPr>
            <w:noProof/>
            <w:webHidden/>
          </w:rPr>
          <w:t>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0" w:history="1">
        <w:r w:rsidR="0032346C" w:rsidRPr="007C5B90">
          <w:rPr>
            <w:rStyle w:val="Hyperlink"/>
            <w:noProof/>
          </w:rPr>
          <w:t>Testing/Sampling</w:t>
        </w:r>
        <w:r w:rsidR="0032346C">
          <w:rPr>
            <w:noProof/>
            <w:webHidden/>
          </w:rPr>
          <w:tab/>
        </w:r>
        <w:r w:rsidR="0032346C">
          <w:rPr>
            <w:noProof/>
            <w:webHidden/>
          </w:rPr>
          <w:fldChar w:fldCharType="begin"/>
        </w:r>
        <w:r w:rsidR="0032346C">
          <w:rPr>
            <w:noProof/>
            <w:webHidden/>
          </w:rPr>
          <w:instrText xml:space="preserve"> PAGEREF _Toc10726730 \h </w:instrText>
        </w:r>
        <w:r w:rsidR="0032346C">
          <w:rPr>
            <w:noProof/>
            <w:webHidden/>
          </w:rPr>
        </w:r>
        <w:r w:rsidR="0032346C">
          <w:rPr>
            <w:noProof/>
            <w:webHidden/>
          </w:rPr>
          <w:fldChar w:fldCharType="separate"/>
        </w:r>
        <w:r w:rsidR="0032346C">
          <w:rPr>
            <w:noProof/>
            <w:webHidden/>
          </w:rPr>
          <w:t>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1" w:history="1">
        <w:r w:rsidR="0032346C" w:rsidRPr="007C5B90">
          <w:rPr>
            <w:rStyle w:val="Hyperlink"/>
            <w:noProof/>
          </w:rPr>
          <w:t>Monitoring/Recordkeeping</w:t>
        </w:r>
        <w:r w:rsidR="0032346C">
          <w:rPr>
            <w:noProof/>
            <w:webHidden/>
          </w:rPr>
          <w:tab/>
        </w:r>
        <w:r w:rsidR="0032346C">
          <w:rPr>
            <w:noProof/>
            <w:webHidden/>
          </w:rPr>
          <w:fldChar w:fldCharType="begin"/>
        </w:r>
        <w:r w:rsidR="0032346C">
          <w:rPr>
            <w:noProof/>
            <w:webHidden/>
          </w:rPr>
          <w:instrText xml:space="preserve"> PAGEREF _Toc10726731 \h </w:instrText>
        </w:r>
        <w:r w:rsidR="0032346C">
          <w:rPr>
            <w:noProof/>
            <w:webHidden/>
          </w:rPr>
        </w:r>
        <w:r w:rsidR="0032346C">
          <w:rPr>
            <w:noProof/>
            <w:webHidden/>
          </w:rPr>
          <w:fldChar w:fldCharType="separate"/>
        </w:r>
        <w:r w:rsidR="0032346C">
          <w:rPr>
            <w:noProof/>
            <w:webHidden/>
          </w:rPr>
          <w:t>6</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2" w:history="1">
        <w:r w:rsidR="0032346C" w:rsidRPr="007C5B90">
          <w:rPr>
            <w:rStyle w:val="Hyperlink"/>
            <w:noProof/>
          </w:rPr>
          <w:t>Certification &amp; Reporting</w:t>
        </w:r>
        <w:r w:rsidR="0032346C">
          <w:rPr>
            <w:noProof/>
            <w:webHidden/>
          </w:rPr>
          <w:tab/>
        </w:r>
        <w:r w:rsidR="0032346C">
          <w:rPr>
            <w:noProof/>
            <w:webHidden/>
          </w:rPr>
          <w:fldChar w:fldCharType="begin"/>
        </w:r>
        <w:r w:rsidR="0032346C">
          <w:rPr>
            <w:noProof/>
            <w:webHidden/>
          </w:rPr>
          <w:instrText xml:space="preserve"> PAGEREF _Toc10726732 \h </w:instrText>
        </w:r>
        <w:r w:rsidR="0032346C">
          <w:rPr>
            <w:noProof/>
            <w:webHidden/>
          </w:rPr>
        </w:r>
        <w:r w:rsidR="0032346C">
          <w:rPr>
            <w:noProof/>
            <w:webHidden/>
          </w:rPr>
          <w:fldChar w:fldCharType="separate"/>
        </w:r>
        <w:r w:rsidR="0032346C">
          <w:rPr>
            <w:noProof/>
            <w:webHidden/>
          </w:rPr>
          <w:t>6</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3" w:history="1">
        <w:r w:rsidR="0032346C" w:rsidRPr="007C5B90">
          <w:rPr>
            <w:rStyle w:val="Hyperlink"/>
            <w:noProof/>
          </w:rPr>
          <w:t>Permit Shield</w:t>
        </w:r>
        <w:r w:rsidR="0032346C">
          <w:rPr>
            <w:noProof/>
            <w:webHidden/>
          </w:rPr>
          <w:tab/>
        </w:r>
        <w:r w:rsidR="0032346C">
          <w:rPr>
            <w:noProof/>
            <w:webHidden/>
          </w:rPr>
          <w:fldChar w:fldCharType="begin"/>
        </w:r>
        <w:r w:rsidR="0032346C">
          <w:rPr>
            <w:noProof/>
            <w:webHidden/>
          </w:rPr>
          <w:instrText xml:space="preserve"> PAGEREF _Toc10726733 \h </w:instrText>
        </w:r>
        <w:r w:rsidR="0032346C">
          <w:rPr>
            <w:noProof/>
            <w:webHidden/>
          </w:rPr>
        </w:r>
        <w:r w:rsidR="0032346C">
          <w:rPr>
            <w:noProof/>
            <w:webHidden/>
          </w:rPr>
          <w:fldChar w:fldCharType="separate"/>
        </w:r>
        <w:r w:rsidR="0032346C">
          <w:rPr>
            <w:noProof/>
            <w:webHidden/>
          </w:rPr>
          <w:t>7</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4" w:history="1">
        <w:r w:rsidR="0032346C" w:rsidRPr="007C5B90">
          <w:rPr>
            <w:rStyle w:val="Hyperlink"/>
            <w:noProof/>
          </w:rPr>
          <w:t>Revisions</w:t>
        </w:r>
        <w:r w:rsidR="0032346C">
          <w:rPr>
            <w:noProof/>
            <w:webHidden/>
          </w:rPr>
          <w:tab/>
        </w:r>
        <w:r w:rsidR="0032346C">
          <w:rPr>
            <w:noProof/>
            <w:webHidden/>
          </w:rPr>
          <w:fldChar w:fldCharType="begin"/>
        </w:r>
        <w:r w:rsidR="0032346C">
          <w:rPr>
            <w:noProof/>
            <w:webHidden/>
          </w:rPr>
          <w:instrText xml:space="preserve"> PAGEREF _Toc10726734 \h </w:instrText>
        </w:r>
        <w:r w:rsidR="0032346C">
          <w:rPr>
            <w:noProof/>
            <w:webHidden/>
          </w:rPr>
        </w:r>
        <w:r w:rsidR="0032346C">
          <w:rPr>
            <w:noProof/>
            <w:webHidden/>
          </w:rPr>
          <w:fldChar w:fldCharType="separate"/>
        </w:r>
        <w:r w:rsidR="0032346C">
          <w:rPr>
            <w:noProof/>
            <w:webHidden/>
          </w:rPr>
          <w:t>8</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5" w:history="1">
        <w:r w:rsidR="0032346C" w:rsidRPr="007C5B90">
          <w:rPr>
            <w:rStyle w:val="Hyperlink"/>
            <w:noProof/>
          </w:rPr>
          <w:t>Reopenings</w:t>
        </w:r>
        <w:r w:rsidR="0032346C">
          <w:rPr>
            <w:noProof/>
            <w:webHidden/>
          </w:rPr>
          <w:tab/>
        </w:r>
        <w:r w:rsidR="0032346C">
          <w:rPr>
            <w:noProof/>
            <w:webHidden/>
          </w:rPr>
          <w:fldChar w:fldCharType="begin"/>
        </w:r>
        <w:r w:rsidR="0032346C">
          <w:rPr>
            <w:noProof/>
            <w:webHidden/>
          </w:rPr>
          <w:instrText xml:space="preserve"> PAGEREF _Toc10726735 \h </w:instrText>
        </w:r>
        <w:r w:rsidR="0032346C">
          <w:rPr>
            <w:noProof/>
            <w:webHidden/>
          </w:rPr>
        </w:r>
        <w:r w:rsidR="0032346C">
          <w:rPr>
            <w:noProof/>
            <w:webHidden/>
          </w:rPr>
          <w:fldChar w:fldCharType="separate"/>
        </w:r>
        <w:r w:rsidR="0032346C">
          <w:rPr>
            <w:noProof/>
            <w:webHidden/>
          </w:rPr>
          <w:t>8</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6" w:history="1">
        <w:r w:rsidR="0032346C" w:rsidRPr="007C5B90">
          <w:rPr>
            <w:rStyle w:val="Hyperlink"/>
            <w:noProof/>
          </w:rPr>
          <w:t>Renewals</w:t>
        </w:r>
        <w:r w:rsidR="0032346C">
          <w:rPr>
            <w:noProof/>
            <w:webHidden/>
          </w:rPr>
          <w:tab/>
        </w:r>
        <w:r w:rsidR="0032346C">
          <w:rPr>
            <w:noProof/>
            <w:webHidden/>
          </w:rPr>
          <w:fldChar w:fldCharType="begin"/>
        </w:r>
        <w:r w:rsidR="0032346C">
          <w:rPr>
            <w:noProof/>
            <w:webHidden/>
          </w:rPr>
          <w:instrText xml:space="preserve"> PAGEREF _Toc10726736 \h </w:instrText>
        </w:r>
        <w:r w:rsidR="0032346C">
          <w:rPr>
            <w:noProof/>
            <w:webHidden/>
          </w:rPr>
        </w:r>
        <w:r w:rsidR="0032346C">
          <w:rPr>
            <w:noProof/>
            <w:webHidden/>
          </w:rPr>
          <w:fldChar w:fldCharType="separate"/>
        </w:r>
        <w:r w:rsidR="0032346C">
          <w:rPr>
            <w:noProof/>
            <w:webHidden/>
          </w:rPr>
          <w:t>9</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7" w:history="1">
        <w:r w:rsidR="0032346C" w:rsidRPr="007C5B90">
          <w:rPr>
            <w:rStyle w:val="Hyperlink"/>
            <w:bCs/>
            <w:noProof/>
          </w:rPr>
          <w:t>Stratospheric Ozone Protection</w:t>
        </w:r>
        <w:r w:rsidR="0032346C">
          <w:rPr>
            <w:noProof/>
            <w:webHidden/>
          </w:rPr>
          <w:tab/>
        </w:r>
        <w:r w:rsidR="0032346C">
          <w:rPr>
            <w:noProof/>
            <w:webHidden/>
          </w:rPr>
          <w:fldChar w:fldCharType="begin"/>
        </w:r>
        <w:r w:rsidR="0032346C">
          <w:rPr>
            <w:noProof/>
            <w:webHidden/>
          </w:rPr>
          <w:instrText xml:space="preserve"> PAGEREF _Toc10726737 \h </w:instrText>
        </w:r>
        <w:r w:rsidR="0032346C">
          <w:rPr>
            <w:noProof/>
            <w:webHidden/>
          </w:rPr>
        </w:r>
        <w:r w:rsidR="0032346C">
          <w:rPr>
            <w:noProof/>
            <w:webHidden/>
          </w:rPr>
          <w:fldChar w:fldCharType="separate"/>
        </w:r>
        <w:r w:rsidR="0032346C">
          <w:rPr>
            <w:noProof/>
            <w:webHidden/>
          </w:rPr>
          <w:t>9</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8" w:history="1">
        <w:r w:rsidR="0032346C" w:rsidRPr="007C5B90">
          <w:rPr>
            <w:rStyle w:val="Hyperlink"/>
            <w:bCs/>
            <w:noProof/>
          </w:rPr>
          <w:t>Risk Management Plan</w:t>
        </w:r>
        <w:r w:rsidR="0032346C">
          <w:rPr>
            <w:noProof/>
            <w:webHidden/>
          </w:rPr>
          <w:tab/>
        </w:r>
        <w:r w:rsidR="0032346C">
          <w:rPr>
            <w:noProof/>
            <w:webHidden/>
          </w:rPr>
          <w:fldChar w:fldCharType="begin"/>
        </w:r>
        <w:r w:rsidR="0032346C">
          <w:rPr>
            <w:noProof/>
            <w:webHidden/>
          </w:rPr>
          <w:instrText xml:space="preserve"> PAGEREF _Toc10726738 \h </w:instrText>
        </w:r>
        <w:r w:rsidR="0032346C">
          <w:rPr>
            <w:noProof/>
            <w:webHidden/>
          </w:rPr>
        </w:r>
        <w:r w:rsidR="0032346C">
          <w:rPr>
            <w:noProof/>
            <w:webHidden/>
          </w:rPr>
          <w:fldChar w:fldCharType="separate"/>
        </w:r>
        <w:r w:rsidR="0032346C">
          <w:rPr>
            <w:noProof/>
            <w:webHidden/>
          </w:rPr>
          <w:t>9</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39" w:history="1">
        <w:r w:rsidR="0032346C" w:rsidRPr="007C5B90">
          <w:rPr>
            <w:rStyle w:val="Hyperlink"/>
            <w:bCs/>
            <w:noProof/>
          </w:rPr>
          <w:t>Emission Trading</w:t>
        </w:r>
        <w:r w:rsidR="0032346C">
          <w:rPr>
            <w:noProof/>
            <w:webHidden/>
          </w:rPr>
          <w:tab/>
        </w:r>
        <w:r w:rsidR="0032346C">
          <w:rPr>
            <w:noProof/>
            <w:webHidden/>
          </w:rPr>
          <w:fldChar w:fldCharType="begin"/>
        </w:r>
        <w:r w:rsidR="0032346C">
          <w:rPr>
            <w:noProof/>
            <w:webHidden/>
          </w:rPr>
          <w:instrText xml:space="preserve"> PAGEREF _Toc10726739 \h </w:instrText>
        </w:r>
        <w:r w:rsidR="0032346C">
          <w:rPr>
            <w:noProof/>
            <w:webHidden/>
          </w:rPr>
        </w:r>
        <w:r w:rsidR="0032346C">
          <w:rPr>
            <w:noProof/>
            <w:webHidden/>
          </w:rPr>
          <w:fldChar w:fldCharType="separate"/>
        </w:r>
        <w:r w:rsidR="0032346C">
          <w:rPr>
            <w:noProof/>
            <w:webHidden/>
          </w:rPr>
          <w:t>9</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40" w:history="1">
        <w:r w:rsidR="0032346C" w:rsidRPr="007C5B90">
          <w:rPr>
            <w:rStyle w:val="Hyperlink"/>
            <w:bCs/>
            <w:noProof/>
          </w:rPr>
          <w:t>Permit to Install (PTI)</w:t>
        </w:r>
        <w:r w:rsidR="0032346C">
          <w:rPr>
            <w:noProof/>
            <w:webHidden/>
          </w:rPr>
          <w:tab/>
        </w:r>
        <w:r w:rsidR="0032346C">
          <w:rPr>
            <w:noProof/>
            <w:webHidden/>
          </w:rPr>
          <w:fldChar w:fldCharType="begin"/>
        </w:r>
        <w:r w:rsidR="0032346C">
          <w:rPr>
            <w:noProof/>
            <w:webHidden/>
          </w:rPr>
          <w:instrText xml:space="preserve"> PAGEREF _Toc10726740 \h </w:instrText>
        </w:r>
        <w:r w:rsidR="0032346C">
          <w:rPr>
            <w:noProof/>
            <w:webHidden/>
          </w:rPr>
        </w:r>
        <w:r w:rsidR="0032346C">
          <w:rPr>
            <w:noProof/>
            <w:webHidden/>
          </w:rPr>
          <w:fldChar w:fldCharType="separate"/>
        </w:r>
        <w:r w:rsidR="0032346C">
          <w:rPr>
            <w:noProof/>
            <w:webHidden/>
          </w:rPr>
          <w:t>10</w:t>
        </w:r>
        <w:r w:rsidR="0032346C">
          <w:rPr>
            <w:noProof/>
            <w:webHidden/>
          </w:rPr>
          <w:fldChar w:fldCharType="end"/>
        </w:r>
      </w:hyperlink>
    </w:p>
    <w:p w:rsidR="0032346C" w:rsidRDefault="00E43074">
      <w:pPr>
        <w:pStyle w:val="TOC1"/>
        <w:rPr>
          <w:rFonts w:asciiTheme="minorHAnsi" w:eastAsiaTheme="minorEastAsia" w:hAnsiTheme="minorHAnsi" w:cstheme="minorBidi"/>
          <w:b w:val="0"/>
          <w:noProof/>
        </w:rPr>
      </w:pPr>
      <w:hyperlink w:anchor="_Toc10726741" w:history="1">
        <w:r w:rsidR="0032346C" w:rsidRPr="007C5B90">
          <w:rPr>
            <w:rStyle w:val="Hyperlink"/>
            <w:noProof/>
          </w:rPr>
          <w:t>B.  SOURCE-WIDE CONDITIONS</w:t>
        </w:r>
        <w:r w:rsidR="0032346C">
          <w:rPr>
            <w:noProof/>
            <w:webHidden/>
          </w:rPr>
          <w:tab/>
        </w:r>
        <w:r w:rsidR="0032346C">
          <w:rPr>
            <w:noProof/>
            <w:webHidden/>
          </w:rPr>
          <w:fldChar w:fldCharType="begin"/>
        </w:r>
        <w:r w:rsidR="0032346C">
          <w:rPr>
            <w:noProof/>
            <w:webHidden/>
          </w:rPr>
          <w:instrText xml:space="preserve"> PAGEREF _Toc10726741 \h </w:instrText>
        </w:r>
        <w:r w:rsidR="0032346C">
          <w:rPr>
            <w:noProof/>
            <w:webHidden/>
          </w:rPr>
        </w:r>
        <w:r w:rsidR="0032346C">
          <w:rPr>
            <w:noProof/>
            <w:webHidden/>
          </w:rPr>
          <w:fldChar w:fldCharType="separate"/>
        </w:r>
        <w:r w:rsidR="0032346C">
          <w:rPr>
            <w:noProof/>
            <w:webHidden/>
          </w:rPr>
          <w:t>11</w:t>
        </w:r>
        <w:r w:rsidR="0032346C">
          <w:rPr>
            <w:noProof/>
            <w:webHidden/>
          </w:rPr>
          <w:fldChar w:fldCharType="end"/>
        </w:r>
      </w:hyperlink>
    </w:p>
    <w:p w:rsidR="0032346C" w:rsidRDefault="00E43074">
      <w:pPr>
        <w:pStyle w:val="TOC1"/>
        <w:rPr>
          <w:rFonts w:asciiTheme="minorHAnsi" w:eastAsiaTheme="minorEastAsia" w:hAnsiTheme="minorHAnsi" w:cstheme="minorBidi"/>
          <w:b w:val="0"/>
          <w:noProof/>
        </w:rPr>
      </w:pPr>
      <w:hyperlink w:anchor="_Toc10726742" w:history="1">
        <w:r w:rsidR="0032346C" w:rsidRPr="007C5B90">
          <w:rPr>
            <w:rStyle w:val="Hyperlink"/>
            <w:noProof/>
          </w:rPr>
          <w:t>C.  EMISSION UNIT SPECIAL CONDITIONS</w:t>
        </w:r>
        <w:r w:rsidR="0032346C">
          <w:rPr>
            <w:noProof/>
            <w:webHidden/>
          </w:rPr>
          <w:tab/>
        </w:r>
        <w:r w:rsidR="0032346C">
          <w:rPr>
            <w:noProof/>
            <w:webHidden/>
          </w:rPr>
          <w:fldChar w:fldCharType="begin"/>
        </w:r>
        <w:r w:rsidR="0032346C">
          <w:rPr>
            <w:noProof/>
            <w:webHidden/>
          </w:rPr>
          <w:instrText xml:space="preserve"> PAGEREF _Toc10726742 \h </w:instrText>
        </w:r>
        <w:r w:rsidR="0032346C">
          <w:rPr>
            <w:noProof/>
            <w:webHidden/>
          </w:rPr>
        </w:r>
        <w:r w:rsidR="0032346C">
          <w:rPr>
            <w:noProof/>
            <w:webHidden/>
          </w:rPr>
          <w:fldChar w:fldCharType="separate"/>
        </w:r>
        <w:r w:rsidR="0032346C">
          <w:rPr>
            <w:noProof/>
            <w:webHidden/>
          </w:rPr>
          <w:t>12</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43" w:history="1">
        <w:r w:rsidR="0032346C" w:rsidRPr="007C5B90">
          <w:rPr>
            <w:rStyle w:val="Hyperlink"/>
            <w:noProof/>
          </w:rPr>
          <w:t>EMISSION UNIT SUMMARY TABLE</w:t>
        </w:r>
        <w:r w:rsidR="0032346C">
          <w:rPr>
            <w:noProof/>
            <w:webHidden/>
          </w:rPr>
          <w:tab/>
        </w:r>
        <w:r w:rsidR="0032346C">
          <w:rPr>
            <w:noProof/>
            <w:webHidden/>
          </w:rPr>
          <w:fldChar w:fldCharType="begin"/>
        </w:r>
        <w:r w:rsidR="0032346C">
          <w:rPr>
            <w:noProof/>
            <w:webHidden/>
          </w:rPr>
          <w:instrText xml:space="preserve"> PAGEREF _Toc10726743 \h </w:instrText>
        </w:r>
        <w:r w:rsidR="0032346C">
          <w:rPr>
            <w:noProof/>
            <w:webHidden/>
          </w:rPr>
        </w:r>
        <w:r w:rsidR="0032346C">
          <w:rPr>
            <w:noProof/>
            <w:webHidden/>
          </w:rPr>
          <w:fldChar w:fldCharType="separate"/>
        </w:r>
        <w:r w:rsidR="0032346C">
          <w:rPr>
            <w:noProof/>
            <w:webHidden/>
          </w:rPr>
          <w:t>12</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44" w:history="1">
        <w:r w:rsidR="0032346C" w:rsidRPr="007C5B90">
          <w:rPr>
            <w:rStyle w:val="Hyperlink"/>
            <w:bCs/>
            <w:noProof/>
          </w:rPr>
          <w:t>EULINE9</w:t>
        </w:r>
        <w:r w:rsidR="0032346C">
          <w:rPr>
            <w:noProof/>
            <w:webHidden/>
          </w:rPr>
          <w:tab/>
        </w:r>
        <w:r w:rsidR="0032346C">
          <w:rPr>
            <w:noProof/>
            <w:webHidden/>
          </w:rPr>
          <w:fldChar w:fldCharType="begin"/>
        </w:r>
        <w:r w:rsidR="0032346C">
          <w:rPr>
            <w:noProof/>
            <w:webHidden/>
          </w:rPr>
          <w:instrText xml:space="preserve"> PAGEREF _Toc10726744 \h </w:instrText>
        </w:r>
        <w:r w:rsidR="0032346C">
          <w:rPr>
            <w:noProof/>
            <w:webHidden/>
          </w:rPr>
        </w:r>
        <w:r w:rsidR="0032346C">
          <w:rPr>
            <w:noProof/>
            <w:webHidden/>
          </w:rPr>
          <w:fldChar w:fldCharType="separate"/>
        </w:r>
        <w:r w:rsidR="0032346C">
          <w:rPr>
            <w:noProof/>
            <w:webHidden/>
          </w:rPr>
          <w:t>13</w:t>
        </w:r>
        <w:r w:rsidR="0032346C">
          <w:rPr>
            <w:noProof/>
            <w:webHidden/>
          </w:rPr>
          <w:fldChar w:fldCharType="end"/>
        </w:r>
      </w:hyperlink>
    </w:p>
    <w:p w:rsidR="0032346C" w:rsidRDefault="00E43074">
      <w:pPr>
        <w:pStyle w:val="TOC1"/>
        <w:rPr>
          <w:rFonts w:asciiTheme="minorHAnsi" w:eastAsiaTheme="minorEastAsia" w:hAnsiTheme="minorHAnsi" w:cstheme="minorBidi"/>
          <w:b w:val="0"/>
          <w:noProof/>
        </w:rPr>
      </w:pPr>
      <w:hyperlink w:anchor="_Toc10726745" w:history="1">
        <w:r w:rsidR="0032346C" w:rsidRPr="007C5B90">
          <w:rPr>
            <w:rStyle w:val="Hyperlink"/>
            <w:noProof/>
          </w:rPr>
          <w:t>D.  FLEXIBLE GROUP SPECIAL CONDITIONS</w:t>
        </w:r>
        <w:r w:rsidR="0032346C">
          <w:rPr>
            <w:noProof/>
            <w:webHidden/>
          </w:rPr>
          <w:tab/>
        </w:r>
        <w:r w:rsidR="0032346C">
          <w:rPr>
            <w:noProof/>
            <w:webHidden/>
          </w:rPr>
          <w:fldChar w:fldCharType="begin"/>
        </w:r>
        <w:r w:rsidR="0032346C">
          <w:rPr>
            <w:noProof/>
            <w:webHidden/>
          </w:rPr>
          <w:instrText xml:space="preserve"> PAGEREF _Toc10726745 \h </w:instrText>
        </w:r>
        <w:r w:rsidR="0032346C">
          <w:rPr>
            <w:noProof/>
            <w:webHidden/>
          </w:rPr>
        </w:r>
        <w:r w:rsidR="0032346C">
          <w:rPr>
            <w:noProof/>
            <w:webHidden/>
          </w:rPr>
          <w:fldChar w:fldCharType="separate"/>
        </w:r>
        <w:r w:rsidR="0032346C">
          <w:rPr>
            <w:noProof/>
            <w:webHidden/>
          </w:rPr>
          <w:t>18</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46" w:history="1">
        <w:r w:rsidR="0032346C" w:rsidRPr="007C5B90">
          <w:rPr>
            <w:rStyle w:val="Hyperlink"/>
            <w:bCs/>
            <w:noProof/>
          </w:rPr>
          <w:t>FLEXIBLE GROUP SUMMARY TABLE</w:t>
        </w:r>
        <w:r w:rsidR="0032346C">
          <w:rPr>
            <w:noProof/>
            <w:webHidden/>
          </w:rPr>
          <w:tab/>
        </w:r>
        <w:r w:rsidR="0032346C">
          <w:rPr>
            <w:noProof/>
            <w:webHidden/>
          </w:rPr>
          <w:fldChar w:fldCharType="begin"/>
        </w:r>
        <w:r w:rsidR="0032346C">
          <w:rPr>
            <w:noProof/>
            <w:webHidden/>
          </w:rPr>
          <w:instrText xml:space="preserve"> PAGEREF _Toc10726746 \h </w:instrText>
        </w:r>
        <w:r w:rsidR="0032346C">
          <w:rPr>
            <w:noProof/>
            <w:webHidden/>
          </w:rPr>
        </w:r>
        <w:r w:rsidR="0032346C">
          <w:rPr>
            <w:noProof/>
            <w:webHidden/>
          </w:rPr>
          <w:fldChar w:fldCharType="separate"/>
        </w:r>
        <w:r w:rsidR="0032346C">
          <w:rPr>
            <w:noProof/>
            <w:webHidden/>
          </w:rPr>
          <w:t>18</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47" w:history="1">
        <w:r w:rsidR="0032346C" w:rsidRPr="007C5B90">
          <w:rPr>
            <w:rStyle w:val="Hyperlink"/>
            <w:bCs/>
            <w:noProof/>
          </w:rPr>
          <w:t>FGBOILERS</w:t>
        </w:r>
        <w:r w:rsidR="0032346C">
          <w:rPr>
            <w:noProof/>
            <w:webHidden/>
          </w:rPr>
          <w:tab/>
        </w:r>
        <w:r w:rsidR="0032346C">
          <w:rPr>
            <w:noProof/>
            <w:webHidden/>
          </w:rPr>
          <w:fldChar w:fldCharType="begin"/>
        </w:r>
        <w:r w:rsidR="0032346C">
          <w:rPr>
            <w:noProof/>
            <w:webHidden/>
          </w:rPr>
          <w:instrText xml:space="preserve"> PAGEREF _Toc10726747 \h </w:instrText>
        </w:r>
        <w:r w:rsidR="0032346C">
          <w:rPr>
            <w:noProof/>
            <w:webHidden/>
          </w:rPr>
        </w:r>
        <w:r w:rsidR="0032346C">
          <w:rPr>
            <w:noProof/>
            <w:webHidden/>
          </w:rPr>
          <w:fldChar w:fldCharType="separate"/>
        </w:r>
        <w:r w:rsidR="0032346C">
          <w:rPr>
            <w:noProof/>
            <w:webHidden/>
          </w:rPr>
          <w:t>19</w:t>
        </w:r>
        <w:r w:rsidR="0032346C">
          <w:rPr>
            <w:noProof/>
            <w:webHidden/>
          </w:rPr>
          <w:fldChar w:fldCharType="end"/>
        </w:r>
      </w:hyperlink>
    </w:p>
    <w:p w:rsidR="0032346C" w:rsidRDefault="00E43074">
      <w:pPr>
        <w:pStyle w:val="TOC1"/>
        <w:rPr>
          <w:rFonts w:asciiTheme="minorHAnsi" w:eastAsiaTheme="minorEastAsia" w:hAnsiTheme="minorHAnsi" w:cstheme="minorBidi"/>
          <w:b w:val="0"/>
          <w:noProof/>
        </w:rPr>
      </w:pPr>
      <w:hyperlink w:anchor="_Toc10726748" w:history="1">
        <w:r w:rsidR="0032346C" w:rsidRPr="007C5B90">
          <w:rPr>
            <w:rStyle w:val="Hyperlink"/>
            <w:noProof/>
          </w:rPr>
          <w:t>E.  NON-APPLICABLE REQUIREMENTS</w:t>
        </w:r>
        <w:r w:rsidR="0032346C">
          <w:rPr>
            <w:noProof/>
            <w:webHidden/>
          </w:rPr>
          <w:tab/>
        </w:r>
        <w:r w:rsidR="0032346C">
          <w:rPr>
            <w:noProof/>
            <w:webHidden/>
          </w:rPr>
          <w:fldChar w:fldCharType="begin"/>
        </w:r>
        <w:r w:rsidR="0032346C">
          <w:rPr>
            <w:noProof/>
            <w:webHidden/>
          </w:rPr>
          <w:instrText xml:space="preserve"> PAGEREF _Toc10726748 \h </w:instrText>
        </w:r>
        <w:r w:rsidR="0032346C">
          <w:rPr>
            <w:noProof/>
            <w:webHidden/>
          </w:rPr>
        </w:r>
        <w:r w:rsidR="0032346C">
          <w:rPr>
            <w:noProof/>
            <w:webHidden/>
          </w:rPr>
          <w:fldChar w:fldCharType="separate"/>
        </w:r>
        <w:r w:rsidR="0032346C">
          <w:rPr>
            <w:noProof/>
            <w:webHidden/>
          </w:rPr>
          <w:t>23</w:t>
        </w:r>
        <w:r w:rsidR="0032346C">
          <w:rPr>
            <w:noProof/>
            <w:webHidden/>
          </w:rPr>
          <w:fldChar w:fldCharType="end"/>
        </w:r>
      </w:hyperlink>
    </w:p>
    <w:p w:rsidR="0032346C" w:rsidRDefault="00E43074">
      <w:pPr>
        <w:pStyle w:val="TOC1"/>
        <w:rPr>
          <w:rFonts w:asciiTheme="minorHAnsi" w:eastAsiaTheme="minorEastAsia" w:hAnsiTheme="minorHAnsi" w:cstheme="minorBidi"/>
          <w:b w:val="0"/>
          <w:noProof/>
        </w:rPr>
      </w:pPr>
      <w:hyperlink w:anchor="_Toc10726749" w:history="1">
        <w:r w:rsidR="0032346C" w:rsidRPr="007C5B90">
          <w:rPr>
            <w:rStyle w:val="Hyperlink"/>
            <w:noProof/>
            <w:kern w:val="28"/>
          </w:rPr>
          <w:t>APPENDICES</w:t>
        </w:r>
        <w:r w:rsidR="0032346C">
          <w:rPr>
            <w:noProof/>
            <w:webHidden/>
          </w:rPr>
          <w:tab/>
        </w:r>
        <w:r w:rsidR="0032346C">
          <w:rPr>
            <w:noProof/>
            <w:webHidden/>
          </w:rPr>
          <w:fldChar w:fldCharType="begin"/>
        </w:r>
        <w:r w:rsidR="0032346C">
          <w:rPr>
            <w:noProof/>
            <w:webHidden/>
          </w:rPr>
          <w:instrText xml:space="preserve"> PAGEREF _Toc10726749 \h </w:instrText>
        </w:r>
        <w:r w:rsidR="0032346C">
          <w:rPr>
            <w:noProof/>
            <w:webHidden/>
          </w:rPr>
        </w:r>
        <w:r w:rsidR="0032346C">
          <w:rPr>
            <w:noProof/>
            <w:webHidden/>
          </w:rPr>
          <w:fldChar w:fldCharType="separate"/>
        </w:r>
        <w:r w:rsidR="0032346C">
          <w:rPr>
            <w:noProof/>
            <w:webHidden/>
          </w:rPr>
          <w:t>24</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0" w:history="1">
        <w:r w:rsidR="0032346C" w:rsidRPr="007C5B90">
          <w:rPr>
            <w:rStyle w:val="Hyperlink"/>
            <w:noProof/>
          </w:rPr>
          <w:t>Appendix 1.  Acronyms and Abbreviations</w:t>
        </w:r>
        <w:r w:rsidR="0032346C">
          <w:rPr>
            <w:noProof/>
            <w:webHidden/>
          </w:rPr>
          <w:tab/>
        </w:r>
        <w:r w:rsidR="0032346C">
          <w:rPr>
            <w:noProof/>
            <w:webHidden/>
          </w:rPr>
          <w:fldChar w:fldCharType="begin"/>
        </w:r>
        <w:r w:rsidR="0032346C">
          <w:rPr>
            <w:noProof/>
            <w:webHidden/>
          </w:rPr>
          <w:instrText xml:space="preserve"> PAGEREF _Toc10726750 \h </w:instrText>
        </w:r>
        <w:r w:rsidR="0032346C">
          <w:rPr>
            <w:noProof/>
            <w:webHidden/>
          </w:rPr>
        </w:r>
        <w:r w:rsidR="0032346C">
          <w:rPr>
            <w:noProof/>
            <w:webHidden/>
          </w:rPr>
          <w:fldChar w:fldCharType="separate"/>
        </w:r>
        <w:r w:rsidR="0032346C">
          <w:rPr>
            <w:noProof/>
            <w:webHidden/>
          </w:rPr>
          <w:t>24</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1" w:history="1">
        <w:r w:rsidR="0032346C" w:rsidRPr="007C5B90">
          <w:rPr>
            <w:rStyle w:val="Hyperlink"/>
            <w:bCs/>
            <w:noProof/>
          </w:rPr>
          <w:t>Appendix 2.  Schedule of Compliance</w:t>
        </w:r>
        <w:r w:rsidR="0032346C">
          <w:rPr>
            <w:noProof/>
            <w:webHidden/>
          </w:rPr>
          <w:tab/>
        </w:r>
        <w:r w:rsidR="0032346C">
          <w:rPr>
            <w:noProof/>
            <w:webHidden/>
          </w:rPr>
          <w:fldChar w:fldCharType="begin"/>
        </w:r>
        <w:r w:rsidR="0032346C">
          <w:rPr>
            <w:noProof/>
            <w:webHidden/>
          </w:rPr>
          <w:instrText xml:space="preserve"> PAGEREF _Toc10726751 \h </w:instrText>
        </w:r>
        <w:r w:rsidR="0032346C">
          <w:rPr>
            <w:noProof/>
            <w:webHidden/>
          </w:rPr>
        </w:r>
        <w:r w:rsidR="0032346C">
          <w:rPr>
            <w:noProof/>
            <w:webHidden/>
          </w:rPr>
          <w:fldChar w:fldCharType="separate"/>
        </w:r>
        <w:r w:rsidR="0032346C">
          <w:rPr>
            <w:noProof/>
            <w:webHidden/>
          </w:rPr>
          <w:t>25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2" w:history="1">
        <w:r w:rsidR="0032346C" w:rsidRPr="007C5B90">
          <w:rPr>
            <w:rStyle w:val="Hyperlink"/>
            <w:noProof/>
          </w:rPr>
          <w:t>Appendix 3.  Monitoring Requirements</w:t>
        </w:r>
        <w:r w:rsidR="0032346C">
          <w:rPr>
            <w:noProof/>
            <w:webHidden/>
          </w:rPr>
          <w:tab/>
        </w:r>
        <w:r w:rsidR="0032346C">
          <w:rPr>
            <w:noProof/>
            <w:webHidden/>
          </w:rPr>
          <w:fldChar w:fldCharType="begin"/>
        </w:r>
        <w:r w:rsidR="0032346C">
          <w:rPr>
            <w:noProof/>
            <w:webHidden/>
          </w:rPr>
          <w:instrText xml:space="preserve"> PAGEREF _Toc10726752 \h </w:instrText>
        </w:r>
        <w:r w:rsidR="0032346C">
          <w:rPr>
            <w:noProof/>
            <w:webHidden/>
          </w:rPr>
        </w:r>
        <w:r w:rsidR="0032346C">
          <w:rPr>
            <w:noProof/>
            <w:webHidden/>
          </w:rPr>
          <w:fldChar w:fldCharType="separate"/>
        </w:r>
        <w:r w:rsidR="0032346C">
          <w:rPr>
            <w:noProof/>
            <w:webHidden/>
          </w:rPr>
          <w:t>25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3" w:history="1">
        <w:r w:rsidR="0032346C" w:rsidRPr="007C5B90">
          <w:rPr>
            <w:rStyle w:val="Hyperlink"/>
            <w:noProof/>
          </w:rPr>
          <w:t>Appendix 4.  Recordkeeping</w:t>
        </w:r>
        <w:r w:rsidR="0032346C">
          <w:rPr>
            <w:noProof/>
            <w:webHidden/>
          </w:rPr>
          <w:tab/>
        </w:r>
        <w:r w:rsidR="0032346C">
          <w:rPr>
            <w:noProof/>
            <w:webHidden/>
          </w:rPr>
          <w:fldChar w:fldCharType="begin"/>
        </w:r>
        <w:r w:rsidR="0032346C">
          <w:rPr>
            <w:noProof/>
            <w:webHidden/>
          </w:rPr>
          <w:instrText xml:space="preserve"> PAGEREF _Toc10726753 \h </w:instrText>
        </w:r>
        <w:r w:rsidR="0032346C">
          <w:rPr>
            <w:noProof/>
            <w:webHidden/>
          </w:rPr>
        </w:r>
        <w:r w:rsidR="0032346C">
          <w:rPr>
            <w:noProof/>
            <w:webHidden/>
          </w:rPr>
          <w:fldChar w:fldCharType="separate"/>
        </w:r>
        <w:r w:rsidR="0032346C">
          <w:rPr>
            <w:noProof/>
            <w:webHidden/>
          </w:rPr>
          <w:t>25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4" w:history="1">
        <w:r w:rsidR="0032346C" w:rsidRPr="007C5B90">
          <w:rPr>
            <w:rStyle w:val="Hyperlink"/>
            <w:noProof/>
          </w:rPr>
          <w:t>Appendix 5.  Testing Procedures</w:t>
        </w:r>
        <w:r w:rsidR="0032346C">
          <w:rPr>
            <w:noProof/>
            <w:webHidden/>
          </w:rPr>
          <w:tab/>
        </w:r>
        <w:r w:rsidR="0032346C">
          <w:rPr>
            <w:noProof/>
            <w:webHidden/>
          </w:rPr>
          <w:fldChar w:fldCharType="begin"/>
        </w:r>
        <w:r w:rsidR="0032346C">
          <w:rPr>
            <w:noProof/>
            <w:webHidden/>
          </w:rPr>
          <w:instrText xml:space="preserve"> PAGEREF _Toc10726754 \h </w:instrText>
        </w:r>
        <w:r w:rsidR="0032346C">
          <w:rPr>
            <w:noProof/>
            <w:webHidden/>
          </w:rPr>
        </w:r>
        <w:r w:rsidR="0032346C">
          <w:rPr>
            <w:noProof/>
            <w:webHidden/>
          </w:rPr>
          <w:fldChar w:fldCharType="separate"/>
        </w:r>
        <w:r w:rsidR="0032346C">
          <w:rPr>
            <w:noProof/>
            <w:webHidden/>
          </w:rPr>
          <w:t>25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5" w:history="1">
        <w:r w:rsidR="0032346C" w:rsidRPr="007C5B90">
          <w:rPr>
            <w:rStyle w:val="Hyperlink"/>
            <w:noProof/>
          </w:rPr>
          <w:t>Appendix 6.  Permits to Install</w:t>
        </w:r>
        <w:r w:rsidR="0032346C">
          <w:rPr>
            <w:noProof/>
            <w:webHidden/>
          </w:rPr>
          <w:tab/>
        </w:r>
        <w:r w:rsidR="0032346C">
          <w:rPr>
            <w:noProof/>
            <w:webHidden/>
          </w:rPr>
          <w:fldChar w:fldCharType="begin"/>
        </w:r>
        <w:r w:rsidR="0032346C">
          <w:rPr>
            <w:noProof/>
            <w:webHidden/>
          </w:rPr>
          <w:instrText xml:space="preserve"> PAGEREF _Toc10726755 \h </w:instrText>
        </w:r>
        <w:r w:rsidR="0032346C">
          <w:rPr>
            <w:noProof/>
            <w:webHidden/>
          </w:rPr>
        </w:r>
        <w:r w:rsidR="0032346C">
          <w:rPr>
            <w:noProof/>
            <w:webHidden/>
          </w:rPr>
          <w:fldChar w:fldCharType="separate"/>
        </w:r>
        <w:r w:rsidR="0032346C">
          <w:rPr>
            <w:noProof/>
            <w:webHidden/>
          </w:rPr>
          <w:t>25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6" w:history="1">
        <w:r w:rsidR="0032346C" w:rsidRPr="007C5B90">
          <w:rPr>
            <w:rStyle w:val="Hyperlink"/>
            <w:noProof/>
          </w:rPr>
          <w:t>Appendix 7.  Emission Calculations</w:t>
        </w:r>
        <w:r w:rsidR="0032346C">
          <w:rPr>
            <w:noProof/>
            <w:webHidden/>
          </w:rPr>
          <w:tab/>
        </w:r>
        <w:r w:rsidR="0032346C">
          <w:rPr>
            <w:noProof/>
            <w:webHidden/>
          </w:rPr>
          <w:fldChar w:fldCharType="begin"/>
        </w:r>
        <w:r w:rsidR="0032346C">
          <w:rPr>
            <w:noProof/>
            <w:webHidden/>
          </w:rPr>
          <w:instrText xml:space="preserve"> PAGEREF _Toc10726756 \h </w:instrText>
        </w:r>
        <w:r w:rsidR="0032346C">
          <w:rPr>
            <w:noProof/>
            <w:webHidden/>
          </w:rPr>
        </w:r>
        <w:r w:rsidR="0032346C">
          <w:rPr>
            <w:noProof/>
            <w:webHidden/>
          </w:rPr>
          <w:fldChar w:fldCharType="separate"/>
        </w:r>
        <w:r w:rsidR="0032346C">
          <w:rPr>
            <w:noProof/>
            <w:webHidden/>
          </w:rPr>
          <w:t>25</w:t>
        </w:r>
        <w:r w:rsidR="0032346C">
          <w:rPr>
            <w:noProof/>
            <w:webHidden/>
          </w:rPr>
          <w:fldChar w:fldCharType="end"/>
        </w:r>
      </w:hyperlink>
    </w:p>
    <w:p w:rsidR="0032346C" w:rsidRDefault="00E43074">
      <w:pPr>
        <w:pStyle w:val="TOC2"/>
        <w:rPr>
          <w:rFonts w:asciiTheme="minorHAnsi" w:eastAsiaTheme="minorEastAsia" w:hAnsiTheme="minorHAnsi" w:cstheme="minorBidi"/>
          <w:noProof/>
        </w:rPr>
      </w:pPr>
      <w:hyperlink w:anchor="_Toc10726757" w:history="1">
        <w:r w:rsidR="0032346C" w:rsidRPr="007C5B90">
          <w:rPr>
            <w:rStyle w:val="Hyperlink"/>
            <w:noProof/>
          </w:rPr>
          <w:t>Appendix 8.  Reporting</w:t>
        </w:r>
        <w:r w:rsidR="0032346C">
          <w:rPr>
            <w:noProof/>
            <w:webHidden/>
          </w:rPr>
          <w:tab/>
        </w:r>
        <w:r w:rsidR="0032346C">
          <w:rPr>
            <w:noProof/>
            <w:webHidden/>
          </w:rPr>
          <w:fldChar w:fldCharType="begin"/>
        </w:r>
        <w:r w:rsidR="0032346C">
          <w:rPr>
            <w:noProof/>
            <w:webHidden/>
          </w:rPr>
          <w:instrText xml:space="preserve"> PAGEREF _Toc10726757 \h </w:instrText>
        </w:r>
        <w:r w:rsidR="0032346C">
          <w:rPr>
            <w:noProof/>
            <w:webHidden/>
          </w:rPr>
        </w:r>
        <w:r w:rsidR="0032346C">
          <w:rPr>
            <w:noProof/>
            <w:webHidden/>
          </w:rPr>
          <w:fldChar w:fldCharType="separate"/>
        </w:r>
        <w:r w:rsidR="0032346C">
          <w:rPr>
            <w:noProof/>
            <w:webHidden/>
          </w:rPr>
          <w:t>26</w:t>
        </w:r>
        <w:r w:rsidR="0032346C">
          <w:rPr>
            <w:noProof/>
            <w:webHidden/>
          </w:rPr>
          <w:fldChar w:fldCharType="end"/>
        </w:r>
      </w:hyperlink>
    </w:p>
    <w:p w:rsidR="00AB2375" w:rsidRPr="006A1190" w:rsidRDefault="0053776A" w:rsidP="002F4C64">
      <w:pPr>
        <w:rPr>
          <w:szCs w:val="22"/>
        </w:rPr>
      </w:pPr>
      <w:r>
        <w:rPr>
          <w:b/>
          <w:szCs w:val="22"/>
        </w:rPr>
        <w:fldChar w:fldCharType="end"/>
      </w:r>
    </w:p>
    <w:p w:rsidR="006D688D" w:rsidRPr="00961169" w:rsidRDefault="00C2618F" w:rsidP="006D688D">
      <w:pPr>
        <w:pStyle w:val="Heading1"/>
      </w:pPr>
      <w:r>
        <w:br w:type="page"/>
      </w:r>
      <w:bookmarkStart w:id="13" w:name="_Toc522874177"/>
      <w:bookmarkStart w:id="14" w:name="_Toc10726724"/>
      <w:bookmarkStart w:id="15" w:name="_Toc1453503"/>
      <w:r w:rsidR="006D688D" w:rsidRPr="00961169">
        <w:lastRenderedPageBreak/>
        <w:t>A</w:t>
      </w:r>
      <w:r w:rsidR="006D688D">
        <w:t>UTHORITY AND ENFORCEABILITY</w:t>
      </w:r>
      <w:bookmarkEnd w:id="13"/>
      <w:bookmarkEnd w:id="14"/>
    </w:p>
    <w:p w:rsidR="006D688D" w:rsidRDefault="006D688D" w:rsidP="006D688D">
      <w:pPr>
        <w:jc w:val="both"/>
        <w:rPr>
          <w:szCs w:val="22"/>
        </w:rPr>
      </w:pPr>
    </w:p>
    <w:p w:rsidR="006D688D" w:rsidRDefault="006D688D" w:rsidP="006D688D">
      <w:pPr>
        <w:jc w:val="both"/>
        <w:rPr>
          <w:szCs w:val="22"/>
        </w:rPr>
      </w:pPr>
    </w:p>
    <w:p w:rsidR="006D688D" w:rsidRPr="006A1190" w:rsidRDefault="006D688D" w:rsidP="006D688D">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rsidR="006D688D" w:rsidRPr="006A1190" w:rsidRDefault="006D688D" w:rsidP="006D688D">
      <w:pPr>
        <w:jc w:val="both"/>
        <w:rPr>
          <w:szCs w:val="22"/>
        </w:rPr>
      </w:pPr>
    </w:p>
    <w:p w:rsidR="006D688D" w:rsidRPr="006A1190" w:rsidRDefault="006D688D" w:rsidP="006D688D">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6D688D" w:rsidRDefault="006D688D" w:rsidP="006D688D">
      <w:pPr>
        <w:jc w:val="both"/>
        <w:rPr>
          <w:szCs w:val="22"/>
        </w:rPr>
      </w:pPr>
    </w:p>
    <w:p w:rsidR="006D688D" w:rsidRPr="006A1190" w:rsidRDefault="006D688D" w:rsidP="006D688D">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rsidR="006D688D" w:rsidRDefault="006D688D" w:rsidP="006D688D">
      <w:pPr>
        <w:jc w:val="both"/>
        <w:rPr>
          <w:szCs w:val="22"/>
        </w:rPr>
      </w:pPr>
    </w:p>
    <w:p w:rsidR="006D688D" w:rsidRDefault="006D688D" w:rsidP="006D688D">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6D688D" w:rsidRDefault="006D688D" w:rsidP="006D688D">
      <w:pPr>
        <w:jc w:val="both"/>
        <w:rPr>
          <w:rFonts w:cs="Arial"/>
          <w:szCs w:val="22"/>
        </w:rPr>
      </w:pPr>
    </w:p>
    <w:p w:rsidR="006D688D" w:rsidRDefault="006D688D" w:rsidP="006D688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6D688D" w:rsidRDefault="006D688D" w:rsidP="006D688D">
      <w:pPr>
        <w:jc w:val="both"/>
        <w:rPr>
          <w:szCs w:val="22"/>
        </w:rPr>
      </w:pPr>
    </w:p>
    <w:p w:rsidR="006D688D" w:rsidRDefault="006D688D" w:rsidP="006D688D">
      <w:pPr>
        <w:pStyle w:val="Heading1"/>
      </w:pPr>
      <w:r>
        <w:rPr>
          <w:szCs w:val="22"/>
        </w:rPr>
        <w:br w:type="page"/>
      </w:r>
      <w:bookmarkStart w:id="16" w:name="_Toc522874178"/>
      <w:bookmarkStart w:id="17" w:name="_Toc10726725"/>
      <w:bookmarkStart w:id="18" w:name="_Toc852394"/>
      <w:bookmarkStart w:id="19" w:name="_Toc852725"/>
      <w:bookmarkStart w:id="20" w:name="_Toc1453512"/>
      <w:bookmarkEnd w:id="15"/>
      <w:r>
        <w:lastRenderedPageBreak/>
        <w:t>A.  GENERAL CONDITIONS</w:t>
      </w:r>
      <w:bookmarkEnd w:id="16"/>
      <w:bookmarkEnd w:id="17"/>
    </w:p>
    <w:p w:rsidR="006D688D" w:rsidRPr="00E9713D" w:rsidRDefault="006D688D" w:rsidP="006D688D"/>
    <w:p w:rsidR="006D688D" w:rsidRPr="00EA2214" w:rsidRDefault="006D688D" w:rsidP="006D688D">
      <w:pPr>
        <w:pStyle w:val="Heading2"/>
        <w:numPr>
          <w:ilvl w:val="0"/>
          <w:numId w:val="0"/>
        </w:numPr>
        <w:jc w:val="left"/>
        <w:rPr>
          <w:b w:val="0"/>
          <w:sz w:val="22"/>
          <w:szCs w:val="22"/>
        </w:rPr>
      </w:pPr>
      <w:bookmarkStart w:id="21" w:name="_Toc369327726"/>
      <w:bookmarkStart w:id="22" w:name="_Toc377276121"/>
      <w:bookmarkStart w:id="23" w:name="_Toc377276264"/>
      <w:bookmarkStart w:id="24" w:name="_Toc377876943"/>
      <w:bookmarkStart w:id="25" w:name="_Toc377877161"/>
      <w:bookmarkStart w:id="26" w:name="_Toc382035359"/>
      <w:bookmarkStart w:id="27" w:name="_Toc382726607"/>
      <w:bookmarkStart w:id="28" w:name="_Toc382726682"/>
      <w:bookmarkStart w:id="29" w:name="_Toc382726761"/>
      <w:bookmarkStart w:id="30" w:name="_Toc387818167"/>
      <w:bookmarkStart w:id="31" w:name="_Toc390499877"/>
      <w:bookmarkStart w:id="32" w:name="_Toc390500306"/>
      <w:bookmarkStart w:id="33" w:name="_Toc390504359"/>
      <w:bookmarkStart w:id="34" w:name="_Toc390570149"/>
      <w:bookmarkStart w:id="35" w:name="_Toc391182883"/>
      <w:bookmarkStart w:id="36" w:name="_Toc437238946"/>
      <w:bookmarkStart w:id="37" w:name="_Toc451333023"/>
      <w:bookmarkStart w:id="38" w:name="_Toc457189941"/>
      <w:bookmarkStart w:id="39" w:name="_Toc1453504"/>
      <w:bookmarkStart w:id="40" w:name="_Toc522874179"/>
      <w:bookmarkStart w:id="41" w:name="_Toc10726726"/>
      <w:r w:rsidRPr="0075518C">
        <w:rPr>
          <w:sz w:val="22"/>
          <w:szCs w:val="22"/>
        </w:rPr>
        <w:t>Permit Enforceability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6D688D" w:rsidRPr="00DF6609" w:rsidRDefault="006D688D" w:rsidP="006D688D">
      <w:pPr>
        <w:jc w:val="both"/>
        <w:rPr>
          <w:rFonts w:cs="Arial"/>
          <w:sz w:val="20"/>
        </w:rPr>
      </w:pPr>
    </w:p>
    <w:p w:rsidR="006D688D" w:rsidRPr="00F21983" w:rsidRDefault="006D688D" w:rsidP="006D688D">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6D688D" w:rsidRPr="00F21983" w:rsidRDefault="006D688D" w:rsidP="006D688D">
      <w:pPr>
        <w:jc w:val="both"/>
        <w:rPr>
          <w:rFonts w:cs="Arial"/>
          <w:sz w:val="20"/>
        </w:rPr>
      </w:pPr>
    </w:p>
    <w:p w:rsidR="006D688D" w:rsidRPr="00F6033B" w:rsidRDefault="006D688D" w:rsidP="006D688D">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6D688D" w:rsidRDefault="006D688D" w:rsidP="006D688D">
      <w:pPr>
        <w:pStyle w:val="ListParagraph"/>
        <w:ind w:left="0"/>
        <w:rPr>
          <w:rFonts w:cs="Arial"/>
          <w:sz w:val="20"/>
        </w:rPr>
      </w:pPr>
    </w:p>
    <w:p w:rsidR="006D688D" w:rsidRPr="00EE57C0" w:rsidRDefault="006D688D" w:rsidP="006D688D">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6D688D" w:rsidRPr="007E0212" w:rsidRDefault="006D688D" w:rsidP="006D688D">
      <w:pPr>
        <w:pStyle w:val="Heading2"/>
        <w:tabs>
          <w:tab w:val="clear" w:pos="360"/>
          <w:tab w:val="num" w:pos="0"/>
        </w:tabs>
        <w:ind w:left="0" w:firstLine="0"/>
        <w:jc w:val="left"/>
        <w:rPr>
          <w:b w:val="0"/>
          <w:sz w:val="22"/>
          <w:szCs w:val="22"/>
        </w:rPr>
      </w:pPr>
      <w:bookmarkStart w:id="42" w:name="_Toc457189942"/>
      <w:bookmarkStart w:id="43" w:name="_Toc1453505"/>
      <w:bookmarkStart w:id="44" w:name="_Toc522874180"/>
      <w:bookmarkStart w:id="45" w:name="_Toc10726727"/>
      <w:r w:rsidRPr="0075518C">
        <w:rPr>
          <w:sz w:val="22"/>
          <w:szCs w:val="22"/>
        </w:rPr>
        <w:t xml:space="preserve">General </w:t>
      </w:r>
      <w:bookmarkEnd w:id="42"/>
      <w:bookmarkEnd w:id="43"/>
      <w:r w:rsidRPr="0075518C">
        <w:rPr>
          <w:sz w:val="22"/>
          <w:szCs w:val="22"/>
        </w:rPr>
        <w:t>Provisions</w:t>
      </w:r>
      <w:bookmarkEnd w:id="44"/>
      <w:bookmarkEnd w:id="45"/>
    </w:p>
    <w:p w:rsidR="006D688D" w:rsidRPr="00DF6609" w:rsidRDefault="006D688D" w:rsidP="006D688D">
      <w:pPr>
        <w:jc w:val="both"/>
        <w:rPr>
          <w:rFonts w:cs="Arial"/>
          <w:sz w:val="20"/>
        </w:rPr>
      </w:pPr>
    </w:p>
    <w:p w:rsidR="006D688D" w:rsidRPr="00F21983" w:rsidRDefault="006D688D" w:rsidP="006D688D">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6D688D" w:rsidRPr="00F21983" w:rsidRDefault="006D688D" w:rsidP="006D688D">
      <w:pPr>
        <w:jc w:val="both"/>
        <w:rPr>
          <w:rFonts w:cs="Arial"/>
          <w:sz w:val="20"/>
        </w:rPr>
      </w:pPr>
    </w:p>
    <w:p w:rsidR="006D688D" w:rsidRPr="00F21983" w:rsidRDefault="006D688D" w:rsidP="006D688D">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6D688D" w:rsidRPr="00F21983" w:rsidRDefault="006D688D" w:rsidP="006D688D">
      <w:pPr>
        <w:jc w:val="both"/>
        <w:rPr>
          <w:rFonts w:cs="Arial"/>
          <w:sz w:val="20"/>
        </w:rPr>
      </w:pPr>
    </w:p>
    <w:p w:rsidR="006D688D" w:rsidRPr="00F21983" w:rsidRDefault="006D688D" w:rsidP="006D688D">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6D688D" w:rsidRPr="00F21983" w:rsidRDefault="006D688D" w:rsidP="006D688D">
      <w:pPr>
        <w:jc w:val="both"/>
        <w:rPr>
          <w:rFonts w:cs="Arial"/>
          <w:sz w:val="20"/>
        </w:rPr>
      </w:pPr>
    </w:p>
    <w:p w:rsidR="006D688D" w:rsidRPr="00021E1F" w:rsidRDefault="006D688D" w:rsidP="006D688D">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rsidR="006D688D" w:rsidRPr="00F21983" w:rsidRDefault="006D688D" w:rsidP="006D688D">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6D688D" w:rsidRPr="00F21983" w:rsidRDefault="006D688D" w:rsidP="006D688D">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6D688D" w:rsidRPr="00F21983" w:rsidRDefault="006D688D" w:rsidP="006D688D">
      <w:pPr>
        <w:numPr>
          <w:ilvl w:val="1"/>
          <w:numId w:val="4"/>
        </w:numPr>
        <w:jc w:val="both"/>
        <w:rPr>
          <w:rFonts w:cs="Arial"/>
          <w:sz w:val="20"/>
        </w:rPr>
      </w:pPr>
      <w:r w:rsidRPr="00F21983">
        <w:rPr>
          <w:rFonts w:cs="Arial"/>
          <w:sz w:val="20"/>
        </w:rPr>
        <w:t>Inspect, at reasonable times, any of the following:</w:t>
      </w:r>
    </w:p>
    <w:p w:rsidR="006D688D" w:rsidRPr="00F21983" w:rsidRDefault="006D688D" w:rsidP="006D688D">
      <w:pPr>
        <w:numPr>
          <w:ilvl w:val="2"/>
          <w:numId w:val="4"/>
        </w:numPr>
        <w:tabs>
          <w:tab w:val="clear" w:pos="1440"/>
          <w:tab w:val="left" w:pos="1080"/>
        </w:tabs>
        <w:jc w:val="both"/>
        <w:rPr>
          <w:rFonts w:cs="Arial"/>
          <w:sz w:val="20"/>
        </w:rPr>
      </w:pPr>
      <w:r w:rsidRPr="00F21983">
        <w:rPr>
          <w:rFonts w:cs="Arial"/>
          <w:sz w:val="20"/>
        </w:rPr>
        <w:t>Any stationary source.</w:t>
      </w:r>
    </w:p>
    <w:p w:rsidR="006D688D" w:rsidRPr="00F21983" w:rsidRDefault="006D688D" w:rsidP="006D688D">
      <w:pPr>
        <w:numPr>
          <w:ilvl w:val="2"/>
          <w:numId w:val="4"/>
        </w:numPr>
        <w:tabs>
          <w:tab w:val="clear" w:pos="1440"/>
          <w:tab w:val="left" w:pos="1080"/>
        </w:tabs>
        <w:jc w:val="both"/>
        <w:rPr>
          <w:rFonts w:cs="Arial"/>
          <w:sz w:val="20"/>
        </w:rPr>
      </w:pPr>
      <w:r w:rsidRPr="00F21983">
        <w:rPr>
          <w:rFonts w:cs="Arial"/>
          <w:sz w:val="20"/>
        </w:rPr>
        <w:t>Any emission unit.</w:t>
      </w:r>
    </w:p>
    <w:p w:rsidR="006D688D" w:rsidRPr="00F21983" w:rsidRDefault="006D688D" w:rsidP="006D688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6D688D" w:rsidRPr="00F21983" w:rsidRDefault="006D688D" w:rsidP="006D688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6D688D" w:rsidRPr="00F21983" w:rsidRDefault="006D688D" w:rsidP="006D688D">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6D688D" w:rsidRPr="00F21983" w:rsidRDefault="006D688D" w:rsidP="006D688D">
      <w:pPr>
        <w:jc w:val="both"/>
        <w:rPr>
          <w:rFonts w:cs="Arial"/>
          <w:sz w:val="20"/>
        </w:rPr>
      </w:pPr>
    </w:p>
    <w:p w:rsidR="006D688D" w:rsidRPr="003D1052" w:rsidRDefault="006D688D" w:rsidP="006D688D">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r w:rsidR="00D80A44" w:rsidRPr="00F21983">
        <w:rPr>
          <w:rFonts w:cs="Arial"/>
          <w:sz w:val="20"/>
        </w:rPr>
        <w:t>information,</w:t>
      </w:r>
      <w:r w:rsidRPr="00F21983">
        <w:rPr>
          <w:rFonts w:cs="Arial"/>
          <w:sz w:val="20"/>
        </w:rPr>
        <w:t xml:space="preserve">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6D688D" w:rsidRPr="00F21983" w:rsidRDefault="006D688D" w:rsidP="006D688D">
      <w:pPr>
        <w:jc w:val="both"/>
        <w:rPr>
          <w:rFonts w:cs="Arial"/>
          <w:sz w:val="20"/>
        </w:rPr>
      </w:pPr>
    </w:p>
    <w:p w:rsidR="006D688D" w:rsidRPr="00F21983" w:rsidRDefault="006D688D" w:rsidP="006D688D">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6D688D" w:rsidRPr="00F21983" w:rsidRDefault="006D688D" w:rsidP="006D688D">
      <w:pPr>
        <w:jc w:val="both"/>
        <w:rPr>
          <w:rFonts w:cs="Arial"/>
          <w:sz w:val="20"/>
        </w:rPr>
      </w:pPr>
    </w:p>
    <w:p w:rsidR="006D688D" w:rsidRPr="00F21983" w:rsidRDefault="006D688D" w:rsidP="006D688D">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6D688D" w:rsidRPr="00F21983" w:rsidRDefault="006D688D" w:rsidP="006D688D">
      <w:pPr>
        <w:jc w:val="both"/>
        <w:rPr>
          <w:rFonts w:cs="Arial"/>
          <w:sz w:val="20"/>
        </w:rPr>
      </w:pPr>
    </w:p>
    <w:p w:rsidR="006D688D" w:rsidRPr="00F21983" w:rsidRDefault="006D688D" w:rsidP="006D688D">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6D688D" w:rsidRPr="00F21983" w:rsidRDefault="006D688D" w:rsidP="006D688D">
      <w:pPr>
        <w:jc w:val="both"/>
        <w:rPr>
          <w:rFonts w:cs="Arial"/>
          <w:sz w:val="20"/>
        </w:rPr>
      </w:pPr>
    </w:p>
    <w:p w:rsidR="006D688D" w:rsidRPr="007E0212" w:rsidRDefault="006D688D" w:rsidP="006D688D">
      <w:pPr>
        <w:pStyle w:val="Heading2"/>
        <w:tabs>
          <w:tab w:val="clear" w:pos="360"/>
          <w:tab w:val="num" w:pos="0"/>
        </w:tabs>
        <w:ind w:left="0" w:firstLine="0"/>
        <w:jc w:val="left"/>
        <w:rPr>
          <w:b w:val="0"/>
          <w:sz w:val="22"/>
          <w:szCs w:val="22"/>
        </w:rPr>
      </w:pPr>
      <w:bookmarkStart w:id="46" w:name="_Toc522874181"/>
      <w:bookmarkStart w:id="47" w:name="_Toc10726728"/>
      <w:r w:rsidRPr="0075518C">
        <w:rPr>
          <w:sz w:val="22"/>
          <w:szCs w:val="22"/>
        </w:rPr>
        <w:t>Equipment &amp; Design</w:t>
      </w:r>
      <w:bookmarkEnd w:id="46"/>
      <w:bookmarkEnd w:id="47"/>
    </w:p>
    <w:p w:rsidR="006D688D" w:rsidRPr="00DF6609" w:rsidRDefault="006D688D" w:rsidP="006D688D">
      <w:pPr>
        <w:jc w:val="both"/>
        <w:rPr>
          <w:rFonts w:cs="Arial"/>
          <w:sz w:val="20"/>
        </w:rPr>
      </w:pPr>
    </w:p>
    <w:p w:rsidR="006D688D" w:rsidRPr="00F21983" w:rsidRDefault="006D688D" w:rsidP="006D688D">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6D688D" w:rsidRPr="00F21983" w:rsidRDefault="006D688D" w:rsidP="006D688D">
      <w:pPr>
        <w:jc w:val="both"/>
        <w:rPr>
          <w:rFonts w:cs="Arial"/>
          <w:sz w:val="20"/>
        </w:rPr>
      </w:pPr>
    </w:p>
    <w:p w:rsidR="006D688D" w:rsidRPr="00F21983" w:rsidRDefault="006D688D" w:rsidP="006D688D">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6D688D" w:rsidRPr="00F21983" w:rsidRDefault="006D688D" w:rsidP="006D688D">
      <w:pPr>
        <w:jc w:val="both"/>
        <w:rPr>
          <w:rFonts w:cs="Arial"/>
          <w:sz w:val="20"/>
        </w:rPr>
      </w:pPr>
    </w:p>
    <w:p w:rsidR="006D688D" w:rsidRPr="007E0212" w:rsidRDefault="006D688D" w:rsidP="006D688D">
      <w:pPr>
        <w:pStyle w:val="Heading2"/>
        <w:tabs>
          <w:tab w:val="clear" w:pos="360"/>
          <w:tab w:val="num" w:pos="0"/>
        </w:tabs>
        <w:ind w:left="0" w:firstLine="0"/>
        <w:jc w:val="left"/>
        <w:rPr>
          <w:b w:val="0"/>
          <w:sz w:val="22"/>
          <w:szCs w:val="22"/>
        </w:rPr>
      </w:pPr>
      <w:bookmarkStart w:id="48" w:name="_Toc522874182"/>
      <w:bookmarkStart w:id="49" w:name="_Toc10726729"/>
      <w:r w:rsidRPr="0075518C">
        <w:rPr>
          <w:sz w:val="22"/>
          <w:szCs w:val="22"/>
        </w:rPr>
        <w:t>Emission Limits</w:t>
      </w:r>
      <w:bookmarkEnd w:id="48"/>
      <w:bookmarkEnd w:id="49"/>
    </w:p>
    <w:p w:rsidR="006D688D" w:rsidRPr="00F21983" w:rsidRDefault="006D688D" w:rsidP="006D688D">
      <w:pPr>
        <w:jc w:val="both"/>
        <w:rPr>
          <w:rFonts w:cs="Arial"/>
          <w:sz w:val="20"/>
        </w:rPr>
      </w:pPr>
    </w:p>
    <w:p w:rsidR="006D688D" w:rsidRPr="00F21983" w:rsidRDefault="006D688D" w:rsidP="006D688D">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rsidR="006D688D" w:rsidRDefault="006D688D" w:rsidP="006D688D">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6D688D" w:rsidRDefault="006D688D" w:rsidP="006D688D">
      <w:pPr>
        <w:numPr>
          <w:ilvl w:val="1"/>
          <w:numId w:val="6"/>
        </w:numPr>
        <w:jc w:val="both"/>
        <w:rPr>
          <w:rFonts w:cs="Arial"/>
          <w:sz w:val="20"/>
        </w:rPr>
      </w:pPr>
      <w:r w:rsidRPr="00F21983">
        <w:rPr>
          <w:rFonts w:cs="Arial"/>
          <w:sz w:val="20"/>
        </w:rPr>
        <w:t>A limit specified by an applicable federal new source performance standard.</w:t>
      </w:r>
    </w:p>
    <w:p w:rsidR="006D688D" w:rsidRDefault="006D688D" w:rsidP="006D688D">
      <w:pPr>
        <w:jc w:val="both"/>
        <w:rPr>
          <w:rFonts w:cs="Arial"/>
          <w:sz w:val="20"/>
        </w:rPr>
      </w:pPr>
    </w:p>
    <w:p w:rsidR="006D688D" w:rsidRPr="003163DA" w:rsidRDefault="006D688D" w:rsidP="006D688D">
      <w:pPr>
        <w:ind w:left="360"/>
        <w:jc w:val="both"/>
        <w:rPr>
          <w:rFonts w:cs="Arial"/>
          <w:sz w:val="20"/>
        </w:rPr>
      </w:pPr>
      <w:r>
        <w:rPr>
          <w:rFonts w:cs="Arial"/>
          <w:sz w:val="20"/>
        </w:rPr>
        <w:t xml:space="preserve">The grading of visible emissions shall be determined in accordance with Rule 303.  </w:t>
      </w:r>
    </w:p>
    <w:p w:rsidR="006D688D" w:rsidRPr="00F21983" w:rsidRDefault="006D688D" w:rsidP="006D688D">
      <w:pPr>
        <w:jc w:val="both"/>
        <w:rPr>
          <w:rFonts w:cs="Arial"/>
          <w:sz w:val="20"/>
        </w:rPr>
      </w:pPr>
    </w:p>
    <w:p w:rsidR="006D688D" w:rsidRPr="00F21983" w:rsidRDefault="006D688D" w:rsidP="006D688D">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6D688D" w:rsidRPr="00F21983" w:rsidRDefault="006D688D" w:rsidP="006D688D">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6D688D" w:rsidRPr="00105176" w:rsidRDefault="006D688D" w:rsidP="006D688D">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6D688D" w:rsidRDefault="006D688D" w:rsidP="006D688D">
      <w:pPr>
        <w:jc w:val="both"/>
        <w:rPr>
          <w:rFonts w:cs="Arial"/>
          <w:sz w:val="20"/>
        </w:rPr>
      </w:pPr>
    </w:p>
    <w:p w:rsidR="006D688D" w:rsidRPr="007E0212" w:rsidRDefault="006D688D" w:rsidP="006D688D">
      <w:pPr>
        <w:pStyle w:val="Heading2"/>
        <w:tabs>
          <w:tab w:val="clear" w:pos="360"/>
          <w:tab w:val="num" w:pos="0"/>
        </w:tabs>
        <w:ind w:left="0" w:firstLine="0"/>
        <w:jc w:val="left"/>
        <w:rPr>
          <w:b w:val="0"/>
          <w:sz w:val="22"/>
          <w:szCs w:val="22"/>
        </w:rPr>
      </w:pPr>
      <w:bookmarkStart w:id="50" w:name="_Toc522874183"/>
      <w:bookmarkStart w:id="51" w:name="_Toc10726730"/>
      <w:r w:rsidRPr="0075518C">
        <w:rPr>
          <w:sz w:val="22"/>
          <w:szCs w:val="22"/>
        </w:rPr>
        <w:t>Testing/Sampling</w:t>
      </w:r>
      <w:bookmarkEnd w:id="50"/>
      <w:bookmarkEnd w:id="51"/>
    </w:p>
    <w:p w:rsidR="006D688D" w:rsidRPr="00F21983" w:rsidRDefault="006D688D" w:rsidP="006D688D">
      <w:pPr>
        <w:jc w:val="both"/>
        <w:rPr>
          <w:rFonts w:cs="Arial"/>
          <w:sz w:val="20"/>
        </w:rPr>
      </w:pPr>
    </w:p>
    <w:p w:rsidR="006D688D" w:rsidRPr="00F21983" w:rsidRDefault="006D688D" w:rsidP="006D688D">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6D688D" w:rsidRPr="00F21983" w:rsidRDefault="006D688D" w:rsidP="006D688D">
      <w:pPr>
        <w:jc w:val="both"/>
        <w:rPr>
          <w:rFonts w:cs="Arial"/>
          <w:sz w:val="20"/>
        </w:rPr>
      </w:pPr>
    </w:p>
    <w:p w:rsidR="006D688D" w:rsidRPr="00F21983" w:rsidRDefault="006D688D" w:rsidP="006D688D">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6D688D" w:rsidRPr="00F21983" w:rsidRDefault="006D688D" w:rsidP="006D688D">
      <w:pPr>
        <w:jc w:val="both"/>
        <w:rPr>
          <w:rFonts w:cs="Arial"/>
          <w:sz w:val="20"/>
        </w:rPr>
      </w:pPr>
    </w:p>
    <w:p w:rsidR="006D688D" w:rsidRPr="00F21983" w:rsidRDefault="006D688D" w:rsidP="006D688D">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6D688D" w:rsidRDefault="006D688D" w:rsidP="006D688D">
      <w:pPr>
        <w:jc w:val="both"/>
        <w:rPr>
          <w:rFonts w:cs="Arial"/>
          <w:sz w:val="20"/>
        </w:rPr>
      </w:pPr>
      <w:r>
        <w:rPr>
          <w:rFonts w:cs="Arial"/>
          <w:sz w:val="20"/>
        </w:rPr>
        <w:br w:type="page"/>
      </w:r>
    </w:p>
    <w:p w:rsidR="006D688D" w:rsidRPr="007E0212" w:rsidRDefault="006D688D" w:rsidP="006D688D">
      <w:pPr>
        <w:pStyle w:val="Heading2"/>
        <w:tabs>
          <w:tab w:val="clear" w:pos="360"/>
          <w:tab w:val="num" w:pos="0"/>
        </w:tabs>
        <w:ind w:left="0" w:firstLine="0"/>
        <w:jc w:val="left"/>
        <w:rPr>
          <w:b w:val="0"/>
          <w:sz w:val="22"/>
          <w:szCs w:val="22"/>
        </w:rPr>
      </w:pPr>
      <w:bookmarkStart w:id="52" w:name="_Toc522874184"/>
      <w:bookmarkStart w:id="53" w:name="_Toc10726731"/>
      <w:r w:rsidRPr="0075518C">
        <w:rPr>
          <w:sz w:val="22"/>
          <w:szCs w:val="22"/>
        </w:rPr>
        <w:t>Monitoring/Recordkeeping</w:t>
      </w:r>
      <w:bookmarkEnd w:id="52"/>
      <w:bookmarkEnd w:id="53"/>
    </w:p>
    <w:p w:rsidR="006D688D" w:rsidRPr="00DF6609" w:rsidRDefault="006D688D" w:rsidP="006D688D">
      <w:pPr>
        <w:numPr>
          <w:ilvl w:val="12"/>
          <w:numId w:val="0"/>
        </w:numPr>
        <w:ind w:left="432" w:hanging="432"/>
        <w:jc w:val="both"/>
        <w:rPr>
          <w:rFonts w:cs="Arial"/>
          <w:sz w:val="20"/>
        </w:rPr>
      </w:pPr>
    </w:p>
    <w:p w:rsidR="006D688D" w:rsidRPr="00F21983" w:rsidRDefault="006D688D" w:rsidP="006D688D">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rsidR="006D688D" w:rsidRPr="00F21983" w:rsidRDefault="006D688D" w:rsidP="006D688D">
      <w:pPr>
        <w:numPr>
          <w:ilvl w:val="1"/>
          <w:numId w:val="9"/>
        </w:numPr>
        <w:jc w:val="both"/>
        <w:rPr>
          <w:rFonts w:cs="Arial"/>
          <w:sz w:val="20"/>
        </w:rPr>
      </w:pPr>
      <w:r w:rsidRPr="00F21983">
        <w:rPr>
          <w:rFonts w:cs="Arial"/>
          <w:sz w:val="20"/>
        </w:rPr>
        <w:t>The date, location, time, and method of sampling or measurements.</w:t>
      </w:r>
    </w:p>
    <w:p w:rsidR="006D688D" w:rsidRPr="00F21983" w:rsidRDefault="006D688D" w:rsidP="006D688D">
      <w:pPr>
        <w:numPr>
          <w:ilvl w:val="1"/>
          <w:numId w:val="9"/>
        </w:numPr>
        <w:jc w:val="both"/>
        <w:rPr>
          <w:rFonts w:cs="Arial"/>
          <w:sz w:val="20"/>
        </w:rPr>
      </w:pPr>
      <w:r w:rsidRPr="00F21983">
        <w:rPr>
          <w:rFonts w:cs="Arial"/>
          <w:sz w:val="20"/>
        </w:rPr>
        <w:t>The dates the analyses of the samples were performed.</w:t>
      </w:r>
    </w:p>
    <w:p w:rsidR="006D688D" w:rsidRPr="00F21983" w:rsidRDefault="006D688D" w:rsidP="006D688D">
      <w:pPr>
        <w:numPr>
          <w:ilvl w:val="1"/>
          <w:numId w:val="9"/>
        </w:numPr>
        <w:jc w:val="both"/>
        <w:rPr>
          <w:rFonts w:cs="Arial"/>
          <w:sz w:val="20"/>
        </w:rPr>
      </w:pPr>
      <w:r w:rsidRPr="00F21983">
        <w:rPr>
          <w:rFonts w:cs="Arial"/>
          <w:sz w:val="20"/>
        </w:rPr>
        <w:t>The company or entity that performed the analyses of the samples.</w:t>
      </w:r>
    </w:p>
    <w:p w:rsidR="006D688D" w:rsidRPr="00F21983" w:rsidRDefault="006D688D" w:rsidP="006D688D">
      <w:pPr>
        <w:numPr>
          <w:ilvl w:val="1"/>
          <w:numId w:val="9"/>
        </w:numPr>
        <w:jc w:val="both"/>
        <w:rPr>
          <w:rFonts w:cs="Arial"/>
          <w:sz w:val="20"/>
        </w:rPr>
      </w:pPr>
      <w:r w:rsidRPr="00F21983">
        <w:rPr>
          <w:rFonts w:cs="Arial"/>
          <w:sz w:val="20"/>
        </w:rPr>
        <w:t>The analytical techniques or methods used.</w:t>
      </w:r>
    </w:p>
    <w:p w:rsidR="006D688D" w:rsidRPr="00F21983" w:rsidRDefault="006D688D" w:rsidP="006D688D">
      <w:pPr>
        <w:numPr>
          <w:ilvl w:val="1"/>
          <w:numId w:val="9"/>
        </w:numPr>
        <w:jc w:val="both"/>
        <w:rPr>
          <w:rFonts w:cs="Arial"/>
          <w:sz w:val="20"/>
        </w:rPr>
      </w:pPr>
      <w:r w:rsidRPr="00F21983">
        <w:rPr>
          <w:rFonts w:cs="Arial"/>
          <w:sz w:val="20"/>
        </w:rPr>
        <w:t>The results of the analyses.</w:t>
      </w:r>
    </w:p>
    <w:p w:rsidR="006D688D" w:rsidRPr="00F21983" w:rsidRDefault="006D688D" w:rsidP="006D688D">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6D688D" w:rsidRPr="00DF6609" w:rsidRDefault="006D688D" w:rsidP="006D688D">
      <w:pPr>
        <w:numPr>
          <w:ilvl w:val="12"/>
          <w:numId w:val="0"/>
        </w:numPr>
        <w:ind w:left="432" w:hanging="432"/>
        <w:jc w:val="both"/>
        <w:rPr>
          <w:rFonts w:cs="Arial"/>
          <w:sz w:val="20"/>
        </w:rPr>
      </w:pPr>
    </w:p>
    <w:p w:rsidR="006D688D" w:rsidRPr="00F21983" w:rsidRDefault="006D688D" w:rsidP="006D688D">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6D688D" w:rsidRPr="00F21983" w:rsidRDefault="006D688D" w:rsidP="006D688D">
      <w:pPr>
        <w:numPr>
          <w:ilvl w:val="12"/>
          <w:numId w:val="0"/>
        </w:numPr>
        <w:ind w:left="432" w:hanging="432"/>
        <w:jc w:val="both"/>
        <w:rPr>
          <w:rFonts w:cs="Arial"/>
          <w:sz w:val="20"/>
        </w:rPr>
      </w:pPr>
    </w:p>
    <w:p w:rsidR="006D688D" w:rsidRPr="007E0212" w:rsidRDefault="006D688D" w:rsidP="006D688D">
      <w:pPr>
        <w:pStyle w:val="Heading2"/>
        <w:tabs>
          <w:tab w:val="clear" w:pos="360"/>
          <w:tab w:val="num" w:pos="0"/>
        </w:tabs>
        <w:ind w:left="0" w:firstLine="0"/>
        <w:jc w:val="left"/>
        <w:rPr>
          <w:b w:val="0"/>
          <w:sz w:val="22"/>
          <w:szCs w:val="22"/>
        </w:rPr>
      </w:pPr>
      <w:bookmarkStart w:id="54" w:name="_Toc522874185"/>
      <w:bookmarkStart w:id="55" w:name="_Toc10726732"/>
      <w:r w:rsidRPr="0075518C">
        <w:rPr>
          <w:sz w:val="22"/>
          <w:szCs w:val="22"/>
        </w:rPr>
        <w:t>Certification &amp; Reporting</w:t>
      </w:r>
      <w:bookmarkEnd w:id="54"/>
      <w:bookmarkEnd w:id="55"/>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rsidR="006D688D" w:rsidRPr="00F21983" w:rsidRDefault="006D688D" w:rsidP="006D688D">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6D688D" w:rsidRPr="00F21983" w:rsidRDefault="006D688D" w:rsidP="006D688D">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6D688D" w:rsidRPr="00F21983" w:rsidRDefault="006D688D" w:rsidP="006D688D">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6D688D" w:rsidRPr="00DF6609" w:rsidRDefault="006D688D" w:rsidP="006D688D">
      <w:pPr>
        <w:numPr>
          <w:ilvl w:val="12"/>
          <w:numId w:val="0"/>
        </w:numPr>
        <w:ind w:left="432" w:hanging="432"/>
        <w:jc w:val="both"/>
        <w:rPr>
          <w:rFonts w:cs="Arial"/>
          <w:sz w:val="20"/>
        </w:rPr>
      </w:pPr>
      <w:r>
        <w:rPr>
          <w:rFonts w:cs="Arial"/>
          <w:sz w:val="20"/>
        </w:rPr>
        <w:br w:type="page"/>
      </w:r>
    </w:p>
    <w:p w:rsidR="006D688D" w:rsidRPr="00021E1F" w:rsidRDefault="006D688D" w:rsidP="006D688D">
      <w:pPr>
        <w:pStyle w:val="BodyText2"/>
        <w:numPr>
          <w:ilvl w:val="0"/>
          <w:numId w:val="11"/>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rsidR="006D688D" w:rsidRPr="00F21983" w:rsidRDefault="006D688D" w:rsidP="006D688D">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6D688D" w:rsidRPr="00F21983" w:rsidRDefault="006D688D" w:rsidP="006D688D">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6D688D" w:rsidRPr="00F21983" w:rsidRDefault="006D688D" w:rsidP="006D688D">
      <w:pPr>
        <w:numPr>
          <w:ilvl w:val="12"/>
          <w:numId w:val="0"/>
        </w:numPr>
        <w:jc w:val="both"/>
        <w:rPr>
          <w:rFonts w:cs="Arial"/>
          <w:sz w:val="20"/>
        </w:rPr>
      </w:pPr>
    </w:p>
    <w:p w:rsidR="006D688D" w:rsidRPr="00F21983" w:rsidRDefault="006D688D" w:rsidP="006D688D">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6D688D" w:rsidRPr="00F21983" w:rsidRDefault="006D688D" w:rsidP="006D688D">
      <w:pPr>
        <w:numPr>
          <w:ilvl w:val="12"/>
          <w:numId w:val="0"/>
        </w:numPr>
        <w:jc w:val="both"/>
        <w:rPr>
          <w:rFonts w:cs="Arial"/>
          <w:sz w:val="20"/>
        </w:rPr>
      </w:pPr>
    </w:p>
    <w:p w:rsidR="006D688D" w:rsidRPr="00F21983" w:rsidRDefault="006D688D" w:rsidP="006D688D">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6D688D" w:rsidRPr="00F21983" w:rsidRDefault="006D688D" w:rsidP="006D688D">
      <w:pPr>
        <w:numPr>
          <w:ilvl w:val="12"/>
          <w:numId w:val="0"/>
        </w:numPr>
        <w:ind w:left="432" w:hanging="432"/>
        <w:jc w:val="both"/>
        <w:rPr>
          <w:rFonts w:cs="Arial"/>
          <w:sz w:val="20"/>
        </w:rPr>
      </w:pPr>
    </w:p>
    <w:p w:rsidR="006D688D" w:rsidRPr="007E0212" w:rsidRDefault="006D688D" w:rsidP="006D688D">
      <w:pPr>
        <w:pStyle w:val="Heading2"/>
        <w:tabs>
          <w:tab w:val="clear" w:pos="360"/>
          <w:tab w:val="num" w:pos="0"/>
        </w:tabs>
        <w:ind w:left="0" w:firstLine="0"/>
        <w:jc w:val="left"/>
        <w:rPr>
          <w:b w:val="0"/>
          <w:sz w:val="22"/>
          <w:szCs w:val="22"/>
        </w:rPr>
      </w:pPr>
      <w:bookmarkStart w:id="56" w:name="_Toc522874186"/>
      <w:bookmarkStart w:id="57" w:name="_Toc10726733"/>
      <w:r w:rsidRPr="0075518C">
        <w:rPr>
          <w:sz w:val="22"/>
          <w:szCs w:val="22"/>
        </w:rPr>
        <w:t>Permit Shield</w:t>
      </w:r>
      <w:bookmarkEnd w:id="56"/>
      <w:bookmarkEnd w:id="57"/>
    </w:p>
    <w:p w:rsidR="006D688D" w:rsidRPr="00DF6609" w:rsidRDefault="006D688D" w:rsidP="006D688D">
      <w:pPr>
        <w:numPr>
          <w:ilvl w:val="12"/>
          <w:numId w:val="0"/>
        </w:numPr>
        <w:ind w:left="432" w:hanging="432"/>
        <w:jc w:val="both"/>
        <w:rPr>
          <w:rFonts w:cs="Arial"/>
          <w:sz w:val="20"/>
        </w:rPr>
      </w:pPr>
    </w:p>
    <w:p w:rsidR="006D688D" w:rsidRPr="00F21983" w:rsidRDefault="006D688D" w:rsidP="006D688D">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rsidR="006D688D" w:rsidRPr="00F21983" w:rsidRDefault="006D688D" w:rsidP="006D688D">
      <w:pPr>
        <w:numPr>
          <w:ilvl w:val="1"/>
          <w:numId w:val="12"/>
        </w:numPr>
        <w:jc w:val="both"/>
        <w:rPr>
          <w:rFonts w:cs="Arial"/>
          <w:sz w:val="20"/>
        </w:rPr>
      </w:pPr>
      <w:r w:rsidRPr="00F21983">
        <w:rPr>
          <w:rFonts w:cs="Arial"/>
          <w:sz w:val="20"/>
        </w:rPr>
        <w:t>The applicable requirements are included and are specifically identified in the ROP.</w:t>
      </w:r>
    </w:p>
    <w:p w:rsidR="006D688D" w:rsidRPr="00F21983" w:rsidRDefault="006D688D" w:rsidP="006D688D">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3"/>
        </w:numPr>
        <w:jc w:val="both"/>
        <w:rPr>
          <w:rFonts w:cs="Arial"/>
          <w:sz w:val="20"/>
        </w:rPr>
      </w:pPr>
      <w:r w:rsidRPr="00F21983">
        <w:rPr>
          <w:rFonts w:cs="Arial"/>
          <w:sz w:val="20"/>
        </w:rPr>
        <w:t>Nothing in this ROP shall alter or affect any of the following:</w:t>
      </w:r>
    </w:p>
    <w:p w:rsidR="006D688D" w:rsidRPr="005E3E6D" w:rsidRDefault="006D688D" w:rsidP="006D688D">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6D688D" w:rsidRPr="005E3E6D" w:rsidRDefault="006D688D" w:rsidP="006D688D">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6D688D" w:rsidRDefault="006D688D" w:rsidP="006D688D">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6D688D" w:rsidRPr="005E3E6D" w:rsidRDefault="006D688D" w:rsidP="006D688D">
      <w:pPr>
        <w:jc w:val="both"/>
        <w:rPr>
          <w:rFonts w:cs="Arial"/>
          <w:sz w:val="20"/>
        </w:rPr>
      </w:pPr>
      <w:r>
        <w:rPr>
          <w:rFonts w:cs="Arial"/>
          <w:b/>
          <w:sz w:val="20"/>
        </w:rPr>
        <w:br w:type="page"/>
      </w:r>
    </w:p>
    <w:p w:rsidR="006D688D" w:rsidRPr="00F21983" w:rsidRDefault="006D688D" w:rsidP="006D688D">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6D688D" w:rsidRPr="00F21983" w:rsidRDefault="006D688D" w:rsidP="006D688D">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6D688D" w:rsidRPr="00F21983" w:rsidRDefault="006D688D" w:rsidP="006D688D">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6D688D" w:rsidRPr="00F21983" w:rsidRDefault="006D688D" w:rsidP="006D688D">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6D688D" w:rsidRPr="00F21983" w:rsidRDefault="006D688D" w:rsidP="006D688D">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6D688D" w:rsidRPr="00F21983" w:rsidRDefault="006D688D" w:rsidP="006D688D">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6D688D" w:rsidRPr="00F21983" w:rsidRDefault="006D688D" w:rsidP="006D688D">
      <w:pPr>
        <w:numPr>
          <w:ilvl w:val="12"/>
          <w:numId w:val="0"/>
        </w:numPr>
        <w:ind w:left="432" w:hanging="432"/>
        <w:jc w:val="both"/>
        <w:rPr>
          <w:rFonts w:cs="Arial"/>
          <w:sz w:val="20"/>
        </w:rPr>
      </w:pPr>
    </w:p>
    <w:p w:rsidR="006D688D" w:rsidRPr="00ED4D9A" w:rsidRDefault="006D688D" w:rsidP="006D688D">
      <w:pPr>
        <w:pStyle w:val="Heading2"/>
        <w:tabs>
          <w:tab w:val="clear" w:pos="360"/>
          <w:tab w:val="num" w:pos="0"/>
        </w:tabs>
        <w:ind w:left="0" w:firstLine="0"/>
        <w:jc w:val="left"/>
        <w:rPr>
          <w:b w:val="0"/>
          <w:sz w:val="22"/>
          <w:szCs w:val="22"/>
        </w:rPr>
      </w:pPr>
      <w:bookmarkStart w:id="58" w:name="_Toc522874187"/>
      <w:bookmarkStart w:id="59" w:name="_Toc10726734"/>
      <w:r w:rsidRPr="0075518C">
        <w:rPr>
          <w:sz w:val="22"/>
          <w:szCs w:val="22"/>
        </w:rPr>
        <w:t>Revisions</w:t>
      </w:r>
      <w:bookmarkEnd w:id="58"/>
      <w:bookmarkEnd w:id="59"/>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6D688D" w:rsidRPr="00F21983" w:rsidRDefault="006D688D" w:rsidP="006D688D">
      <w:pPr>
        <w:jc w:val="both"/>
        <w:rPr>
          <w:rFonts w:cs="Arial"/>
          <w:spacing w:val="-3"/>
          <w:sz w:val="20"/>
        </w:rPr>
      </w:pPr>
    </w:p>
    <w:p w:rsidR="006D688D" w:rsidRPr="00F21983" w:rsidRDefault="006D688D" w:rsidP="006D688D">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6D688D" w:rsidRPr="00F21983" w:rsidRDefault="006D688D" w:rsidP="006D688D">
      <w:pPr>
        <w:numPr>
          <w:ilvl w:val="12"/>
          <w:numId w:val="0"/>
        </w:numPr>
        <w:jc w:val="both"/>
        <w:rPr>
          <w:rFonts w:cs="Arial"/>
          <w:sz w:val="20"/>
        </w:rPr>
      </w:pPr>
    </w:p>
    <w:p w:rsidR="006D688D" w:rsidRPr="00FF072F" w:rsidRDefault="006D688D" w:rsidP="006D688D">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6D688D" w:rsidRPr="00FF072F" w:rsidRDefault="006D688D" w:rsidP="006D688D">
      <w:pPr>
        <w:autoSpaceDE w:val="0"/>
        <w:autoSpaceDN w:val="0"/>
        <w:adjustRightInd w:val="0"/>
        <w:jc w:val="both"/>
        <w:rPr>
          <w:rFonts w:cs="Arial"/>
          <w:sz w:val="20"/>
        </w:rPr>
      </w:pPr>
    </w:p>
    <w:p w:rsidR="006D688D" w:rsidRPr="00FF072F" w:rsidRDefault="006D688D" w:rsidP="006D688D">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6D688D" w:rsidRPr="00FF072F" w:rsidRDefault="006D688D" w:rsidP="006D688D">
      <w:pPr>
        <w:jc w:val="both"/>
        <w:rPr>
          <w:rFonts w:cs="Arial"/>
          <w:sz w:val="20"/>
        </w:rPr>
      </w:pPr>
    </w:p>
    <w:p w:rsidR="006D688D" w:rsidRPr="00ED4D9A" w:rsidRDefault="006D688D" w:rsidP="006D688D">
      <w:pPr>
        <w:pStyle w:val="Heading2"/>
        <w:tabs>
          <w:tab w:val="clear" w:pos="360"/>
          <w:tab w:val="num" w:pos="0"/>
        </w:tabs>
        <w:ind w:left="0" w:firstLine="0"/>
        <w:jc w:val="left"/>
        <w:rPr>
          <w:b w:val="0"/>
          <w:sz w:val="22"/>
          <w:szCs w:val="22"/>
        </w:rPr>
      </w:pPr>
      <w:bookmarkStart w:id="60" w:name="_Toc522874188"/>
      <w:bookmarkStart w:id="61" w:name="_Toc10726735"/>
      <w:r w:rsidRPr="0075518C">
        <w:rPr>
          <w:sz w:val="22"/>
          <w:szCs w:val="22"/>
        </w:rPr>
        <w:t>Reopenings</w:t>
      </w:r>
      <w:bookmarkEnd w:id="60"/>
      <w:bookmarkEnd w:id="61"/>
    </w:p>
    <w:p w:rsidR="006D688D" w:rsidRPr="00752D7A" w:rsidRDefault="006D688D" w:rsidP="006D688D">
      <w:pPr>
        <w:jc w:val="both"/>
        <w:rPr>
          <w:rFonts w:cs="Arial"/>
          <w:szCs w:val="22"/>
        </w:rPr>
      </w:pPr>
    </w:p>
    <w:p w:rsidR="006D688D" w:rsidRPr="00F21983" w:rsidRDefault="006D688D" w:rsidP="006D688D">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6D688D" w:rsidRPr="00F21983" w:rsidRDefault="006D688D" w:rsidP="006D688D">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6D688D" w:rsidRPr="00F21983" w:rsidRDefault="006D688D" w:rsidP="006D688D">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6D688D" w:rsidRPr="00F21983" w:rsidRDefault="006D688D" w:rsidP="006D688D">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6D688D" w:rsidRPr="00F21983" w:rsidRDefault="006D688D" w:rsidP="006D688D">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6D688D" w:rsidRPr="00F21983" w:rsidRDefault="006D688D" w:rsidP="006D688D">
      <w:pPr>
        <w:jc w:val="both"/>
        <w:rPr>
          <w:rFonts w:cs="Arial"/>
          <w:sz w:val="20"/>
        </w:rPr>
      </w:pPr>
      <w:r>
        <w:rPr>
          <w:rFonts w:cs="Arial"/>
          <w:sz w:val="20"/>
        </w:rPr>
        <w:br w:type="page"/>
      </w:r>
    </w:p>
    <w:p w:rsidR="006D688D" w:rsidRPr="00ED4D9A" w:rsidRDefault="006D688D" w:rsidP="006D688D">
      <w:pPr>
        <w:pStyle w:val="Heading2"/>
        <w:tabs>
          <w:tab w:val="clear" w:pos="360"/>
          <w:tab w:val="num" w:pos="0"/>
        </w:tabs>
        <w:ind w:left="0" w:firstLine="0"/>
        <w:jc w:val="left"/>
        <w:rPr>
          <w:b w:val="0"/>
          <w:sz w:val="22"/>
          <w:szCs w:val="22"/>
        </w:rPr>
      </w:pPr>
      <w:bookmarkStart w:id="62" w:name="_Toc522874189"/>
      <w:bookmarkStart w:id="63" w:name="_Toc10726736"/>
      <w:r w:rsidRPr="0075518C">
        <w:rPr>
          <w:sz w:val="22"/>
          <w:szCs w:val="22"/>
        </w:rPr>
        <w:t>Renewals</w:t>
      </w:r>
      <w:bookmarkEnd w:id="62"/>
      <w:bookmarkEnd w:id="63"/>
    </w:p>
    <w:p w:rsidR="006D688D" w:rsidRPr="005E3E6D" w:rsidRDefault="006D688D" w:rsidP="006D688D">
      <w:pPr>
        <w:jc w:val="both"/>
        <w:rPr>
          <w:rFonts w:cs="Arial"/>
          <w:sz w:val="20"/>
        </w:rPr>
      </w:pPr>
    </w:p>
    <w:p w:rsidR="006D688D" w:rsidRPr="005E3E6D" w:rsidRDefault="006D688D" w:rsidP="006D688D">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rsidR="006D688D" w:rsidRPr="005E3E6D" w:rsidRDefault="006D688D" w:rsidP="006D688D">
      <w:pPr>
        <w:jc w:val="both"/>
        <w:rPr>
          <w:rFonts w:cs="Arial"/>
          <w:sz w:val="20"/>
        </w:rPr>
      </w:pPr>
    </w:p>
    <w:p w:rsidR="006D688D" w:rsidRPr="00ED4D9A" w:rsidRDefault="006D688D" w:rsidP="006D688D">
      <w:pPr>
        <w:pStyle w:val="Heading2"/>
        <w:numPr>
          <w:ilvl w:val="0"/>
          <w:numId w:val="0"/>
        </w:numPr>
        <w:jc w:val="left"/>
        <w:rPr>
          <w:b w:val="0"/>
          <w:bCs/>
          <w:sz w:val="22"/>
        </w:rPr>
      </w:pPr>
      <w:bookmarkStart w:id="64" w:name="_Toc457189946"/>
      <w:bookmarkStart w:id="65" w:name="_Toc1453509"/>
      <w:bookmarkStart w:id="66" w:name="_Toc522874190"/>
      <w:bookmarkStart w:id="67" w:name="_Toc10726737"/>
      <w:r w:rsidRPr="0075518C">
        <w:rPr>
          <w:bCs/>
          <w:sz w:val="22"/>
        </w:rPr>
        <w:t>Stratospheric Ozone Protection</w:t>
      </w:r>
      <w:bookmarkEnd w:id="64"/>
      <w:bookmarkEnd w:id="65"/>
      <w:bookmarkEnd w:id="66"/>
      <w:bookmarkEnd w:id="67"/>
    </w:p>
    <w:p w:rsidR="006D688D" w:rsidRPr="00F21983" w:rsidRDefault="006D688D" w:rsidP="006D688D">
      <w:pPr>
        <w:jc w:val="both"/>
        <w:rPr>
          <w:sz w:val="20"/>
        </w:rPr>
      </w:pPr>
    </w:p>
    <w:p w:rsidR="006D688D" w:rsidRPr="002C152E" w:rsidRDefault="006D688D" w:rsidP="006D688D">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rsidR="006D688D" w:rsidRPr="00F21983" w:rsidRDefault="006D688D" w:rsidP="006D688D">
      <w:pPr>
        <w:rPr>
          <w:sz w:val="20"/>
        </w:rPr>
      </w:pPr>
    </w:p>
    <w:p w:rsidR="006D688D" w:rsidRPr="00F21983" w:rsidRDefault="006D688D" w:rsidP="006D688D">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6D688D" w:rsidRPr="00F21983" w:rsidRDefault="006D688D" w:rsidP="006D688D">
      <w:pPr>
        <w:jc w:val="both"/>
        <w:rPr>
          <w:rFonts w:cs="Arial"/>
          <w:sz w:val="20"/>
        </w:rPr>
      </w:pPr>
    </w:p>
    <w:p w:rsidR="006D688D" w:rsidRPr="00ED4D9A" w:rsidRDefault="006D688D" w:rsidP="006D688D">
      <w:pPr>
        <w:pStyle w:val="Heading2"/>
        <w:numPr>
          <w:ilvl w:val="0"/>
          <w:numId w:val="0"/>
        </w:numPr>
        <w:jc w:val="left"/>
        <w:rPr>
          <w:b w:val="0"/>
          <w:bCs/>
          <w:sz w:val="22"/>
        </w:rPr>
      </w:pPr>
      <w:bookmarkStart w:id="68" w:name="_Toc457189947"/>
      <w:bookmarkStart w:id="69" w:name="_Toc1453510"/>
      <w:bookmarkStart w:id="70" w:name="_Toc522874191"/>
      <w:bookmarkStart w:id="71" w:name="_Toc10726738"/>
      <w:r w:rsidRPr="0075518C">
        <w:rPr>
          <w:bCs/>
          <w:sz w:val="22"/>
        </w:rPr>
        <w:t>Risk Management Plan</w:t>
      </w:r>
      <w:bookmarkEnd w:id="68"/>
      <w:bookmarkEnd w:id="69"/>
      <w:bookmarkEnd w:id="70"/>
      <w:bookmarkEnd w:id="71"/>
    </w:p>
    <w:p w:rsidR="006D688D" w:rsidRPr="0075518C" w:rsidRDefault="006D688D" w:rsidP="006D688D">
      <w:pPr>
        <w:jc w:val="both"/>
      </w:pPr>
    </w:p>
    <w:p w:rsidR="006D688D" w:rsidRPr="00F21983" w:rsidRDefault="006D688D" w:rsidP="006D688D">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6D688D" w:rsidRPr="00F21983" w:rsidRDefault="006D688D" w:rsidP="006D688D">
      <w:pPr>
        <w:numPr>
          <w:ilvl w:val="1"/>
          <w:numId w:val="21"/>
        </w:numPr>
        <w:jc w:val="both"/>
        <w:rPr>
          <w:rFonts w:cs="Arial"/>
          <w:sz w:val="20"/>
        </w:rPr>
      </w:pPr>
      <w:r w:rsidRPr="00F21983">
        <w:rPr>
          <w:rFonts w:cs="Arial"/>
          <w:sz w:val="20"/>
        </w:rPr>
        <w:t>June 21, 1999,</w:t>
      </w:r>
    </w:p>
    <w:p w:rsidR="006D688D" w:rsidRPr="00F21983" w:rsidRDefault="006D688D" w:rsidP="006D688D">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6D688D" w:rsidRPr="00F21983" w:rsidRDefault="006D688D" w:rsidP="006D688D">
      <w:pPr>
        <w:numPr>
          <w:ilvl w:val="1"/>
          <w:numId w:val="21"/>
        </w:numPr>
        <w:jc w:val="both"/>
        <w:rPr>
          <w:rFonts w:cs="Arial"/>
          <w:sz w:val="20"/>
        </w:rPr>
      </w:pPr>
      <w:r w:rsidRPr="00F21983">
        <w:rPr>
          <w:rFonts w:cs="Arial"/>
          <w:sz w:val="20"/>
        </w:rPr>
        <w:t>The date on which a regulated substance is first present above a threshold quantity in a process.</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6D688D" w:rsidRPr="00F21983" w:rsidRDefault="006D688D" w:rsidP="006D688D">
      <w:pPr>
        <w:numPr>
          <w:ilvl w:val="12"/>
          <w:numId w:val="0"/>
        </w:numPr>
        <w:ind w:left="432" w:hanging="432"/>
        <w:jc w:val="both"/>
        <w:rPr>
          <w:rFonts w:cs="Arial"/>
          <w:sz w:val="20"/>
        </w:rPr>
      </w:pPr>
    </w:p>
    <w:p w:rsidR="006D688D" w:rsidRPr="00F21983" w:rsidRDefault="006D688D" w:rsidP="006D688D">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6D688D" w:rsidRPr="007713F1" w:rsidRDefault="006D688D" w:rsidP="006D688D">
      <w:pPr>
        <w:numPr>
          <w:ilvl w:val="12"/>
          <w:numId w:val="0"/>
        </w:numPr>
        <w:ind w:left="432" w:hanging="432"/>
        <w:jc w:val="both"/>
        <w:rPr>
          <w:rFonts w:cs="Arial"/>
          <w:sz w:val="20"/>
        </w:rPr>
      </w:pPr>
    </w:p>
    <w:p w:rsidR="006D688D" w:rsidRPr="00A02310" w:rsidRDefault="006D688D" w:rsidP="006D688D">
      <w:pPr>
        <w:pStyle w:val="Heading2"/>
        <w:numPr>
          <w:ilvl w:val="0"/>
          <w:numId w:val="0"/>
        </w:numPr>
        <w:jc w:val="left"/>
        <w:rPr>
          <w:b w:val="0"/>
          <w:bCs/>
          <w:sz w:val="22"/>
        </w:rPr>
      </w:pPr>
      <w:bookmarkStart w:id="72" w:name="_Toc522874192"/>
      <w:bookmarkStart w:id="73" w:name="_Toc10726739"/>
      <w:r w:rsidRPr="0075518C">
        <w:rPr>
          <w:bCs/>
          <w:sz w:val="22"/>
        </w:rPr>
        <w:t>Emission Trading</w:t>
      </w:r>
      <w:bookmarkEnd w:id="72"/>
      <w:bookmarkEnd w:id="73"/>
    </w:p>
    <w:p w:rsidR="006D688D" w:rsidRPr="007713F1" w:rsidRDefault="006D688D" w:rsidP="006D688D">
      <w:pPr>
        <w:numPr>
          <w:ilvl w:val="12"/>
          <w:numId w:val="0"/>
        </w:numPr>
        <w:ind w:left="432" w:hanging="432"/>
        <w:rPr>
          <w:rFonts w:cs="Arial"/>
          <w:sz w:val="20"/>
        </w:rPr>
      </w:pPr>
    </w:p>
    <w:p w:rsidR="006D688D" w:rsidRPr="00F21983" w:rsidRDefault="006D688D" w:rsidP="006D688D">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6D688D" w:rsidRPr="00DF6609" w:rsidRDefault="006D688D" w:rsidP="006D688D">
      <w:pPr>
        <w:rPr>
          <w:sz w:val="20"/>
        </w:rPr>
      </w:pPr>
      <w:bookmarkStart w:id="74" w:name="_Toc1453511"/>
      <w:r>
        <w:rPr>
          <w:sz w:val="20"/>
        </w:rPr>
        <w:br w:type="page"/>
      </w:r>
    </w:p>
    <w:p w:rsidR="006D688D" w:rsidRPr="00A02310" w:rsidRDefault="006D688D" w:rsidP="006D688D">
      <w:pPr>
        <w:pStyle w:val="Heading2"/>
        <w:numPr>
          <w:ilvl w:val="0"/>
          <w:numId w:val="0"/>
        </w:numPr>
        <w:jc w:val="left"/>
        <w:rPr>
          <w:b w:val="0"/>
          <w:bCs/>
          <w:sz w:val="22"/>
        </w:rPr>
      </w:pPr>
      <w:bookmarkStart w:id="75" w:name="_Toc522874193"/>
      <w:bookmarkStart w:id="76" w:name="_Toc10726740"/>
      <w:r w:rsidRPr="0075518C">
        <w:rPr>
          <w:bCs/>
          <w:sz w:val="22"/>
        </w:rPr>
        <w:t xml:space="preserve">Permit </w:t>
      </w:r>
      <w:r>
        <w:rPr>
          <w:bCs/>
          <w:sz w:val="22"/>
        </w:rPr>
        <w:t>t</w:t>
      </w:r>
      <w:r w:rsidRPr="0075518C">
        <w:rPr>
          <w:bCs/>
          <w:sz w:val="22"/>
        </w:rPr>
        <w:t>o Install (PTI)</w:t>
      </w:r>
      <w:bookmarkEnd w:id="74"/>
      <w:bookmarkEnd w:id="75"/>
      <w:bookmarkEnd w:id="76"/>
    </w:p>
    <w:p w:rsidR="006D688D" w:rsidRPr="00DF6609" w:rsidRDefault="006D688D" w:rsidP="006D688D">
      <w:pPr>
        <w:rPr>
          <w:rFonts w:cs="Arial"/>
          <w:sz w:val="20"/>
        </w:rPr>
      </w:pPr>
    </w:p>
    <w:p w:rsidR="006D688D" w:rsidRPr="00105176" w:rsidRDefault="006D688D" w:rsidP="006D688D">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6D688D" w:rsidRPr="00F21983" w:rsidRDefault="006D688D" w:rsidP="006D688D">
      <w:pPr>
        <w:jc w:val="both"/>
        <w:rPr>
          <w:rFonts w:cs="Arial"/>
          <w:sz w:val="20"/>
        </w:rPr>
      </w:pPr>
    </w:p>
    <w:p w:rsidR="006D688D" w:rsidRPr="00105176" w:rsidRDefault="006D688D" w:rsidP="006D688D">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6D688D" w:rsidRDefault="006D688D" w:rsidP="006D688D">
      <w:pPr>
        <w:jc w:val="both"/>
        <w:rPr>
          <w:rFonts w:cs="Arial"/>
          <w:sz w:val="20"/>
        </w:rPr>
      </w:pPr>
    </w:p>
    <w:p w:rsidR="006D688D" w:rsidRPr="00F21983" w:rsidRDefault="006D688D" w:rsidP="006D688D">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6D688D" w:rsidRPr="00DF6609" w:rsidRDefault="006D688D" w:rsidP="006D688D">
      <w:pPr>
        <w:rPr>
          <w:rFonts w:cs="Arial"/>
          <w:sz w:val="20"/>
        </w:rPr>
      </w:pPr>
    </w:p>
    <w:p w:rsidR="006D688D" w:rsidRPr="00F21983" w:rsidRDefault="006D688D" w:rsidP="006D688D">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6D688D" w:rsidRPr="007713F1" w:rsidRDefault="006D688D" w:rsidP="006D688D">
      <w:pPr>
        <w:rPr>
          <w:rFonts w:cs="Arial"/>
          <w:sz w:val="20"/>
        </w:rPr>
      </w:pPr>
    </w:p>
    <w:p w:rsidR="006D688D" w:rsidRPr="007713F1" w:rsidRDefault="006D688D" w:rsidP="006D688D">
      <w:pPr>
        <w:rPr>
          <w:rFonts w:cs="Arial"/>
          <w:sz w:val="20"/>
        </w:rPr>
      </w:pPr>
    </w:p>
    <w:p w:rsidR="006D688D" w:rsidRPr="00A02310" w:rsidRDefault="006D688D" w:rsidP="006D688D">
      <w:pPr>
        <w:jc w:val="both"/>
        <w:rPr>
          <w:sz w:val="20"/>
        </w:rPr>
      </w:pPr>
      <w:r w:rsidRPr="00105176">
        <w:rPr>
          <w:b/>
          <w:sz w:val="20"/>
          <w:u w:val="single"/>
        </w:rPr>
        <w:t>Footnote</w:t>
      </w:r>
      <w:r>
        <w:rPr>
          <w:b/>
          <w:sz w:val="20"/>
          <w:u w:val="single"/>
        </w:rPr>
        <w:t>s</w:t>
      </w:r>
      <w:r w:rsidRPr="00105176">
        <w:rPr>
          <w:b/>
          <w:sz w:val="20"/>
        </w:rPr>
        <w:t>:</w:t>
      </w:r>
    </w:p>
    <w:p w:rsidR="006D688D" w:rsidRPr="00105176" w:rsidRDefault="006D688D" w:rsidP="006D688D">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6D688D" w:rsidRPr="00105176" w:rsidRDefault="006D688D" w:rsidP="006D688D">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6D688D" w:rsidRPr="009B2FEE" w:rsidRDefault="006D688D" w:rsidP="006D688D">
      <w:pPr>
        <w:jc w:val="both"/>
        <w:rPr>
          <w:szCs w:val="22"/>
        </w:rPr>
      </w:pPr>
    </w:p>
    <w:p w:rsidR="0098346A" w:rsidRPr="00752D7A" w:rsidRDefault="006D688D" w:rsidP="006D688D">
      <w:pPr>
        <w:pStyle w:val="Heading1"/>
      </w:pPr>
      <w:r>
        <w:rPr>
          <w:rFonts w:ascii="Arial Black" w:hAnsi="Arial Black"/>
          <w:b w:val="0"/>
          <w:szCs w:val="22"/>
        </w:rPr>
        <w:br w:type="page"/>
      </w:r>
      <w:bookmarkStart w:id="77" w:name="_Toc10726741"/>
      <w:r w:rsidR="0098346A" w:rsidRPr="00752D7A">
        <w:lastRenderedPageBreak/>
        <w:t xml:space="preserve">B.  </w:t>
      </w:r>
      <w:r w:rsidR="003C2679" w:rsidRPr="00752D7A">
        <w:t>SOURCE-WIDE</w:t>
      </w:r>
      <w:r w:rsidR="0098346A" w:rsidRPr="00752D7A">
        <w:t xml:space="preserve"> </w:t>
      </w:r>
      <w:bookmarkEnd w:id="18"/>
      <w:bookmarkEnd w:id="19"/>
      <w:bookmarkEnd w:id="20"/>
      <w:r w:rsidR="005A53BF" w:rsidRPr="00752D7A">
        <w:t>CONDITIONS</w:t>
      </w:r>
      <w:bookmarkEnd w:id="77"/>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98346A" w:rsidRPr="00F21983" w:rsidRDefault="0098346A" w:rsidP="00E908E1">
      <w:pPr>
        <w:jc w:val="both"/>
        <w:rPr>
          <w:sz w:val="20"/>
        </w:rPr>
      </w:pPr>
    </w:p>
    <w:p w:rsidR="00E14632" w:rsidRDefault="00D6512F" w:rsidP="00DE1AD7">
      <w:pPr>
        <w:pStyle w:val="Heading1"/>
      </w:pPr>
      <w:r w:rsidRPr="00752D7A">
        <w:rPr>
          <w:szCs w:val="22"/>
        </w:rPr>
        <w:br w:type="page"/>
      </w:r>
      <w:bookmarkStart w:id="78" w:name="_Toc10726742"/>
      <w:bookmarkStart w:id="79" w:name="_Toc852397"/>
      <w:bookmarkStart w:id="80" w:name="_Toc852728"/>
      <w:bookmarkStart w:id="81" w:name="_Toc1453515"/>
      <w:r w:rsidR="00ED0AFD">
        <w:lastRenderedPageBreak/>
        <w:t xml:space="preserve">C.  </w:t>
      </w:r>
      <w:r w:rsidR="0002792B">
        <w:t xml:space="preserve">EMISSION UNIT </w:t>
      </w:r>
      <w:bookmarkStart w:id="82" w:name="_Toc2571645"/>
      <w:r w:rsidR="00494D15">
        <w:t xml:space="preserve">SPECIAL </w:t>
      </w:r>
      <w:r w:rsidR="00456F47">
        <w:t>CONDITIONS</w:t>
      </w:r>
      <w:bookmarkEnd w:id="78"/>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83" w:name="_Toc852395"/>
      <w:bookmarkStart w:id="84" w:name="_Toc852726"/>
      <w:bookmarkStart w:id="85" w:name="_Toc2571643"/>
      <w:bookmarkStart w:id="86" w:name="_Toc10726743"/>
      <w:r w:rsidRPr="002B5ED5">
        <w:rPr>
          <w:sz w:val="22"/>
          <w:szCs w:val="22"/>
        </w:rPr>
        <w:t>EMISSION UNIT SUMMARY TABLE</w:t>
      </w:r>
      <w:bookmarkEnd w:id="83"/>
      <w:bookmarkEnd w:id="84"/>
      <w:bookmarkEnd w:id="85"/>
      <w:bookmarkEnd w:id="86"/>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83937">
        <w:trPr>
          <w:cantSplit/>
        </w:trPr>
        <w:tc>
          <w:tcPr>
            <w:tcW w:w="2160" w:type="dxa"/>
          </w:tcPr>
          <w:p w:rsidR="00F83937" w:rsidRPr="00BB5D62" w:rsidRDefault="00F83937" w:rsidP="00F83937">
            <w:pPr>
              <w:rPr>
                <w:rFonts w:cs="Arial"/>
                <w:sz w:val="20"/>
              </w:rPr>
            </w:pPr>
            <w:r>
              <w:rPr>
                <w:rFonts w:cs="Arial"/>
                <w:sz w:val="20"/>
              </w:rPr>
              <w:t>EULINE9</w:t>
            </w:r>
          </w:p>
        </w:tc>
        <w:tc>
          <w:tcPr>
            <w:tcW w:w="4320" w:type="dxa"/>
          </w:tcPr>
          <w:p w:rsidR="00F83937" w:rsidRPr="00BB5D62" w:rsidRDefault="00F83937" w:rsidP="0077720D">
            <w:pPr>
              <w:jc w:val="both"/>
              <w:rPr>
                <w:rFonts w:cs="Arial"/>
                <w:sz w:val="20"/>
              </w:rPr>
            </w:pPr>
            <w:r>
              <w:rPr>
                <w:rFonts w:cs="Arial"/>
                <w:sz w:val="20"/>
              </w:rPr>
              <w:t>Surface coating line, includes a phosphate pretreatment system, rinsing process and coating process with two dip tanks and natural gas-fired curing oven</w:t>
            </w:r>
            <w:r w:rsidR="0077720D">
              <w:rPr>
                <w:rFonts w:cs="Arial"/>
                <w:sz w:val="20"/>
              </w:rPr>
              <w:t>.</w:t>
            </w:r>
          </w:p>
        </w:tc>
        <w:tc>
          <w:tcPr>
            <w:tcW w:w="1890" w:type="dxa"/>
          </w:tcPr>
          <w:p w:rsidR="00F83937" w:rsidRPr="006E2C46" w:rsidRDefault="0077720D" w:rsidP="0077720D">
            <w:pPr>
              <w:jc w:val="center"/>
              <w:rPr>
                <w:rFonts w:cs="Arial"/>
                <w:sz w:val="20"/>
                <w:highlight w:val="yellow"/>
              </w:rPr>
            </w:pPr>
            <w:r>
              <w:rPr>
                <w:rFonts w:cs="Arial"/>
                <w:sz w:val="20"/>
              </w:rPr>
              <w:t>11/01/</w:t>
            </w:r>
            <w:r w:rsidR="00F83937" w:rsidRPr="007B7670">
              <w:rPr>
                <w:rFonts w:cs="Arial"/>
                <w:sz w:val="20"/>
              </w:rPr>
              <w:t>1996</w:t>
            </w:r>
          </w:p>
        </w:tc>
        <w:tc>
          <w:tcPr>
            <w:tcW w:w="2070" w:type="dxa"/>
          </w:tcPr>
          <w:p w:rsidR="00F83937" w:rsidRPr="00BB5D62" w:rsidRDefault="00F83937" w:rsidP="00F83937">
            <w:pPr>
              <w:jc w:val="center"/>
              <w:rPr>
                <w:rFonts w:cs="Arial"/>
                <w:sz w:val="20"/>
              </w:rPr>
            </w:pPr>
            <w:r>
              <w:rPr>
                <w:rFonts w:cs="Arial"/>
                <w:sz w:val="20"/>
              </w:rPr>
              <w:t>NA</w:t>
            </w:r>
          </w:p>
        </w:tc>
      </w:tr>
      <w:tr w:rsidR="00F83937">
        <w:trPr>
          <w:cantSplit/>
        </w:trPr>
        <w:tc>
          <w:tcPr>
            <w:tcW w:w="2160" w:type="dxa"/>
          </w:tcPr>
          <w:p w:rsidR="00F83937" w:rsidRPr="00A847C4" w:rsidRDefault="00F83937" w:rsidP="00F83937">
            <w:pPr>
              <w:rPr>
                <w:rFonts w:cs="Arial"/>
                <w:sz w:val="20"/>
              </w:rPr>
            </w:pPr>
            <w:r>
              <w:rPr>
                <w:rFonts w:cs="Arial"/>
                <w:sz w:val="20"/>
              </w:rPr>
              <w:t>EUBOILER2</w:t>
            </w:r>
          </w:p>
        </w:tc>
        <w:tc>
          <w:tcPr>
            <w:tcW w:w="4320" w:type="dxa"/>
          </w:tcPr>
          <w:p w:rsidR="00F83937" w:rsidRPr="00A847C4" w:rsidRDefault="00465779" w:rsidP="0077720D">
            <w:pPr>
              <w:jc w:val="both"/>
              <w:rPr>
                <w:rFonts w:cs="Arial"/>
                <w:sz w:val="20"/>
              </w:rPr>
            </w:pPr>
            <w:r>
              <w:rPr>
                <w:rFonts w:cs="Arial"/>
                <w:sz w:val="20"/>
              </w:rPr>
              <w:t>Natural gas fired boiler (</w:t>
            </w:r>
            <w:r w:rsidR="006456C3">
              <w:rPr>
                <w:rFonts w:cs="Arial"/>
                <w:sz w:val="20"/>
              </w:rPr>
              <w:t>4.</w:t>
            </w:r>
            <w:r w:rsidR="00BA3A0B">
              <w:rPr>
                <w:rFonts w:cs="Arial"/>
                <w:sz w:val="20"/>
              </w:rPr>
              <w:t>2</w:t>
            </w:r>
            <w:r>
              <w:rPr>
                <w:rFonts w:cs="Arial"/>
                <w:sz w:val="20"/>
              </w:rPr>
              <w:t xml:space="preserve"> MMBTU/HR)</w:t>
            </w:r>
          </w:p>
        </w:tc>
        <w:tc>
          <w:tcPr>
            <w:tcW w:w="1890" w:type="dxa"/>
          </w:tcPr>
          <w:p w:rsidR="00F83937" w:rsidRPr="007B7670" w:rsidRDefault="00F83937" w:rsidP="00F83937">
            <w:pPr>
              <w:jc w:val="center"/>
              <w:rPr>
                <w:rFonts w:cs="Arial"/>
                <w:sz w:val="20"/>
              </w:rPr>
            </w:pPr>
            <w:r>
              <w:rPr>
                <w:rFonts w:cs="Arial"/>
                <w:sz w:val="20"/>
              </w:rPr>
              <w:t>1976</w:t>
            </w:r>
          </w:p>
        </w:tc>
        <w:tc>
          <w:tcPr>
            <w:tcW w:w="2070" w:type="dxa"/>
          </w:tcPr>
          <w:p w:rsidR="00F83937" w:rsidRPr="00A847C4" w:rsidRDefault="00F83937" w:rsidP="00F83937">
            <w:pPr>
              <w:jc w:val="center"/>
              <w:rPr>
                <w:rFonts w:cs="Arial"/>
                <w:sz w:val="20"/>
              </w:rPr>
            </w:pPr>
            <w:r>
              <w:rPr>
                <w:rFonts w:cs="Arial"/>
                <w:sz w:val="20"/>
              </w:rPr>
              <w:t>FGBOILERS</w:t>
            </w:r>
          </w:p>
        </w:tc>
      </w:tr>
      <w:tr w:rsidR="00F83937">
        <w:trPr>
          <w:cantSplit/>
        </w:trPr>
        <w:tc>
          <w:tcPr>
            <w:tcW w:w="2160" w:type="dxa"/>
          </w:tcPr>
          <w:p w:rsidR="00F83937" w:rsidRPr="00A847C4" w:rsidRDefault="00F83937" w:rsidP="00F83937">
            <w:pPr>
              <w:rPr>
                <w:rFonts w:cs="Arial"/>
                <w:sz w:val="20"/>
              </w:rPr>
            </w:pPr>
            <w:r>
              <w:rPr>
                <w:rFonts w:cs="Arial"/>
                <w:sz w:val="20"/>
              </w:rPr>
              <w:t>EUBOILER5</w:t>
            </w:r>
          </w:p>
        </w:tc>
        <w:tc>
          <w:tcPr>
            <w:tcW w:w="4320" w:type="dxa"/>
          </w:tcPr>
          <w:p w:rsidR="00F83937" w:rsidRPr="00A847C4" w:rsidRDefault="00F83937" w:rsidP="0077720D">
            <w:pPr>
              <w:jc w:val="both"/>
              <w:rPr>
                <w:rFonts w:cs="Arial"/>
                <w:sz w:val="20"/>
              </w:rPr>
            </w:pPr>
            <w:r>
              <w:rPr>
                <w:rFonts w:cs="Arial"/>
                <w:sz w:val="20"/>
              </w:rPr>
              <w:t>Natural gas fired boiler (8.4</w:t>
            </w:r>
            <w:r w:rsidR="00465779">
              <w:rPr>
                <w:rFonts w:cs="Arial"/>
                <w:sz w:val="20"/>
              </w:rPr>
              <w:t xml:space="preserve"> </w:t>
            </w:r>
            <w:r>
              <w:rPr>
                <w:rFonts w:cs="Arial"/>
                <w:sz w:val="20"/>
              </w:rPr>
              <w:t>MMBTU/HR)</w:t>
            </w:r>
          </w:p>
        </w:tc>
        <w:tc>
          <w:tcPr>
            <w:tcW w:w="1890" w:type="dxa"/>
          </w:tcPr>
          <w:p w:rsidR="00F83937" w:rsidRPr="007B7670" w:rsidRDefault="00F83937" w:rsidP="00F83937">
            <w:pPr>
              <w:jc w:val="center"/>
              <w:rPr>
                <w:rFonts w:cs="Arial"/>
                <w:sz w:val="20"/>
              </w:rPr>
            </w:pPr>
            <w:r>
              <w:rPr>
                <w:rFonts w:cs="Arial"/>
                <w:sz w:val="20"/>
              </w:rPr>
              <w:t>1975</w:t>
            </w:r>
          </w:p>
        </w:tc>
        <w:tc>
          <w:tcPr>
            <w:tcW w:w="2070" w:type="dxa"/>
          </w:tcPr>
          <w:p w:rsidR="00F83937" w:rsidRPr="00A847C4" w:rsidRDefault="00F83937" w:rsidP="00F83937">
            <w:pPr>
              <w:jc w:val="center"/>
              <w:rPr>
                <w:rFonts w:cs="Arial"/>
                <w:sz w:val="20"/>
              </w:rPr>
            </w:pPr>
            <w:r>
              <w:rPr>
                <w:rFonts w:cs="Arial"/>
                <w:sz w:val="20"/>
              </w:rPr>
              <w:t>FGBOILERS</w:t>
            </w:r>
          </w:p>
        </w:tc>
      </w:tr>
    </w:tbl>
    <w:p w:rsidR="006B1485" w:rsidRPr="0027370E" w:rsidRDefault="00F83937" w:rsidP="006B148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7" w:name="_Toc10726744"/>
      <w:r w:rsidR="006B1485">
        <w:rPr>
          <w:bCs/>
          <w:szCs w:val="28"/>
        </w:rPr>
        <w:lastRenderedPageBreak/>
        <w:t>EULINE9</w:t>
      </w:r>
      <w:bookmarkEnd w:id="87"/>
    </w:p>
    <w:p w:rsidR="006B1485" w:rsidRPr="0027370E" w:rsidRDefault="006B1485" w:rsidP="006B1485">
      <w:pPr>
        <w:pBdr>
          <w:top w:val="single" w:sz="4" w:space="1" w:color="auto"/>
          <w:left w:val="single" w:sz="4" w:space="4" w:color="auto"/>
          <w:bottom w:val="single" w:sz="4" w:space="1" w:color="auto"/>
          <w:right w:val="single" w:sz="4" w:space="4" w:color="auto"/>
        </w:pBdr>
        <w:jc w:val="center"/>
        <w:rPr>
          <w:sz w:val="28"/>
          <w:szCs w:val="28"/>
        </w:rPr>
      </w:pPr>
      <w:r w:rsidRPr="0027370E">
        <w:rPr>
          <w:b/>
          <w:sz w:val="28"/>
          <w:szCs w:val="28"/>
        </w:rPr>
        <w:t>EMISSION UNIT CONDITIONS</w:t>
      </w:r>
    </w:p>
    <w:p w:rsidR="00AE1D84" w:rsidRPr="0019740E" w:rsidRDefault="00AE1D84" w:rsidP="006B1485">
      <w:pPr>
        <w:rPr>
          <w:sz w:val="20"/>
        </w:rPr>
      </w:pPr>
    </w:p>
    <w:p w:rsidR="00AE1D84" w:rsidRDefault="00AE1D84" w:rsidP="00F62984">
      <w:pPr>
        <w:jc w:val="both"/>
        <w:rPr>
          <w:b/>
          <w:u w:val="single"/>
        </w:rPr>
      </w:pPr>
      <w:r>
        <w:rPr>
          <w:b/>
          <w:u w:val="single"/>
        </w:rPr>
        <w:t>DESCRIPTION</w:t>
      </w:r>
    </w:p>
    <w:p w:rsidR="00AE1D84" w:rsidRDefault="00AE1D84" w:rsidP="00F62984">
      <w:pPr>
        <w:jc w:val="both"/>
        <w:rPr>
          <w:sz w:val="20"/>
        </w:rPr>
      </w:pPr>
    </w:p>
    <w:p w:rsidR="003A6B80" w:rsidRPr="003A6B80" w:rsidRDefault="003A6B80" w:rsidP="003A6B80">
      <w:pPr>
        <w:jc w:val="both"/>
        <w:rPr>
          <w:b/>
          <w:sz w:val="20"/>
          <w:u w:val="single"/>
        </w:rPr>
      </w:pPr>
      <w:r w:rsidRPr="003A6B80">
        <w:rPr>
          <w:rFonts w:cs="Arial"/>
          <w:sz w:val="20"/>
        </w:rPr>
        <w:t>Surface coating line, includes a phosphate pretreatment system, rinsing process, and coating process with two dip tanks and natural gas-fired curing oven.</w:t>
      </w:r>
    </w:p>
    <w:p w:rsidR="00AE1D84" w:rsidRPr="0019740E" w:rsidRDefault="00AE1D84" w:rsidP="00F62984">
      <w:pPr>
        <w:jc w:val="both"/>
        <w:rPr>
          <w:sz w:val="20"/>
        </w:rPr>
      </w:pPr>
    </w:p>
    <w:p w:rsidR="00AE1D84" w:rsidRPr="002D2E55" w:rsidRDefault="00AE1D84" w:rsidP="00F62984">
      <w:pPr>
        <w:jc w:val="both"/>
        <w:rPr>
          <w:sz w:val="20"/>
        </w:rPr>
      </w:pPr>
      <w:r w:rsidRPr="00FE0AD0">
        <w:rPr>
          <w:b/>
          <w:sz w:val="20"/>
        </w:rPr>
        <w:t>Flexible Group ID</w:t>
      </w:r>
      <w:r>
        <w:rPr>
          <w:b/>
          <w:sz w:val="20"/>
        </w:rPr>
        <w:t>:</w:t>
      </w:r>
      <w:r>
        <w:rPr>
          <w:sz w:val="20"/>
        </w:rPr>
        <w:t xml:space="preserve"> </w:t>
      </w:r>
      <w:r w:rsidR="006B1485">
        <w:rPr>
          <w:sz w:val="20"/>
        </w:rPr>
        <w:t xml:space="preserve"> </w:t>
      </w:r>
      <w:r w:rsidR="003A6B80">
        <w:rPr>
          <w:sz w:val="20"/>
        </w:rPr>
        <w:t>NA</w:t>
      </w:r>
    </w:p>
    <w:p w:rsidR="00AE1D84" w:rsidRPr="0019740E" w:rsidRDefault="00AE1D84" w:rsidP="00F62984">
      <w:pPr>
        <w:tabs>
          <w:tab w:val="left" w:pos="6328"/>
        </w:tabs>
        <w:jc w:val="both"/>
        <w:rPr>
          <w:sz w:val="20"/>
        </w:rPr>
      </w:pPr>
    </w:p>
    <w:p w:rsidR="00AE1D84" w:rsidRDefault="00AE1D84" w:rsidP="00F62984">
      <w:pPr>
        <w:jc w:val="both"/>
        <w:rPr>
          <w:b/>
          <w:u w:val="single"/>
        </w:rPr>
      </w:pPr>
      <w:r>
        <w:rPr>
          <w:b/>
          <w:u w:val="single"/>
        </w:rPr>
        <w:t>POLLUTION CONTROL EQUIPMENT</w:t>
      </w:r>
    </w:p>
    <w:p w:rsidR="00AE1D84" w:rsidRPr="0058608D" w:rsidRDefault="00AE1D84" w:rsidP="00F62984">
      <w:pPr>
        <w:jc w:val="both"/>
      </w:pPr>
    </w:p>
    <w:p w:rsidR="00AE1D84" w:rsidRPr="003A6B80" w:rsidRDefault="003A6B80" w:rsidP="00F62984">
      <w:pPr>
        <w:jc w:val="both"/>
        <w:rPr>
          <w:sz w:val="20"/>
        </w:rPr>
      </w:pPr>
      <w:r>
        <w:rPr>
          <w:sz w:val="20"/>
        </w:rPr>
        <w:t>NA</w:t>
      </w:r>
    </w:p>
    <w:p w:rsidR="00AE1D84" w:rsidRPr="00906ACF" w:rsidRDefault="00AE1D84" w:rsidP="00F62984">
      <w:pPr>
        <w:jc w:val="both"/>
        <w:rPr>
          <w:sz w:val="20"/>
        </w:rPr>
      </w:pPr>
    </w:p>
    <w:p w:rsidR="00AE1D84" w:rsidRPr="00F01FE1" w:rsidRDefault="00AE1D84" w:rsidP="00F62984">
      <w:pPr>
        <w:jc w:val="both"/>
        <w:rPr>
          <w:b/>
          <w:sz w:val="20"/>
          <w:u w:val="single"/>
        </w:rPr>
      </w:pPr>
      <w:r>
        <w:rPr>
          <w:b/>
        </w:rPr>
        <w:t xml:space="preserve">I.  </w:t>
      </w:r>
      <w:r>
        <w:rPr>
          <w:b/>
          <w:u w:val="single"/>
        </w:rPr>
        <w:t>EMISSION LIMIT(S)</w:t>
      </w:r>
    </w:p>
    <w:p w:rsidR="00AE1D84" w:rsidRDefault="00AE1D84" w:rsidP="00F62984">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440"/>
        <w:gridCol w:w="2244"/>
        <w:gridCol w:w="1890"/>
        <w:gridCol w:w="1534"/>
        <w:gridCol w:w="1532"/>
      </w:tblGrid>
      <w:tr w:rsidR="00AE1D84" w:rsidTr="003A6B80">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A6B80" w:rsidTr="003A6B80">
        <w:trPr>
          <w:cantSplit/>
        </w:trPr>
        <w:tc>
          <w:tcPr>
            <w:tcW w:w="1626" w:type="dxa"/>
            <w:tcBorders>
              <w:top w:val="single" w:sz="4" w:space="0" w:color="auto"/>
              <w:left w:val="single" w:sz="4" w:space="0" w:color="auto"/>
              <w:bottom w:val="single" w:sz="4" w:space="0" w:color="auto"/>
              <w:right w:val="single" w:sz="4" w:space="0" w:color="auto"/>
            </w:tcBorders>
          </w:tcPr>
          <w:p w:rsidR="003A6B80" w:rsidRPr="00095B77" w:rsidRDefault="003A6B80" w:rsidP="003A6B80">
            <w:pPr>
              <w:rPr>
                <w:sz w:val="20"/>
              </w:rPr>
            </w:pPr>
            <w:r w:rsidRPr="00095B77">
              <w:rPr>
                <w:sz w:val="20"/>
              </w:rPr>
              <w:t>1.</w:t>
            </w:r>
            <w:r>
              <w:rPr>
                <w:sz w:val="20"/>
              </w:rPr>
              <w:t xml:space="preserve"> </w:t>
            </w:r>
            <w:r w:rsidR="006B1485">
              <w:rPr>
                <w:sz w:val="20"/>
              </w:rPr>
              <w:t xml:space="preserve"> </w:t>
            </w:r>
            <w:r>
              <w:rPr>
                <w:sz w:val="20"/>
              </w:rPr>
              <w:t>VOC</w:t>
            </w:r>
          </w:p>
        </w:tc>
        <w:tc>
          <w:tcPr>
            <w:tcW w:w="1440"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8.0 pounds</w:t>
            </w:r>
            <w:r w:rsidRPr="00A637C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EULINE9</w:t>
            </w:r>
          </w:p>
          <w:p w:rsidR="001141E4" w:rsidRPr="001141E4" w:rsidRDefault="001141E4" w:rsidP="003A6B80">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Section V and Section VI</w:t>
            </w:r>
          </w:p>
        </w:tc>
        <w:tc>
          <w:tcPr>
            <w:tcW w:w="1530" w:type="dxa"/>
            <w:tcBorders>
              <w:top w:val="single" w:sz="4" w:space="0" w:color="auto"/>
              <w:left w:val="single" w:sz="4" w:space="0" w:color="auto"/>
              <w:bottom w:val="single" w:sz="4" w:space="0" w:color="auto"/>
              <w:right w:val="single" w:sz="4" w:space="0" w:color="auto"/>
            </w:tcBorders>
          </w:tcPr>
          <w:p w:rsidR="003A6B80" w:rsidRPr="00294221" w:rsidRDefault="003A6B80" w:rsidP="003A6B80">
            <w:pPr>
              <w:jc w:val="center"/>
              <w:rPr>
                <w:b/>
                <w:sz w:val="20"/>
              </w:rPr>
            </w:pPr>
            <w:r w:rsidRPr="00294221">
              <w:rPr>
                <w:b/>
                <w:sz w:val="20"/>
              </w:rPr>
              <w:t>R 336.1225</w:t>
            </w:r>
          </w:p>
        </w:tc>
      </w:tr>
      <w:tr w:rsidR="003A6B80" w:rsidRPr="00294221" w:rsidTr="00DF61EE">
        <w:trPr>
          <w:cantSplit/>
          <w:trHeight w:val="953"/>
        </w:trPr>
        <w:tc>
          <w:tcPr>
            <w:tcW w:w="1624" w:type="dxa"/>
            <w:tcBorders>
              <w:top w:val="single" w:sz="4" w:space="0" w:color="auto"/>
              <w:left w:val="single" w:sz="4" w:space="0" w:color="auto"/>
              <w:bottom w:val="single" w:sz="4" w:space="0" w:color="auto"/>
              <w:right w:val="single" w:sz="4" w:space="0" w:color="auto"/>
            </w:tcBorders>
          </w:tcPr>
          <w:p w:rsidR="003A6B80" w:rsidRPr="00095B77" w:rsidRDefault="003A6B80" w:rsidP="003A6B80">
            <w:pPr>
              <w:rPr>
                <w:sz w:val="20"/>
              </w:rPr>
            </w:pPr>
            <w:r>
              <w:rPr>
                <w:sz w:val="20"/>
              </w:rPr>
              <w:t xml:space="preserve">2. </w:t>
            </w:r>
            <w:r w:rsidR="006B1485">
              <w:rPr>
                <w:sz w:val="20"/>
              </w:rPr>
              <w:t xml:space="preserve"> </w:t>
            </w:r>
            <w:r>
              <w:rPr>
                <w:sz w:val="20"/>
              </w:rPr>
              <w:t>VOC</w:t>
            </w:r>
          </w:p>
        </w:tc>
        <w:tc>
          <w:tcPr>
            <w:tcW w:w="1439"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34.9 tons</w:t>
            </w:r>
            <w:r w:rsidRPr="00A637C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Annually based upon a 12-month rolling time period as determined at the end of each month</w:t>
            </w:r>
          </w:p>
        </w:tc>
        <w:tc>
          <w:tcPr>
            <w:tcW w:w="1891"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EULINE9</w:t>
            </w:r>
          </w:p>
          <w:p w:rsidR="001141E4" w:rsidRPr="001141E4" w:rsidRDefault="001141E4" w:rsidP="003A6B80">
            <w:pPr>
              <w:jc w:val="center"/>
              <w:rPr>
                <w:sz w:val="20"/>
              </w:rPr>
            </w:pPr>
          </w:p>
        </w:tc>
        <w:tc>
          <w:tcPr>
            <w:tcW w:w="1534"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Section V and Section VI</w:t>
            </w:r>
          </w:p>
        </w:tc>
        <w:tc>
          <w:tcPr>
            <w:tcW w:w="1532" w:type="dxa"/>
            <w:tcBorders>
              <w:top w:val="single" w:sz="4" w:space="0" w:color="auto"/>
              <w:left w:val="single" w:sz="4" w:space="0" w:color="auto"/>
              <w:bottom w:val="single" w:sz="4" w:space="0" w:color="auto"/>
              <w:right w:val="single" w:sz="4" w:space="0" w:color="auto"/>
            </w:tcBorders>
          </w:tcPr>
          <w:p w:rsidR="003A6B80" w:rsidRPr="00294221" w:rsidRDefault="003A6B80" w:rsidP="003A6B80">
            <w:pPr>
              <w:jc w:val="center"/>
              <w:rPr>
                <w:b/>
                <w:sz w:val="20"/>
              </w:rPr>
            </w:pPr>
            <w:r w:rsidRPr="00294221">
              <w:rPr>
                <w:b/>
                <w:sz w:val="20"/>
              </w:rPr>
              <w:t>R 336.1702</w:t>
            </w:r>
          </w:p>
        </w:tc>
      </w:tr>
      <w:tr w:rsidR="003A6B80" w:rsidRPr="00294221" w:rsidTr="003A6B80">
        <w:trPr>
          <w:cantSplit/>
        </w:trPr>
        <w:tc>
          <w:tcPr>
            <w:tcW w:w="1624" w:type="dxa"/>
            <w:tcBorders>
              <w:top w:val="single" w:sz="4" w:space="0" w:color="auto"/>
              <w:left w:val="single" w:sz="4" w:space="0" w:color="auto"/>
              <w:bottom w:val="single" w:sz="4" w:space="0" w:color="auto"/>
              <w:right w:val="single" w:sz="4" w:space="0" w:color="auto"/>
            </w:tcBorders>
          </w:tcPr>
          <w:p w:rsidR="003A6B80" w:rsidRDefault="003A6B80" w:rsidP="003A6B80">
            <w:pPr>
              <w:rPr>
                <w:sz w:val="20"/>
              </w:rPr>
            </w:pPr>
            <w:r>
              <w:rPr>
                <w:sz w:val="20"/>
              </w:rPr>
              <w:t>3.</w:t>
            </w:r>
            <w:r w:rsidR="006B1485">
              <w:rPr>
                <w:sz w:val="20"/>
              </w:rPr>
              <w:t xml:space="preserve"> </w:t>
            </w:r>
            <w:r>
              <w:rPr>
                <w:sz w:val="20"/>
              </w:rPr>
              <w:t xml:space="preserve"> Organic HAP</w:t>
            </w:r>
          </w:p>
        </w:tc>
        <w:tc>
          <w:tcPr>
            <w:tcW w:w="1439" w:type="dxa"/>
            <w:tcBorders>
              <w:top w:val="single" w:sz="4" w:space="0" w:color="auto"/>
              <w:left w:val="single" w:sz="4" w:space="0" w:color="auto"/>
              <w:bottom w:val="single" w:sz="4" w:space="0" w:color="auto"/>
              <w:right w:val="single" w:sz="4" w:space="0" w:color="auto"/>
            </w:tcBorders>
          </w:tcPr>
          <w:p w:rsidR="003A6B80" w:rsidRPr="0000335E" w:rsidRDefault="003A6B80" w:rsidP="003A6B80">
            <w:pPr>
              <w:jc w:val="center"/>
              <w:rPr>
                <w:sz w:val="20"/>
                <w:vertAlign w:val="superscript"/>
              </w:rPr>
            </w:pPr>
            <w:r>
              <w:rPr>
                <w:sz w:val="20"/>
              </w:rPr>
              <w:t>2.6 pounds per gallon of coating solids</w:t>
            </w:r>
          </w:p>
        </w:tc>
        <w:tc>
          <w:tcPr>
            <w:tcW w:w="2245"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12-month rolling time period as determined at the end of each month</w:t>
            </w:r>
          </w:p>
        </w:tc>
        <w:tc>
          <w:tcPr>
            <w:tcW w:w="1891"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EULINE9</w:t>
            </w:r>
          </w:p>
          <w:p w:rsidR="00CF07B9" w:rsidRDefault="008F23BE" w:rsidP="003A6B80">
            <w:pPr>
              <w:jc w:val="center"/>
              <w:rPr>
                <w:sz w:val="20"/>
              </w:rPr>
            </w:pPr>
            <w:r>
              <w:rPr>
                <w:sz w:val="20"/>
              </w:rPr>
              <w:t>when</w:t>
            </w:r>
            <w:r w:rsidR="001141E4" w:rsidRPr="001141E4">
              <w:rPr>
                <w:sz w:val="20"/>
              </w:rPr>
              <w:t xml:space="preserve"> using </w:t>
            </w:r>
          </w:p>
          <w:p w:rsidR="001141E4" w:rsidRPr="001141E4" w:rsidRDefault="001141E4" w:rsidP="003A6B80">
            <w:pPr>
              <w:jc w:val="center"/>
              <w:rPr>
                <w:sz w:val="20"/>
              </w:rPr>
            </w:pPr>
            <w:r w:rsidRPr="001141E4">
              <w:rPr>
                <w:sz w:val="20"/>
              </w:rPr>
              <w:t>General Use Coating</w:t>
            </w:r>
          </w:p>
        </w:tc>
        <w:tc>
          <w:tcPr>
            <w:tcW w:w="1534"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sidRPr="00AB62D3">
              <w:rPr>
                <w:sz w:val="20"/>
              </w:rPr>
              <w:t>S</w:t>
            </w:r>
            <w:r w:rsidR="00DF61EE">
              <w:rPr>
                <w:sz w:val="20"/>
              </w:rPr>
              <w:t>C</w:t>
            </w:r>
            <w:r w:rsidRPr="00AB62D3">
              <w:rPr>
                <w:sz w:val="20"/>
              </w:rPr>
              <w:t xml:space="preserve"> VI. 4 – VI.8</w:t>
            </w:r>
          </w:p>
        </w:tc>
        <w:tc>
          <w:tcPr>
            <w:tcW w:w="1532" w:type="dxa"/>
            <w:tcBorders>
              <w:top w:val="single" w:sz="4" w:space="0" w:color="auto"/>
              <w:left w:val="single" w:sz="4" w:space="0" w:color="auto"/>
              <w:bottom w:val="single" w:sz="4" w:space="0" w:color="auto"/>
              <w:right w:val="single" w:sz="4" w:space="0" w:color="auto"/>
            </w:tcBorders>
          </w:tcPr>
          <w:p w:rsidR="003A6B80" w:rsidRPr="00294221" w:rsidRDefault="003A6B80" w:rsidP="003A6B80">
            <w:pPr>
              <w:jc w:val="center"/>
              <w:rPr>
                <w:b/>
                <w:sz w:val="20"/>
              </w:rPr>
            </w:pPr>
            <w:r>
              <w:rPr>
                <w:b/>
                <w:sz w:val="20"/>
              </w:rPr>
              <w:t>40 CFR 63.3890(b)(1)</w:t>
            </w:r>
          </w:p>
        </w:tc>
      </w:tr>
      <w:tr w:rsidR="003A6B80" w:rsidRPr="00A847C4" w:rsidTr="003A6B80">
        <w:trPr>
          <w:cantSplit/>
        </w:trPr>
        <w:tc>
          <w:tcPr>
            <w:tcW w:w="1624"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rPr>
                <w:sz w:val="20"/>
              </w:rPr>
            </w:pPr>
            <w:r>
              <w:rPr>
                <w:sz w:val="20"/>
              </w:rPr>
              <w:t>4.</w:t>
            </w:r>
            <w:r w:rsidR="006B1485">
              <w:rPr>
                <w:sz w:val="20"/>
              </w:rPr>
              <w:t xml:space="preserve"> </w:t>
            </w:r>
            <w:r>
              <w:rPr>
                <w:sz w:val="20"/>
              </w:rPr>
              <w:t xml:space="preserve"> </w:t>
            </w:r>
            <w:r w:rsidRPr="00A847C4">
              <w:rPr>
                <w:sz w:val="20"/>
              </w:rPr>
              <w:t>Organic HAP</w:t>
            </w:r>
          </w:p>
        </w:tc>
        <w:tc>
          <w:tcPr>
            <w:tcW w:w="1439"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27.5 lbs</w:t>
            </w:r>
            <w:r w:rsidR="006B1485">
              <w:rPr>
                <w:sz w:val="20"/>
              </w:rPr>
              <w:t>.</w:t>
            </w:r>
            <w:r w:rsidRPr="00A847C4">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12-month rolling time period as determined at the end of each month</w:t>
            </w:r>
          </w:p>
        </w:tc>
        <w:tc>
          <w:tcPr>
            <w:tcW w:w="1891"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EULINE9</w:t>
            </w:r>
          </w:p>
          <w:p w:rsidR="00CF07B9" w:rsidRDefault="008F23BE" w:rsidP="003A6B80">
            <w:pPr>
              <w:jc w:val="center"/>
              <w:rPr>
                <w:sz w:val="20"/>
              </w:rPr>
            </w:pPr>
            <w:r>
              <w:rPr>
                <w:sz w:val="20"/>
              </w:rPr>
              <w:t>w</w:t>
            </w:r>
            <w:r w:rsidR="001141E4" w:rsidRPr="001141E4">
              <w:rPr>
                <w:sz w:val="20"/>
              </w:rPr>
              <w:t xml:space="preserve">hen using </w:t>
            </w:r>
          </w:p>
          <w:p w:rsidR="003A6B80" w:rsidRPr="001141E4" w:rsidRDefault="001141E4" w:rsidP="003A6B80">
            <w:pPr>
              <w:jc w:val="center"/>
              <w:rPr>
                <w:sz w:val="20"/>
              </w:rPr>
            </w:pPr>
            <w:r w:rsidRPr="001141E4">
              <w:rPr>
                <w:sz w:val="20"/>
              </w:rPr>
              <w:t>High Performance Coating</w:t>
            </w:r>
          </w:p>
        </w:tc>
        <w:tc>
          <w:tcPr>
            <w:tcW w:w="1534" w:type="dxa"/>
            <w:tcBorders>
              <w:top w:val="single" w:sz="4" w:space="0" w:color="auto"/>
              <w:left w:val="single" w:sz="4" w:space="0" w:color="auto"/>
              <w:bottom w:val="single" w:sz="4" w:space="0" w:color="auto"/>
              <w:right w:val="single" w:sz="4" w:space="0" w:color="auto"/>
            </w:tcBorders>
          </w:tcPr>
          <w:p w:rsidR="003A6B80" w:rsidRPr="00AB62D3" w:rsidRDefault="003A6B80" w:rsidP="003A6B80">
            <w:pPr>
              <w:jc w:val="center"/>
              <w:rPr>
                <w:sz w:val="20"/>
              </w:rPr>
            </w:pPr>
            <w:r w:rsidRPr="00AB62D3">
              <w:rPr>
                <w:sz w:val="20"/>
              </w:rPr>
              <w:t>S</w:t>
            </w:r>
            <w:r w:rsidR="00E54E18">
              <w:rPr>
                <w:sz w:val="20"/>
              </w:rPr>
              <w:t>C</w:t>
            </w:r>
            <w:r w:rsidR="0097608C">
              <w:rPr>
                <w:sz w:val="20"/>
              </w:rPr>
              <w:t xml:space="preserve"> </w:t>
            </w:r>
            <w:r w:rsidRPr="00AB62D3">
              <w:rPr>
                <w:sz w:val="20"/>
              </w:rPr>
              <w:t>VI. 4 – VI.8</w:t>
            </w:r>
          </w:p>
        </w:tc>
        <w:tc>
          <w:tcPr>
            <w:tcW w:w="1532"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b/>
                <w:sz w:val="20"/>
              </w:rPr>
            </w:pPr>
            <w:r w:rsidRPr="00A847C4">
              <w:rPr>
                <w:b/>
                <w:sz w:val="20"/>
              </w:rPr>
              <w:t>40 CFR 63.3890(b)(2)</w:t>
            </w:r>
          </w:p>
        </w:tc>
      </w:tr>
      <w:tr w:rsidR="003A6B80" w:rsidRPr="00A847C4" w:rsidTr="003A6B80">
        <w:trPr>
          <w:cantSplit/>
        </w:trPr>
        <w:tc>
          <w:tcPr>
            <w:tcW w:w="1624"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rPr>
                <w:sz w:val="20"/>
              </w:rPr>
            </w:pPr>
            <w:r>
              <w:rPr>
                <w:sz w:val="20"/>
              </w:rPr>
              <w:t>5.</w:t>
            </w:r>
            <w:r w:rsidRPr="00A847C4">
              <w:rPr>
                <w:sz w:val="20"/>
              </w:rPr>
              <w:t xml:space="preserve"> </w:t>
            </w:r>
            <w:r w:rsidR="006B1485">
              <w:rPr>
                <w:sz w:val="20"/>
              </w:rPr>
              <w:t xml:space="preserve"> </w:t>
            </w:r>
            <w:r w:rsidRPr="00A847C4">
              <w:rPr>
                <w:sz w:val="20"/>
              </w:rPr>
              <w:t>Organic HAP</w:t>
            </w:r>
          </w:p>
        </w:tc>
        <w:tc>
          <w:tcPr>
            <w:tcW w:w="1439"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1.0 lbs</w:t>
            </w:r>
            <w:r w:rsidR="006B1485">
              <w:rPr>
                <w:sz w:val="20"/>
              </w:rPr>
              <w:t>.</w:t>
            </w:r>
            <w:r w:rsidRPr="00A847C4">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 xml:space="preserve">12-month rolling time period as determined at the end of each month </w:t>
            </w:r>
          </w:p>
        </w:tc>
        <w:tc>
          <w:tcPr>
            <w:tcW w:w="1891"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EULINE9</w:t>
            </w:r>
          </w:p>
          <w:p w:rsidR="00CF07B9" w:rsidRDefault="008F23BE" w:rsidP="003A6B80">
            <w:pPr>
              <w:jc w:val="center"/>
              <w:rPr>
                <w:sz w:val="20"/>
              </w:rPr>
            </w:pPr>
            <w:r>
              <w:rPr>
                <w:sz w:val="20"/>
              </w:rPr>
              <w:t>w</w:t>
            </w:r>
            <w:r w:rsidR="001141E4" w:rsidRPr="001141E4">
              <w:rPr>
                <w:sz w:val="20"/>
              </w:rPr>
              <w:t>hen using</w:t>
            </w:r>
            <w:r w:rsidR="003A6B80" w:rsidRPr="001141E4">
              <w:rPr>
                <w:sz w:val="20"/>
              </w:rPr>
              <w:t xml:space="preserve"> </w:t>
            </w:r>
          </w:p>
          <w:p w:rsidR="003A6B80" w:rsidRPr="001141E4" w:rsidRDefault="001141E4" w:rsidP="003A6B80">
            <w:pPr>
              <w:jc w:val="center"/>
              <w:rPr>
                <w:sz w:val="20"/>
              </w:rPr>
            </w:pPr>
            <w:r w:rsidRPr="001141E4">
              <w:rPr>
                <w:sz w:val="20"/>
              </w:rPr>
              <w:t>Magnet Wire Coating</w:t>
            </w:r>
          </w:p>
        </w:tc>
        <w:tc>
          <w:tcPr>
            <w:tcW w:w="1534" w:type="dxa"/>
            <w:tcBorders>
              <w:top w:val="single" w:sz="4" w:space="0" w:color="auto"/>
              <w:left w:val="single" w:sz="4" w:space="0" w:color="auto"/>
              <w:bottom w:val="single" w:sz="4" w:space="0" w:color="auto"/>
              <w:right w:val="single" w:sz="4" w:space="0" w:color="auto"/>
            </w:tcBorders>
          </w:tcPr>
          <w:p w:rsidR="003A6B80" w:rsidRPr="00AB62D3" w:rsidRDefault="003A6B80" w:rsidP="003A6B80">
            <w:pPr>
              <w:jc w:val="center"/>
              <w:rPr>
                <w:sz w:val="20"/>
              </w:rPr>
            </w:pPr>
            <w:r w:rsidRPr="00AB62D3">
              <w:rPr>
                <w:sz w:val="20"/>
              </w:rPr>
              <w:t>S</w:t>
            </w:r>
            <w:r w:rsidR="0097608C">
              <w:rPr>
                <w:sz w:val="20"/>
              </w:rPr>
              <w:t xml:space="preserve">C </w:t>
            </w:r>
            <w:r w:rsidRPr="00AB62D3">
              <w:rPr>
                <w:sz w:val="20"/>
              </w:rPr>
              <w:t>VI. 4 – VI.8</w:t>
            </w:r>
          </w:p>
        </w:tc>
        <w:tc>
          <w:tcPr>
            <w:tcW w:w="1532"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b/>
                <w:sz w:val="20"/>
              </w:rPr>
            </w:pPr>
            <w:r w:rsidRPr="00A847C4">
              <w:rPr>
                <w:b/>
                <w:sz w:val="20"/>
              </w:rPr>
              <w:t>40 CFR 63.3890(b)(3)</w:t>
            </w:r>
          </w:p>
        </w:tc>
      </w:tr>
      <w:tr w:rsidR="003A6B80" w:rsidRPr="00A847C4" w:rsidTr="003A6B80">
        <w:trPr>
          <w:cantSplit/>
        </w:trPr>
        <w:tc>
          <w:tcPr>
            <w:tcW w:w="1624"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rPr>
                <w:sz w:val="20"/>
              </w:rPr>
            </w:pPr>
            <w:r>
              <w:rPr>
                <w:sz w:val="20"/>
              </w:rPr>
              <w:t>6.</w:t>
            </w:r>
            <w:r w:rsidRPr="00A847C4">
              <w:rPr>
                <w:sz w:val="20"/>
              </w:rPr>
              <w:t xml:space="preserve"> Organic HAP</w:t>
            </w:r>
          </w:p>
        </w:tc>
        <w:tc>
          <w:tcPr>
            <w:tcW w:w="1439"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37.7 lbs</w:t>
            </w:r>
            <w:r w:rsidR="006B1485">
              <w:rPr>
                <w:sz w:val="20"/>
              </w:rPr>
              <w:t>.</w:t>
            </w:r>
            <w:r w:rsidRPr="00A847C4">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 xml:space="preserve">12-month rolling time period as determined at the end of each month </w:t>
            </w:r>
          </w:p>
        </w:tc>
        <w:tc>
          <w:tcPr>
            <w:tcW w:w="1891"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EULINE9</w:t>
            </w:r>
          </w:p>
          <w:p w:rsidR="00CF07B9" w:rsidRDefault="008F23BE" w:rsidP="003A6B80">
            <w:pPr>
              <w:jc w:val="center"/>
              <w:rPr>
                <w:sz w:val="20"/>
              </w:rPr>
            </w:pPr>
            <w:r>
              <w:rPr>
                <w:sz w:val="20"/>
              </w:rPr>
              <w:t>w</w:t>
            </w:r>
            <w:r w:rsidR="001141E4" w:rsidRPr="001141E4">
              <w:rPr>
                <w:sz w:val="20"/>
              </w:rPr>
              <w:t xml:space="preserve">hen using </w:t>
            </w:r>
          </w:p>
          <w:p w:rsidR="003A6B80" w:rsidRPr="001141E4" w:rsidRDefault="001141E4" w:rsidP="003A6B80">
            <w:pPr>
              <w:jc w:val="center"/>
              <w:rPr>
                <w:sz w:val="20"/>
              </w:rPr>
            </w:pPr>
            <w:r w:rsidRPr="001141E4">
              <w:rPr>
                <w:sz w:val="20"/>
              </w:rPr>
              <w:t>Rubber-to-Metal Coating</w:t>
            </w:r>
          </w:p>
        </w:tc>
        <w:tc>
          <w:tcPr>
            <w:tcW w:w="1534" w:type="dxa"/>
            <w:tcBorders>
              <w:top w:val="single" w:sz="4" w:space="0" w:color="auto"/>
              <w:left w:val="single" w:sz="4" w:space="0" w:color="auto"/>
              <w:bottom w:val="single" w:sz="4" w:space="0" w:color="auto"/>
              <w:right w:val="single" w:sz="4" w:space="0" w:color="auto"/>
            </w:tcBorders>
          </w:tcPr>
          <w:p w:rsidR="003A6B80" w:rsidRPr="00AB62D3" w:rsidRDefault="003A6B80" w:rsidP="003A6B80">
            <w:pPr>
              <w:jc w:val="center"/>
              <w:rPr>
                <w:sz w:val="20"/>
              </w:rPr>
            </w:pPr>
            <w:r w:rsidRPr="00AB62D3">
              <w:rPr>
                <w:sz w:val="20"/>
              </w:rPr>
              <w:t>S</w:t>
            </w:r>
            <w:r w:rsidR="0097608C">
              <w:rPr>
                <w:sz w:val="20"/>
              </w:rPr>
              <w:t>C</w:t>
            </w:r>
            <w:r w:rsidRPr="00AB62D3">
              <w:rPr>
                <w:sz w:val="20"/>
              </w:rPr>
              <w:t xml:space="preserve"> VI. 4 – VI.8</w:t>
            </w:r>
          </w:p>
        </w:tc>
        <w:tc>
          <w:tcPr>
            <w:tcW w:w="1532"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b/>
                <w:sz w:val="20"/>
              </w:rPr>
            </w:pPr>
            <w:r w:rsidRPr="00A847C4">
              <w:rPr>
                <w:b/>
                <w:sz w:val="20"/>
              </w:rPr>
              <w:t>40 CFR 63.3890(b)(4)</w:t>
            </w:r>
          </w:p>
        </w:tc>
      </w:tr>
      <w:tr w:rsidR="003A6B80" w:rsidRPr="00A847C4" w:rsidTr="001141E4">
        <w:trPr>
          <w:cantSplit/>
          <w:trHeight w:val="1331"/>
        </w:trPr>
        <w:tc>
          <w:tcPr>
            <w:tcW w:w="1624"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rPr>
                <w:sz w:val="20"/>
              </w:rPr>
            </w:pPr>
            <w:r>
              <w:rPr>
                <w:sz w:val="20"/>
              </w:rPr>
              <w:t>7</w:t>
            </w:r>
            <w:r w:rsidRPr="00A847C4">
              <w:rPr>
                <w:sz w:val="20"/>
              </w:rPr>
              <w:t xml:space="preserve">. </w:t>
            </w:r>
            <w:r w:rsidR="006B1485">
              <w:rPr>
                <w:sz w:val="20"/>
              </w:rPr>
              <w:t xml:space="preserve"> </w:t>
            </w:r>
            <w:r w:rsidRPr="00A847C4">
              <w:rPr>
                <w:sz w:val="20"/>
              </w:rPr>
              <w:t>Organic HAP</w:t>
            </w:r>
          </w:p>
        </w:tc>
        <w:tc>
          <w:tcPr>
            <w:tcW w:w="1439"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rFonts w:cs="Arial"/>
                <w:sz w:val="20"/>
              </w:rPr>
            </w:pPr>
            <w:r w:rsidRPr="00A847C4">
              <w:rPr>
                <w:sz w:val="20"/>
              </w:rPr>
              <w:t>12.4 lbs</w:t>
            </w:r>
            <w:r w:rsidR="006B1485">
              <w:rPr>
                <w:sz w:val="20"/>
              </w:rPr>
              <w:t>.</w:t>
            </w:r>
            <w:r w:rsidRPr="00A847C4">
              <w:rPr>
                <w:sz w:val="20"/>
              </w:rPr>
              <w:t xml:space="preserve"> per gal of coating solids</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sz w:val="20"/>
              </w:rPr>
            </w:pPr>
            <w:r w:rsidRPr="00A847C4">
              <w:rPr>
                <w:sz w:val="20"/>
              </w:rPr>
              <w:t xml:space="preserve">12-month rolling time period as determined at the end of each month </w:t>
            </w:r>
          </w:p>
        </w:tc>
        <w:tc>
          <w:tcPr>
            <w:tcW w:w="1891" w:type="dxa"/>
            <w:tcBorders>
              <w:top w:val="single" w:sz="4" w:space="0" w:color="auto"/>
              <w:left w:val="single" w:sz="4" w:space="0" w:color="auto"/>
              <w:bottom w:val="single" w:sz="4" w:space="0" w:color="auto"/>
              <w:right w:val="single" w:sz="4" w:space="0" w:color="auto"/>
            </w:tcBorders>
          </w:tcPr>
          <w:p w:rsidR="003A6B80" w:rsidRPr="001141E4" w:rsidRDefault="003A6B80" w:rsidP="003A6B80">
            <w:pPr>
              <w:jc w:val="center"/>
              <w:rPr>
                <w:sz w:val="20"/>
              </w:rPr>
            </w:pPr>
            <w:r w:rsidRPr="001141E4">
              <w:rPr>
                <w:sz w:val="20"/>
              </w:rPr>
              <w:t xml:space="preserve">EULINE9 </w:t>
            </w:r>
          </w:p>
          <w:p w:rsidR="00CF07B9" w:rsidRDefault="00CF07B9" w:rsidP="003A6B80">
            <w:pPr>
              <w:jc w:val="center"/>
              <w:rPr>
                <w:sz w:val="20"/>
              </w:rPr>
            </w:pPr>
            <w:r>
              <w:rPr>
                <w:sz w:val="20"/>
              </w:rPr>
              <w:t>w</w:t>
            </w:r>
            <w:r w:rsidR="001141E4" w:rsidRPr="001141E4">
              <w:rPr>
                <w:sz w:val="20"/>
              </w:rPr>
              <w:t xml:space="preserve">hen using </w:t>
            </w:r>
          </w:p>
          <w:p w:rsidR="003A6B80" w:rsidRPr="001141E4" w:rsidRDefault="001141E4" w:rsidP="003A6B80">
            <w:pPr>
              <w:jc w:val="center"/>
              <w:rPr>
                <w:sz w:val="20"/>
              </w:rPr>
            </w:pPr>
            <w:r w:rsidRPr="001141E4">
              <w:rPr>
                <w:sz w:val="20"/>
              </w:rPr>
              <w:t>Extreme Performance Fluoropolymer Coating</w:t>
            </w:r>
          </w:p>
        </w:tc>
        <w:tc>
          <w:tcPr>
            <w:tcW w:w="1534" w:type="dxa"/>
            <w:tcBorders>
              <w:top w:val="single" w:sz="4" w:space="0" w:color="auto"/>
              <w:left w:val="single" w:sz="4" w:space="0" w:color="auto"/>
              <w:bottom w:val="single" w:sz="4" w:space="0" w:color="auto"/>
              <w:right w:val="single" w:sz="4" w:space="0" w:color="auto"/>
            </w:tcBorders>
          </w:tcPr>
          <w:p w:rsidR="003A6B80" w:rsidRPr="00AB62D3" w:rsidRDefault="003A6B80" w:rsidP="003A6B80">
            <w:pPr>
              <w:jc w:val="center"/>
              <w:rPr>
                <w:sz w:val="20"/>
              </w:rPr>
            </w:pPr>
            <w:r w:rsidRPr="00AB62D3">
              <w:rPr>
                <w:sz w:val="20"/>
              </w:rPr>
              <w:t>S</w:t>
            </w:r>
            <w:r w:rsidR="0097608C">
              <w:rPr>
                <w:sz w:val="20"/>
              </w:rPr>
              <w:t xml:space="preserve">C </w:t>
            </w:r>
            <w:r w:rsidRPr="00AB62D3">
              <w:rPr>
                <w:sz w:val="20"/>
              </w:rPr>
              <w:t>VI. 4 – VI.8</w:t>
            </w:r>
          </w:p>
        </w:tc>
        <w:tc>
          <w:tcPr>
            <w:tcW w:w="1532" w:type="dxa"/>
            <w:tcBorders>
              <w:top w:val="single" w:sz="4" w:space="0" w:color="auto"/>
              <w:left w:val="single" w:sz="4" w:space="0" w:color="auto"/>
              <w:bottom w:val="single" w:sz="4" w:space="0" w:color="auto"/>
              <w:right w:val="single" w:sz="4" w:space="0" w:color="auto"/>
            </w:tcBorders>
          </w:tcPr>
          <w:p w:rsidR="003A6B80" w:rsidRPr="00A847C4" w:rsidRDefault="003A6B80" w:rsidP="003A6B80">
            <w:pPr>
              <w:jc w:val="center"/>
              <w:rPr>
                <w:b/>
                <w:sz w:val="20"/>
              </w:rPr>
            </w:pPr>
            <w:r w:rsidRPr="00A847C4">
              <w:rPr>
                <w:b/>
                <w:sz w:val="20"/>
              </w:rPr>
              <w:t>40 CFR 63.3890(b)(5)</w:t>
            </w:r>
          </w:p>
        </w:tc>
      </w:tr>
    </w:tbl>
    <w:p w:rsidR="00494D15" w:rsidRDefault="00494D15" w:rsidP="00F62984">
      <w:pPr>
        <w:jc w:val="both"/>
        <w:rPr>
          <w:sz w:val="20"/>
        </w:rPr>
      </w:pPr>
    </w:p>
    <w:p w:rsidR="003A6B80" w:rsidRPr="003A6B80" w:rsidRDefault="003A6B80" w:rsidP="003A6B80">
      <w:pPr>
        <w:ind w:left="360" w:hanging="360"/>
        <w:jc w:val="both"/>
        <w:rPr>
          <w:rFonts w:cs="Arial"/>
          <w:sz w:val="20"/>
        </w:rPr>
      </w:pPr>
      <w:r w:rsidRPr="003A6B80">
        <w:rPr>
          <w:rFonts w:cs="Arial"/>
          <w:sz w:val="20"/>
        </w:rPr>
        <w:t xml:space="preserve">8. </w:t>
      </w:r>
      <w:r w:rsidRPr="003A6B80">
        <w:rPr>
          <w:rFonts w:cs="Arial"/>
          <w:sz w:val="20"/>
        </w:rPr>
        <w:tab/>
        <w:t>The permittee shall determine whether the organic HAP emission rate is equal to or less than the applicable emission limits in 40 CFR 63.3890 using at least one of the following three options, which are listed in 40 CFR 63.3891(a) through (c):</w:t>
      </w:r>
    </w:p>
    <w:p w:rsidR="003A6B80" w:rsidRPr="003A6B80" w:rsidRDefault="003A6B80" w:rsidP="003A6B80">
      <w:pPr>
        <w:ind w:firstLine="360"/>
        <w:jc w:val="both"/>
        <w:rPr>
          <w:sz w:val="20"/>
        </w:rPr>
      </w:pPr>
      <w:r w:rsidRPr="003A6B80">
        <w:rPr>
          <w:sz w:val="20"/>
        </w:rPr>
        <w:t>a.</w:t>
      </w:r>
      <w:r w:rsidRPr="003A6B80">
        <w:rPr>
          <w:sz w:val="20"/>
        </w:rPr>
        <w:tab/>
        <w:t>Compliant material option,</w:t>
      </w:r>
    </w:p>
    <w:p w:rsidR="003A6B80" w:rsidRPr="003A6B80" w:rsidRDefault="003A6B80" w:rsidP="003A6B80">
      <w:pPr>
        <w:ind w:firstLine="360"/>
        <w:jc w:val="both"/>
        <w:rPr>
          <w:sz w:val="20"/>
        </w:rPr>
      </w:pPr>
      <w:r w:rsidRPr="003A6B80">
        <w:rPr>
          <w:sz w:val="20"/>
        </w:rPr>
        <w:t>b.</w:t>
      </w:r>
      <w:r w:rsidRPr="003A6B80">
        <w:rPr>
          <w:sz w:val="20"/>
        </w:rPr>
        <w:tab/>
        <w:t>Emission rate without add-on controls option, or</w:t>
      </w:r>
    </w:p>
    <w:p w:rsidR="003A6B80" w:rsidRPr="003A6B80" w:rsidRDefault="003A6B80" w:rsidP="003A6B80">
      <w:pPr>
        <w:ind w:firstLine="360"/>
        <w:jc w:val="both"/>
        <w:rPr>
          <w:sz w:val="20"/>
        </w:rPr>
      </w:pPr>
      <w:r w:rsidRPr="003A6B80">
        <w:rPr>
          <w:sz w:val="20"/>
        </w:rPr>
        <w:t>c.</w:t>
      </w:r>
      <w:r w:rsidRPr="003A6B80">
        <w:rPr>
          <w:sz w:val="20"/>
        </w:rPr>
        <w:tab/>
        <w:t>Emission rate with add-on controls option.</w:t>
      </w:r>
    </w:p>
    <w:p w:rsidR="003A6B80" w:rsidRPr="003A6B80" w:rsidRDefault="003A6B80" w:rsidP="003A6B80">
      <w:pPr>
        <w:ind w:firstLine="360"/>
        <w:jc w:val="both"/>
        <w:rPr>
          <w:sz w:val="20"/>
        </w:rPr>
      </w:pPr>
    </w:p>
    <w:p w:rsidR="003A6B80" w:rsidRPr="003A6B80" w:rsidRDefault="003A6B80" w:rsidP="003A6B80">
      <w:pPr>
        <w:ind w:left="360"/>
        <w:jc w:val="both"/>
        <w:rPr>
          <w:b/>
          <w:sz w:val="20"/>
        </w:rPr>
      </w:pPr>
      <w:r w:rsidRPr="003A6B80">
        <w:rPr>
          <w:sz w:val="20"/>
        </w:rPr>
        <w:t xml:space="preserve">The permittee shall include all coatings, thinners, and/or other additives, and cleaning materials used when determining the emission rate.  </w:t>
      </w:r>
      <w:r w:rsidRPr="003A6B80">
        <w:rPr>
          <w:b/>
          <w:sz w:val="20"/>
        </w:rPr>
        <w:t>(40 CFR 63.3891)</w:t>
      </w:r>
    </w:p>
    <w:p w:rsidR="003A6B80" w:rsidRPr="003A6B80" w:rsidRDefault="003A6B80" w:rsidP="003A6B80">
      <w:pPr>
        <w:tabs>
          <w:tab w:val="left" w:pos="360"/>
        </w:tabs>
        <w:ind w:left="360" w:hanging="360"/>
        <w:jc w:val="both"/>
        <w:rPr>
          <w:rFonts w:cs="Arial"/>
          <w:sz w:val="20"/>
        </w:rPr>
      </w:pPr>
      <w:r w:rsidRPr="003A6B80">
        <w:rPr>
          <w:rFonts w:cs="Arial"/>
          <w:sz w:val="20"/>
        </w:rPr>
        <w:lastRenderedPageBreak/>
        <w:t xml:space="preserve">9. </w:t>
      </w:r>
      <w:r w:rsidRPr="003A6B80">
        <w:rPr>
          <w:rFonts w:cs="Arial"/>
          <w:sz w:val="20"/>
        </w:rPr>
        <w:tab/>
        <w:t>Any coating operation using the compliant material option or the emission rate without add-on controls option, shall be in compliance with the applicable emission limits in 40 CFR 63.3890 at all time. </w:t>
      </w:r>
    </w:p>
    <w:p w:rsidR="003A6B80" w:rsidRPr="003A6B80" w:rsidRDefault="003A6B80" w:rsidP="003A6B80">
      <w:pPr>
        <w:tabs>
          <w:tab w:val="left" w:pos="360"/>
        </w:tabs>
        <w:ind w:left="360" w:hanging="360"/>
        <w:jc w:val="both"/>
        <w:rPr>
          <w:rFonts w:cs="Arial"/>
          <w:b/>
          <w:sz w:val="20"/>
        </w:rPr>
      </w:pPr>
      <w:r w:rsidRPr="003A6B80">
        <w:rPr>
          <w:rFonts w:cs="Arial"/>
          <w:sz w:val="20"/>
        </w:rPr>
        <w:tab/>
      </w:r>
      <w:r w:rsidRPr="003A6B80">
        <w:rPr>
          <w:rFonts w:cs="Arial"/>
          <w:b/>
          <w:sz w:val="20"/>
        </w:rPr>
        <w:t>(40 CFR 63.3900(a)(1))</w:t>
      </w:r>
    </w:p>
    <w:p w:rsidR="003A6B80" w:rsidRPr="003A6B80" w:rsidRDefault="003A6B80" w:rsidP="003A6B80">
      <w:pPr>
        <w:jc w:val="both"/>
        <w:rPr>
          <w:rFonts w:cs="Arial"/>
          <w:sz w:val="20"/>
        </w:rPr>
      </w:pPr>
    </w:p>
    <w:p w:rsidR="003A6B80" w:rsidRPr="003A6B80" w:rsidRDefault="003A6B80" w:rsidP="003A6B80">
      <w:pPr>
        <w:tabs>
          <w:tab w:val="left" w:pos="360"/>
        </w:tabs>
        <w:ind w:left="360" w:hanging="360"/>
        <w:jc w:val="both"/>
        <w:rPr>
          <w:rFonts w:cs="Arial"/>
          <w:b/>
          <w:sz w:val="20"/>
        </w:rPr>
      </w:pPr>
      <w:r w:rsidRPr="003A6B80">
        <w:rPr>
          <w:rFonts w:cs="Arial"/>
          <w:sz w:val="20"/>
        </w:rPr>
        <w:t xml:space="preserve">10. If the surface coating operation(s) meet the applicability criteria of more than one of the subcategory emission limits specified in 40 CFR 63.3890(a) or (b), the permittee may comply separately with each subcategory emission </w:t>
      </w:r>
      <w:r w:rsidR="006B1485" w:rsidRPr="003A6B80">
        <w:rPr>
          <w:rFonts w:cs="Arial"/>
          <w:sz w:val="20"/>
        </w:rPr>
        <w:t>limit or</w:t>
      </w:r>
      <w:r w:rsidRPr="003A6B80">
        <w:rPr>
          <w:rFonts w:cs="Arial"/>
          <w:sz w:val="20"/>
        </w:rPr>
        <w:t xml:space="preserve"> comply using one of the alternatives in 40 CFR 63.3890(c)(1) or (2).  </w:t>
      </w:r>
      <w:r w:rsidRPr="003A6B80">
        <w:rPr>
          <w:rFonts w:cs="Arial"/>
          <w:b/>
          <w:sz w:val="20"/>
        </w:rPr>
        <w:t>(40 CFR 63.3890(c))</w:t>
      </w:r>
    </w:p>
    <w:p w:rsidR="00494D15" w:rsidRPr="00FE0AD0" w:rsidRDefault="00494D15" w:rsidP="00F62984">
      <w:pPr>
        <w:jc w:val="both"/>
        <w:rPr>
          <w:sz w:val="20"/>
        </w:rPr>
      </w:pPr>
    </w:p>
    <w:p w:rsidR="00AE1D84" w:rsidRDefault="00AE1D84" w:rsidP="00F62984">
      <w:pPr>
        <w:jc w:val="both"/>
        <w:rPr>
          <w:b/>
          <w:u w:val="single"/>
        </w:rPr>
      </w:pPr>
      <w:r>
        <w:rPr>
          <w:b/>
        </w:rPr>
        <w:t xml:space="preserve">II.  </w:t>
      </w:r>
      <w:r>
        <w:rPr>
          <w:b/>
          <w:u w:val="single"/>
        </w:rPr>
        <w:t>MATERIAL LIMIT(S)</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Tr="003A6B80">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A6B80" w:rsidRPr="00294221" w:rsidTr="003A6B80">
        <w:trPr>
          <w:cantSplit/>
        </w:trPr>
        <w:tc>
          <w:tcPr>
            <w:tcW w:w="1626" w:type="dxa"/>
            <w:tcBorders>
              <w:top w:val="single" w:sz="4" w:space="0" w:color="auto"/>
              <w:left w:val="single" w:sz="4" w:space="0" w:color="auto"/>
              <w:bottom w:val="single" w:sz="4" w:space="0" w:color="auto"/>
              <w:right w:val="single" w:sz="4" w:space="0" w:color="auto"/>
            </w:tcBorders>
          </w:tcPr>
          <w:p w:rsidR="003A6B80" w:rsidRDefault="003A6B80" w:rsidP="003A6B80">
            <w:pPr>
              <w:ind w:left="360" w:hanging="360"/>
              <w:rPr>
                <w:sz w:val="20"/>
              </w:rPr>
            </w:pPr>
            <w:r>
              <w:rPr>
                <w:sz w:val="20"/>
              </w:rPr>
              <w:t xml:space="preserve">1. </w:t>
            </w:r>
            <w:r w:rsidR="006B1485">
              <w:rPr>
                <w:sz w:val="20"/>
              </w:rPr>
              <w:t xml:space="preserve"> </w:t>
            </w:r>
            <w:r>
              <w:rPr>
                <w:sz w:val="20"/>
              </w:rPr>
              <w:t xml:space="preserve">Water-based </w:t>
            </w:r>
          </w:p>
          <w:p w:rsidR="003A6B80" w:rsidRDefault="003A6B80" w:rsidP="003A6B80">
            <w:pPr>
              <w:ind w:left="360" w:hanging="360"/>
              <w:rPr>
                <w:sz w:val="20"/>
              </w:rPr>
            </w:pPr>
            <w:r>
              <w:rPr>
                <w:sz w:val="20"/>
              </w:rPr>
              <w:t xml:space="preserve">   </w:t>
            </w:r>
            <w:r w:rsidR="006B1485">
              <w:rPr>
                <w:sz w:val="20"/>
              </w:rPr>
              <w:t xml:space="preserve"> </w:t>
            </w:r>
            <w:r>
              <w:rPr>
                <w:sz w:val="20"/>
              </w:rPr>
              <w:t xml:space="preserve"> coating VOC</w:t>
            </w:r>
          </w:p>
          <w:p w:rsidR="003A6B80" w:rsidRPr="00095B77" w:rsidRDefault="003A6B80" w:rsidP="003A6B80">
            <w:pPr>
              <w:ind w:left="360" w:hanging="360"/>
              <w:rPr>
                <w:sz w:val="20"/>
              </w:rPr>
            </w:pPr>
            <w:r>
              <w:rPr>
                <w:sz w:val="20"/>
              </w:rPr>
              <w:t xml:space="preserve">  </w:t>
            </w:r>
            <w:r w:rsidR="006B1485">
              <w:rPr>
                <w:sz w:val="20"/>
              </w:rPr>
              <w:t xml:space="preserve"> </w:t>
            </w:r>
            <w:r>
              <w:rPr>
                <w:sz w:val="20"/>
              </w:rPr>
              <w:t xml:space="preserve">  content</w:t>
            </w:r>
          </w:p>
        </w:tc>
        <w:tc>
          <w:tcPr>
            <w:tcW w:w="1440"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1.3 pounds per gallon of coating (minus water as applied)</w:t>
            </w:r>
            <w:r w:rsidRPr="003A6B80">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rsidR="003A6B80" w:rsidRPr="00BD3DE3" w:rsidRDefault="003A6B80" w:rsidP="003A6B80">
            <w:pPr>
              <w:jc w:val="center"/>
              <w:rPr>
                <w:sz w:val="20"/>
              </w:rPr>
            </w:pPr>
            <w:r>
              <w:rPr>
                <w:sz w:val="20"/>
              </w:rPr>
              <w:t>EULINE9</w:t>
            </w:r>
          </w:p>
        </w:tc>
        <w:tc>
          <w:tcPr>
            <w:tcW w:w="1530" w:type="dxa"/>
            <w:tcBorders>
              <w:top w:val="single" w:sz="4" w:space="0" w:color="auto"/>
              <w:left w:val="single" w:sz="4" w:space="0" w:color="auto"/>
              <w:bottom w:val="single" w:sz="4" w:space="0" w:color="auto"/>
              <w:right w:val="single" w:sz="4" w:space="0" w:color="auto"/>
            </w:tcBorders>
          </w:tcPr>
          <w:p w:rsidR="00B8407C" w:rsidRDefault="003A6B80" w:rsidP="00B8407C">
            <w:pPr>
              <w:jc w:val="center"/>
              <w:rPr>
                <w:sz w:val="20"/>
              </w:rPr>
            </w:pPr>
            <w:r w:rsidRPr="00B8407C">
              <w:rPr>
                <w:sz w:val="20"/>
              </w:rPr>
              <w:t>S</w:t>
            </w:r>
            <w:r w:rsidR="00B8407C">
              <w:rPr>
                <w:sz w:val="20"/>
              </w:rPr>
              <w:t xml:space="preserve">C </w:t>
            </w:r>
            <w:r w:rsidRPr="00B8407C">
              <w:rPr>
                <w:sz w:val="20"/>
              </w:rPr>
              <w:t>VI</w:t>
            </w:r>
            <w:r w:rsidR="00B8407C">
              <w:rPr>
                <w:sz w:val="20"/>
              </w:rPr>
              <w:t>.1</w:t>
            </w:r>
          </w:p>
          <w:p w:rsidR="00B8407C" w:rsidRDefault="00B8407C" w:rsidP="00B8407C">
            <w:pPr>
              <w:jc w:val="center"/>
              <w:rPr>
                <w:sz w:val="20"/>
              </w:rPr>
            </w:pPr>
            <w:r>
              <w:rPr>
                <w:sz w:val="20"/>
              </w:rPr>
              <w:t>SC VI.2</w:t>
            </w:r>
          </w:p>
          <w:p w:rsidR="00B8407C" w:rsidRPr="00BD3DE3" w:rsidRDefault="00B8407C" w:rsidP="003A6B8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3A6B80" w:rsidRPr="003A6B80" w:rsidRDefault="003A6B80" w:rsidP="003A6B80">
            <w:pPr>
              <w:jc w:val="center"/>
              <w:rPr>
                <w:b/>
                <w:sz w:val="20"/>
              </w:rPr>
            </w:pPr>
            <w:r w:rsidRPr="003A6B80">
              <w:rPr>
                <w:b/>
                <w:sz w:val="20"/>
              </w:rPr>
              <w:t>R 336.1702</w:t>
            </w:r>
          </w:p>
        </w:tc>
      </w:tr>
      <w:tr w:rsidR="003A6B80" w:rsidRPr="00160779" w:rsidTr="003A6B80">
        <w:trPr>
          <w:cantSplit/>
        </w:trPr>
        <w:tc>
          <w:tcPr>
            <w:tcW w:w="1626" w:type="dxa"/>
            <w:tcBorders>
              <w:top w:val="single" w:sz="4" w:space="0" w:color="auto"/>
              <w:left w:val="single" w:sz="4" w:space="0" w:color="auto"/>
              <w:bottom w:val="single" w:sz="4" w:space="0" w:color="auto"/>
              <w:right w:val="single" w:sz="4" w:space="0" w:color="auto"/>
            </w:tcBorders>
          </w:tcPr>
          <w:p w:rsidR="003A6B80" w:rsidRDefault="003A6B80" w:rsidP="008F23BE">
            <w:pPr>
              <w:ind w:left="360" w:hanging="360"/>
              <w:rPr>
                <w:sz w:val="20"/>
              </w:rPr>
            </w:pPr>
            <w:r>
              <w:rPr>
                <w:sz w:val="20"/>
              </w:rPr>
              <w:t>2.</w:t>
            </w:r>
            <w:r w:rsidR="006B1485">
              <w:rPr>
                <w:sz w:val="20"/>
              </w:rPr>
              <w:t xml:space="preserve"> </w:t>
            </w:r>
            <w:r>
              <w:rPr>
                <w:sz w:val="20"/>
              </w:rPr>
              <w:t xml:space="preserve"> </w:t>
            </w:r>
            <w:r w:rsidR="008F23BE">
              <w:rPr>
                <w:sz w:val="20"/>
              </w:rPr>
              <w:t>E</w:t>
            </w:r>
            <w:r>
              <w:rPr>
                <w:sz w:val="20"/>
              </w:rPr>
              <w:t xml:space="preserve">ach </w:t>
            </w:r>
          </w:p>
          <w:p w:rsidR="003A6B80" w:rsidRDefault="003A6B80" w:rsidP="003A6B80">
            <w:pPr>
              <w:ind w:left="360" w:hanging="360"/>
              <w:rPr>
                <w:sz w:val="20"/>
              </w:rPr>
            </w:pPr>
            <w:r>
              <w:rPr>
                <w:sz w:val="20"/>
              </w:rPr>
              <w:t xml:space="preserve">   </w:t>
            </w:r>
            <w:r w:rsidR="006B1485">
              <w:rPr>
                <w:sz w:val="20"/>
              </w:rPr>
              <w:t xml:space="preserve"> </w:t>
            </w:r>
            <w:r>
              <w:rPr>
                <w:sz w:val="20"/>
              </w:rPr>
              <w:t xml:space="preserve"> thinner and /or </w:t>
            </w:r>
          </w:p>
          <w:p w:rsidR="003A6B80" w:rsidRDefault="003A6B80" w:rsidP="003A6B80">
            <w:pPr>
              <w:ind w:left="360" w:hanging="360"/>
              <w:rPr>
                <w:sz w:val="20"/>
              </w:rPr>
            </w:pPr>
            <w:r>
              <w:rPr>
                <w:sz w:val="20"/>
              </w:rPr>
              <w:t xml:space="preserve">  </w:t>
            </w:r>
            <w:r w:rsidR="006B1485">
              <w:rPr>
                <w:sz w:val="20"/>
              </w:rPr>
              <w:t xml:space="preserve"> </w:t>
            </w:r>
            <w:r>
              <w:rPr>
                <w:sz w:val="20"/>
              </w:rPr>
              <w:t xml:space="preserve">  additive </w:t>
            </w:r>
          </w:p>
        </w:tc>
        <w:tc>
          <w:tcPr>
            <w:tcW w:w="1440"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No organic HAP</w:t>
            </w:r>
            <w:r w:rsidR="00380BB9">
              <w:rPr>
                <w:sz w:val="20"/>
              </w:rPr>
              <w:t>*</w:t>
            </w:r>
          </w:p>
        </w:tc>
        <w:tc>
          <w:tcPr>
            <w:tcW w:w="2245"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EULINE9</w:t>
            </w:r>
          </w:p>
          <w:p w:rsidR="008F23BE" w:rsidRPr="008F23BE" w:rsidRDefault="008F23BE" w:rsidP="008F23BE">
            <w:pPr>
              <w:jc w:val="center"/>
              <w:rPr>
                <w:sz w:val="20"/>
              </w:rPr>
            </w:pPr>
            <w:r w:rsidRPr="008F23BE">
              <w:rPr>
                <w:sz w:val="20"/>
              </w:rPr>
              <w:t xml:space="preserve">when using </w:t>
            </w:r>
          </w:p>
          <w:p w:rsidR="008F23BE" w:rsidRDefault="008F23BE" w:rsidP="008F23BE">
            <w:pPr>
              <w:jc w:val="center"/>
              <w:rPr>
                <w:sz w:val="20"/>
              </w:rPr>
            </w:pPr>
            <w:r w:rsidRPr="008F23BE">
              <w:rPr>
                <w:sz w:val="20"/>
              </w:rPr>
              <w:t>Compliant Material Option</w:t>
            </w:r>
          </w:p>
        </w:tc>
        <w:tc>
          <w:tcPr>
            <w:tcW w:w="1530" w:type="dxa"/>
            <w:tcBorders>
              <w:top w:val="single" w:sz="4" w:space="0" w:color="auto"/>
              <w:left w:val="single" w:sz="4" w:space="0" w:color="auto"/>
              <w:bottom w:val="single" w:sz="4" w:space="0" w:color="auto"/>
              <w:right w:val="single" w:sz="4" w:space="0" w:color="auto"/>
            </w:tcBorders>
          </w:tcPr>
          <w:p w:rsidR="00B8407C" w:rsidRDefault="003A6B80" w:rsidP="003A6B80">
            <w:pPr>
              <w:jc w:val="center"/>
              <w:rPr>
                <w:sz w:val="20"/>
              </w:rPr>
            </w:pPr>
            <w:r w:rsidRPr="002B1EA9">
              <w:rPr>
                <w:sz w:val="20"/>
              </w:rPr>
              <w:t>S</w:t>
            </w:r>
            <w:r w:rsidR="00B8407C">
              <w:rPr>
                <w:sz w:val="20"/>
              </w:rPr>
              <w:t>C</w:t>
            </w:r>
            <w:r w:rsidRPr="002B1EA9">
              <w:rPr>
                <w:sz w:val="20"/>
              </w:rPr>
              <w:t xml:space="preserve"> VI.4</w:t>
            </w:r>
          </w:p>
          <w:p w:rsidR="00B8407C" w:rsidRDefault="00B8407C" w:rsidP="003A6B80">
            <w:pPr>
              <w:jc w:val="center"/>
              <w:rPr>
                <w:sz w:val="20"/>
              </w:rPr>
            </w:pPr>
            <w:r>
              <w:rPr>
                <w:sz w:val="20"/>
              </w:rPr>
              <w:t xml:space="preserve">SC </w:t>
            </w:r>
            <w:r w:rsidR="003A6B80" w:rsidRPr="002B1EA9">
              <w:rPr>
                <w:sz w:val="20"/>
              </w:rPr>
              <w:t>VI.</w:t>
            </w:r>
            <w:r>
              <w:rPr>
                <w:sz w:val="20"/>
              </w:rPr>
              <w:t>5</w:t>
            </w:r>
          </w:p>
          <w:p w:rsidR="00B8407C" w:rsidRDefault="00B8407C" w:rsidP="003A6B80">
            <w:pPr>
              <w:jc w:val="center"/>
              <w:rPr>
                <w:sz w:val="20"/>
              </w:rPr>
            </w:pPr>
            <w:r>
              <w:rPr>
                <w:sz w:val="20"/>
              </w:rPr>
              <w:t xml:space="preserve">SC </w:t>
            </w:r>
            <w:r w:rsidR="003A6B80" w:rsidRPr="002B1EA9">
              <w:rPr>
                <w:sz w:val="20"/>
              </w:rPr>
              <w:t>VI.6</w:t>
            </w:r>
          </w:p>
          <w:p w:rsidR="003A6B80" w:rsidRPr="00B6542F" w:rsidRDefault="00B8407C" w:rsidP="003A6B80">
            <w:pPr>
              <w:jc w:val="center"/>
              <w:rPr>
                <w:sz w:val="20"/>
              </w:rPr>
            </w:pPr>
            <w:r>
              <w:rPr>
                <w:sz w:val="20"/>
              </w:rPr>
              <w:t>SC</w:t>
            </w:r>
            <w:r w:rsidR="003A6B80" w:rsidRPr="002B1EA9">
              <w:rPr>
                <w:sz w:val="20"/>
              </w:rPr>
              <w:t xml:space="preserve"> VI.8</w:t>
            </w:r>
          </w:p>
        </w:tc>
        <w:tc>
          <w:tcPr>
            <w:tcW w:w="1530" w:type="dxa"/>
            <w:tcBorders>
              <w:top w:val="single" w:sz="4" w:space="0" w:color="auto"/>
              <w:left w:val="single" w:sz="4" w:space="0" w:color="auto"/>
              <w:bottom w:val="single" w:sz="4" w:space="0" w:color="auto"/>
              <w:right w:val="single" w:sz="4" w:space="0" w:color="auto"/>
            </w:tcBorders>
          </w:tcPr>
          <w:p w:rsidR="003A6B80" w:rsidRPr="003A6B80" w:rsidRDefault="003A6B80" w:rsidP="003A6B80">
            <w:pPr>
              <w:jc w:val="center"/>
              <w:rPr>
                <w:b/>
                <w:sz w:val="20"/>
              </w:rPr>
            </w:pPr>
            <w:r w:rsidRPr="003A6B80">
              <w:rPr>
                <w:b/>
                <w:sz w:val="20"/>
              </w:rPr>
              <w:t>40 CFR 63.3891(a)</w:t>
            </w:r>
          </w:p>
        </w:tc>
      </w:tr>
      <w:tr w:rsidR="003A6B80" w:rsidRPr="00160779" w:rsidTr="003A6B80">
        <w:trPr>
          <w:cantSplit/>
        </w:trPr>
        <w:tc>
          <w:tcPr>
            <w:tcW w:w="1626" w:type="dxa"/>
            <w:tcBorders>
              <w:top w:val="single" w:sz="4" w:space="0" w:color="auto"/>
              <w:left w:val="single" w:sz="4" w:space="0" w:color="auto"/>
              <w:bottom w:val="single" w:sz="4" w:space="0" w:color="auto"/>
              <w:right w:val="single" w:sz="4" w:space="0" w:color="auto"/>
            </w:tcBorders>
          </w:tcPr>
          <w:p w:rsidR="003A6B80" w:rsidRDefault="003A6B80" w:rsidP="008F23BE">
            <w:pPr>
              <w:ind w:left="360" w:hanging="360"/>
              <w:rPr>
                <w:sz w:val="20"/>
              </w:rPr>
            </w:pPr>
            <w:r>
              <w:rPr>
                <w:sz w:val="20"/>
              </w:rPr>
              <w:t>3.</w:t>
            </w:r>
            <w:r w:rsidR="006B1485">
              <w:rPr>
                <w:sz w:val="20"/>
              </w:rPr>
              <w:t xml:space="preserve"> </w:t>
            </w:r>
            <w:r>
              <w:rPr>
                <w:sz w:val="20"/>
              </w:rPr>
              <w:t xml:space="preserve"> </w:t>
            </w:r>
            <w:r w:rsidR="008F23BE">
              <w:rPr>
                <w:sz w:val="20"/>
              </w:rPr>
              <w:t>E</w:t>
            </w:r>
            <w:r>
              <w:rPr>
                <w:sz w:val="20"/>
              </w:rPr>
              <w:t xml:space="preserve">ach </w:t>
            </w:r>
          </w:p>
          <w:p w:rsidR="003A6B80" w:rsidRDefault="003A6B80" w:rsidP="003A6B80">
            <w:pPr>
              <w:ind w:left="360" w:hanging="360"/>
              <w:rPr>
                <w:sz w:val="20"/>
              </w:rPr>
            </w:pPr>
            <w:r>
              <w:rPr>
                <w:sz w:val="20"/>
              </w:rPr>
              <w:t xml:space="preserve">   </w:t>
            </w:r>
            <w:r w:rsidR="006B1485">
              <w:rPr>
                <w:sz w:val="20"/>
              </w:rPr>
              <w:t xml:space="preserve"> </w:t>
            </w:r>
            <w:r>
              <w:rPr>
                <w:sz w:val="20"/>
              </w:rPr>
              <w:t xml:space="preserve"> Cleaning </w:t>
            </w:r>
          </w:p>
          <w:p w:rsidR="003A6B80" w:rsidRDefault="003A6B80" w:rsidP="003A6B80">
            <w:pPr>
              <w:ind w:left="360" w:hanging="360"/>
              <w:rPr>
                <w:sz w:val="20"/>
              </w:rPr>
            </w:pPr>
            <w:r>
              <w:rPr>
                <w:sz w:val="20"/>
              </w:rPr>
              <w:t xml:space="preserve">   </w:t>
            </w:r>
            <w:r w:rsidR="006B1485">
              <w:rPr>
                <w:sz w:val="20"/>
              </w:rPr>
              <w:t xml:space="preserve"> </w:t>
            </w:r>
            <w:r>
              <w:rPr>
                <w:sz w:val="20"/>
              </w:rPr>
              <w:t xml:space="preserve"> material </w:t>
            </w:r>
          </w:p>
        </w:tc>
        <w:tc>
          <w:tcPr>
            <w:tcW w:w="1440"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No Organic HAP</w:t>
            </w:r>
            <w:r w:rsidR="00380BB9">
              <w:rPr>
                <w:sz w:val="20"/>
              </w:rPr>
              <w:t>*</w:t>
            </w:r>
          </w:p>
        </w:tc>
        <w:tc>
          <w:tcPr>
            <w:tcW w:w="2245"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rsidR="003A6B80" w:rsidRDefault="003A6B80" w:rsidP="003A6B80">
            <w:pPr>
              <w:jc w:val="center"/>
              <w:rPr>
                <w:sz w:val="20"/>
              </w:rPr>
            </w:pPr>
            <w:r>
              <w:rPr>
                <w:sz w:val="20"/>
              </w:rPr>
              <w:t>EULINE9</w:t>
            </w:r>
          </w:p>
          <w:p w:rsidR="008F23BE" w:rsidRPr="008F23BE" w:rsidRDefault="008F23BE" w:rsidP="008F23BE">
            <w:pPr>
              <w:jc w:val="center"/>
              <w:rPr>
                <w:sz w:val="20"/>
              </w:rPr>
            </w:pPr>
            <w:r w:rsidRPr="008F23BE">
              <w:rPr>
                <w:sz w:val="20"/>
              </w:rPr>
              <w:t xml:space="preserve">when using </w:t>
            </w:r>
          </w:p>
          <w:p w:rsidR="008F23BE" w:rsidRDefault="008F23BE" w:rsidP="008F23BE">
            <w:pPr>
              <w:jc w:val="center"/>
              <w:rPr>
                <w:sz w:val="20"/>
              </w:rPr>
            </w:pPr>
            <w:r w:rsidRPr="008F23BE">
              <w:rPr>
                <w:sz w:val="20"/>
              </w:rPr>
              <w:t>Compliant Material Option</w:t>
            </w:r>
          </w:p>
        </w:tc>
        <w:tc>
          <w:tcPr>
            <w:tcW w:w="1530" w:type="dxa"/>
            <w:tcBorders>
              <w:top w:val="single" w:sz="4" w:space="0" w:color="auto"/>
              <w:left w:val="single" w:sz="4" w:space="0" w:color="auto"/>
              <w:bottom w:val="single" w:sz="4" w:space="0" w:color="auto"/>
              <w:right w:val="single" w:sz="4" w:space="0" w:color="auto"/>
            </w:tcBorders>
          </w:tcPr>
          <w:p w:rsidR="00B8407C" w:rsidRDefault="00B8407C" w:rsidP="003A6B80">
            <w:pPr>
              <w:jc w:val="center"/>
              <w:rPr>
                <w:sz w:val="20"/>
              </w:rPr>
            </w:pPr>
            <w:r>
              <w:rPr>
                <w:sz w:val="20"/>
              </w:rPr>
              <w:t xml:space="preserve">SC </w:t>
            </w:r>
            <w:r w:rsidR="003A6B80" w:rsidRPr="002B1EA9">
              <w:rPr>
                <w:sz w:val="20"/>
              </w:rPr>
              <w:t>VI.4</w:t>
            </w:r>
          </w:p>
          <w:p w:rsidR="00B8407C" w:rsidRDefault="00B8407C" w:rsidP="003A6B80">
            <w:pPr>
              <w:jc w:val="center"/>
              <w:rPr>
                <w:sz w:val="20"/>
              </w:rPr>
            </w:pPr>
            <w:r>
              <w:rPr>
                <w:sz w:val="20"/>
              </w:rPr>
              <w:t xml:space="preserve">SC </w:t>
            </w:r>
            <w:r w:rsidR="003A6B80" w:rsidRPr="002B1EA9">
              <w:rPr>
                <w:sz w:val="20"/>
              </w:rPr>
              <w:t>VI.5</w:t>
            </w:r>
          </w:p>
          <w:p w:rsidR="00B8407C" w:rsidRDefault="00B8407C" w:rsidP="003A6B80">
            <w:pPr>
              <w:jc w:val="center"/>
              <w:rPr>
                <w:sz w:val="20"/>
              </w:rPr>
            </w:pPr>
            <w:r>
              <w:rPr>
                <w:sz w:val="20"/>
              </w:rPr>
              <w:t xml:space="preserve">SC </w:t>
            </w:r>
            <w:r w:rsidR="003A6B80" w:rsidRPr="002B1EA9">
              <w:rPr>
                <w:sz w:val="20"/>
              </w:rPr>
              <w:t>VI.6</w:t>
            </w:r>
          </w:p>
          <w:p w:rsidR="003A6B80" w:rsidRPr="00B6542F" w:rsidRDefault="00B8407C" w:rsidP="003A6B80">
            <w:pPr>
              <w:jc w:val="center"/>
              <w:rPr>
                <w:sz w:val="20"/>
              </w:rPr>
            </w:pPr>
            <w:r>
              <w:rPr>
                <w:sz w:val="20"/>
              </w:rPr>
              <w:t>SC</w:t>
            </w:r>
            <w:r w:rsidR="003A6B80" w:rsidRPr="002B1EA9">
              <w:rPr>
                <w:sz w:val="20"/>
              </w:rPr>
              <w:t xml:space="preserve"> VI.8</w:t>
            </w:r>
          </w:p>
        </w:tc>
        <w:tc>
          <w:tcPr>
            <w:tcW w:w="1530" w:type="dxa"/>
            <w:tcBorders>
              <w:top w:val="single" w:sz="4" w:space="0" w:color="auto"/>
              <w:left w:val="single" w:sz="4" w:space="0" w:color="auto"/>
              <w:bottom w:val="single" w:sz="4" w:space="0" w:color="auto"/>
              <w:right w:val="single" w:sz="4" w:space="0" w:color="auto"/>
            </w:tcBorders>
          </w:tcPr>
          <w:p w:rsidR="003A6B80" w:rsidRPr="003A6B80" w:rsidRDefault="003A6B80" w:rsidP="003A6B80">
            <w:pPr>
              <w:jc w:val="center"/>
              <w:rPr>
                <w:b/>
                <w:sz w:val="20"/>
              </w:rPr>
            </w:pPr>
            <w:r w:rsidRPr="003A6B80">
              <w:rPr>
                <w:b/>
                <w:sz w:val="20"/>
              </w:rPr>
              <w:t>40 CFR 63.3891(a)</w:t>
            </w:r>
          </w:p>
        </w:tc>
      </w:tr>
    </w:tbl>
    <w:p w:rsidR="00380BB9" w:rsidRPr="00380BB9" w:rsidRDefault="00380BB9" w:rsidP="00380BB9">
      <w:pPr>
        <w:jc w:val="both"/>
        <w:rPr>
          <w:sz w:val="20"/>
        </w:rPr>
      </w:pPr>
      <w:r w:rsidRPr="00380BB9">
        <w:rPr>
          <w:sz w:val="20"/>
        </w:rPr>
        <w:t>* Determined according to 40 CFR 63.3941(a)</w:t>
      </w:r>
    </w:p>
    <w:p w:rsidR="00494D15" w:rsidRPr="00FE0AD0" w:rsidRDefault="00494D15" w:rsidP="00F62984">
      <w:pPr>
        <w:jc w:val="both"/>
        <w:rPr>
          <w:sz w:val="20"/>
        </w:rPr>
      </w:pPr>
    </w:p>
    <w:p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AE1D84" w:rsidRPr="00984760" w:rsidRDefault="003A6B80" w:rsidP="003A6B80">
      <w:pPr>
        <w:jc w:val="both"/>
        <w:rPr>
          <w:sz w:val="20"/>
        </w:rPr>
      </w:pPr>
      <w:r>
        <w:rPr>
          <w:sz w:val="20"/>
        </w:rPr>
        <w:t>NA</w:t>
      </w:r>
    </w:p>
    <w:p w:rsidR="00AE1D84" w:rsidRPr="00FB6071" w:rsidRDefault="00AE1D84" w:rsidP="00F62984">
      <w:pPr>
        <w:jc w:val="both"/>
        <w:rPr>
          <w:sz w:val="20"/>
        </w:rPr>
      </w:pPr>
    </w:p>
    <w:p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rsidR="00AE1D84" w:rsidRPr="00573DEA" w:rsidRDefault="00AE1D84" w:rsidP="00F62984">
      <w:pPr>
        <w:jc w:val="both"/>
        <w:rPr>
          <w:sz w:val="20"/>
        </w:rPr>
      </w:pPr>
    </w:p>
    <w:p w:rsidR="00AE1D84" w:rsidRPr="00984760" w:rsidRDefault="003A6B80" w:rsidP="003A6B80">
      <w:pPr>
        <w:jc w:val="both"/>
        <w:rPr>
          <w:sz w:val="20"/>
        </w:rPr>
      </w:pPr>
      <w:r>
        <w:rPr>
          <w:sz w:val="20"/>
        </w:rPr>
        <w:t>NA</w:t>
      </w:r>
    </w:p>
    <w:p w:rsidR="00AE1D84" w:rsidRPr="00FE0AD0" w:rsidRDefault="00AE1D84" w:rsidP="00F62984">
      <w:pPr>
        <w:jc w:val="both"/>
        <w:rPr>
          <w:sz w:val="20"/>
        </w:rPr>
      </w:pPr>
    </w:p>
    <w:p w:rsidR="00AE1D84" w:rsidRPr="00887915" w:rsidRDefault="00AE1D84" w:rsidP="00F62984">
      <w:pPr>
        <w:jc w:val="both"/>
        <w:rPr>
          <w:b/>
          <w:u w:val="single"/>
          <w:vertAlign w:val="superscript"/>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ind w:right="72"/>
        <w:jc w:val="both"/>
        <w:rPr>
          <w:rFonts w:cs="Arial"/>
          <w:sz w:val="20"/>
        </w:rPr>
      </w:pPr>
    </w:p>
    <w:p w:rsidR="003A6B80" w:rsidRPr="003A6B80" w:rsidRDefault="00CF07B9" w:rsidP="00FE3CC4">
      <w:pPr>
        <w:numPr>
          <w:ilvl w:val="0"/>
          <w:numId w:val="36"/>
        </w:numPr>
        <w:contextualSpacing/>
        <w:jc w:val="both"/>
        <w:rPr>
          <w:b/>
          <w:sz w:val="20"/>
        </w:rPr>
      </w:pPr>
      <w:r>
        <w:rPr>
          <w:sz w:val="20"/>
        </w:rPr>
        <w:t>M</w:t>
      </w:r>
      <w:r w:rsidR="003A6B80" w:rsidRPr="003A6B80">
        <w:rPr>
          <w:sz w:val="20"/>
        </w:rPr>
        <w:t>onthly testing of coating, as applie</w:t>
      </w:r>
      <w:r>
        <w:rPr>
          <w:sz w:val="20"/>
        </w:rPr>
        <w:t>d,</w:t>
      </w:r>
      <w:r w:rsidR="003A6B80" w:rsidRPr="003A6B80">
        <w:rPr>
          <w:sz w:val="20"/>
        </w:rPr>
        <w:t xml:space="preserve"> using Method 24 analysis or an alternative method approved by the District Supervisor.</w:t>
      </w:r>
      <w:r>
        <w:rPr>
          <w:sz w:val="20"/>
          <w:vertAlign w:val="superscript"/>
        </w:rPr>
        <w:t>2</w:t>
      </w:r>
      <w:r w:rsidR="003A6B80" w:rsidRPr="003A6B80">
        <w:rPr>
          <w:sz w:val="20"/>
        </w:rPr>
        <w:t xml:space="preserve">  </w:t>
      </w:r>
      <w:r w:rsidR="003A6B80" w:rsidRPr="003A6B80">
        <w:rPr>
          <w:b/>
          <w:sz w:val="20"/>
        </w:rPr>
        <w:t>(R 336.1702)</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F07B9" w:rsidRDefault="00CF07B9" w:rsidP="00F62984">
      <w:pPr>
        <w:jc w:val="both"/>
        <w:rPr>
          <w:b/>
          <w:sz w:val="20"/>
        </w:rPr>
      </w:pPr>
    </w:p>
    <w:p w:rsidR="003A6B80" w:rsidRPr="003A6B80" w:rsidRDefault="003A6B80" w:rsidP="003A6B80">
      <w:pPr>
        <w:numPr>
          <w:ilvl w:val="12"/>
          <w:numId w:val="0"/>
        </w:numPr>
        <w:ind w:left="360" w:hanging="360"/>
        <w:jc w:val="both"/>
        <w:rPr>
          <w:rFonts w:cs="Arial"/>
          <w:b/>
          <w:sz w:val="20"/>
        </w:rPr>
      </w:pPr>
      <w:r w:rsidRPr="003A6B80">
        <w:rPr>
          <w:rFonts w:cs="Arial"/>
          <w:sz w:val="20"/>
        </w:rPr>
        <w:t>1.</w:t>
      </w:r>
      <w:r w:rsidRPr="003A6B80">
        <w:rPr>
          <w:rFonts w:cs="Arial"/>
          <w:sz w:val="20"/>
        </w:rPr>
        <w:tab/>
        <w:t>The permittee shall maintain a current listing of the chemical composition of each coating, reducer, resin feed, pigment paste and cleaner, based upon manufacturer's formulation data, Material Safety Data Sheets, or both, including the weight percentage of each compound.</w:t>
      </w:r>
      <w:r w:rsidR="00C80B80">
        <w:rPr>
          <w:rFonts w:cs="Arial"/>
          <w:sz w:val="20"/>
          <w:vertAlign w:val="superscript"/>
        </w:rPr>
        <w:t>2</w:t>
      </w:r>
      <w:r w:rsidRPr="003A6B80">
        <w:rPr>
          <w:rFonts w:cs="Arial"/>
          <w:sz w:val="20"/>
        </w:rPr>
        <w:t xml:space="preserve">  </w:t>
      </w:r>
      <w:r w:rsidRPr="003A6B80">
        <w:rPr>
          <w:rFonts w:cs="Arial"/>
          <w:b/>
          <w:sz w:val="20"/>
        </w:rPr>
        <w:t>(R 336.1225, R 336.1702, R 336.1901)</w:t>
      </w:r>
    </w:p>
    <w:p w:rsidR="003A6B80" w:rsidRPr="003A6B80" w:rsidRDefault="003A6B80" w:rsidP="003A6B80">
      <w:pPr>
        <w:tabs>
          <w:tab w:val="left" w:pos="4950"/>
        </w:tabs>
        <w:jc w:val="both"/>
        <w:rPr>
          <w:rFonts w:cs="Arial"/>
          <w:sz w:val="20"/>
        </w:rPr>
      </w:pPr>
    </w:p>
    <w:p w:rsidR="003A6B80" w:rsidRPr="003A6B80" w:rsidRDefault="003A6B80" w:rsidP="00C80B80">
      <w:pPr>
        <w:numPr>
          <w:ilvl w:val="12"/>
          <w:numId w:val="0"/>
        </w:numPr>
        <w:ind w:left="360" w:hanging="360"/>
        <w:jc w:val="both"/>
        <w:rPr>
          <w:rFonts w:cs="Arial"/>
          <w:sz w:val="20"/>
        </w:rPr>
      </w:pPr>
      <w:r w:rsidRPr="003A6B80">
        <w:rPr>
          <w:rFonts w:cs="Arial"/>
          <w:sz w:val="20"/>
        </w:rPr>
        <w:t>2.</w:t>
      </w:r>
      <w:r w:rsidRPr="003A6B80">
        <w:rPr>
          <w:rFonts w:cs="Arial"/>
          <w:sz w:val="20"/>
        </w:rPr>
        <w:tab/>
        <w:t>The permittee shall keep a separate record for each calendar month of the following:</w:t>
      </w:r>
    </w:p>
    <w:p w:rsidR="003A6B80" w:rsidRPr="003A6B80" w:rsidRDefault="003A6B80" w:rsidP="00FE3CC4">
      <w:pPr>
        <w:numPr>
          <w:ilvl w:val="0"/>
          <w:numId w:val="37"/>
        </w:numPr>
        <w:jc w:val="both"/>
        <w:rPr>
          <w:rFonts w:cs="Arial"/>
          <w:sz w:val="20"/>
        </w:rPr>
      </w:pPr>
      <w:r w:rsidRPr="003A6B80">
        <w:rPr>
          <w:rFonts w:cs="Arial"/>
          <w:sz w:val="20"/>
        </w:rPr>
        <w:t xml:space="preserve">Number of gallons (including water) of each material used </w:t>
      </w:r>
    </w:p>
    <w:p w:rsidR="003A6B80" w:rsidRPr="003A6B80" w:rsidRDefault="003A6B80" w:rsidP="00FE3CC4">
      <w:pPr>
        <w:numPr>
          <w:ilvl w:val="0"/>
          <w:numId w:val="37"/>
        </w:numPr>
        <w:jc w:val="both"/>
        <w:rPr>
          <w:rFonts w:cs="Arial"/>
          <w:sz w:val="20"/>
        </w:rPr>
      </w:pPr>
      <w:r w:rsidRPr="003A6B80">
        <w:rPr>
          <w:rFonts w:cs="Arial"/>
          <w:sz w:val="20"/>
        </w:rPr>
        <w:t>Densities of coatings (lb/gal) including water</w:t>
      </w:r>
    </w:p>
    <w:p w:rsidR="003A6B80" w:rsidRPr="003A6B80" w:rsidRDefault="003A6B80" w:rsidP="00FE3CC4">
      <w:pPr>
        <w:numPr>
          <w:ilvl w:val="0"/>
          <w:numId w:val="37"/>
        </w:numPr>
        <w:jc w:val="both"/>
        <w:rPr>
          <w:rFonts w:cs="Arial"/>
          <w:sz w:val="20"/>
        </w:rPr>
      </w:pPr>
      <w:r w:rsidRPr="003A6B80">
        <w:rPr>
          <w:rFonts w:cs="Arial"/>
          <w:sz w:val="20"/>
        </w:rPr>
        <w:t>VOC Content (Wt-% or lb/gal) of each material including water, as received</w:t>
      </w:r>
    </w:p>
    <w:p w:rsidR="003A6B80" w:rsidRPr="003A6B80" w:rsidRDefault="003A6B80" w:rsidP="00FE3CC4">
      <w:pPr>
        <w:numPr>
          <w:ilvl w:val="0"/>
          <w:numId w:val="37"/>
        </w:numPr>
        <w:jc w:val="both"/>
        <w:rPr>
          <w:rFonts w:cs="Arial"/>
          <w:sz w:val="20"/>
        </w:rPr>
      </w:pPr>
      <w:r w:rsidRPr="003A6B80">
        <w:rPr>
          <w:rFonts w:cs="Arial"/>
          <w:sz w:val="20"/>
        </w:rPr>
        <w:t xml:space="preserve">VOC content in lb/gal of coating, minus water, as applied </w:t>
      </w:r>
    </w:p>
    <w:p w:rsidR="003A6B80" w:rsidRPr="003A6B80" w:rsidRDefault="003A6B80" w:rsidP="00FE3CC4">
      <w:pPr>
        <w:numPr>
          <w:ilvl w:val="0"/>
          <w:numId w:val="37"/>
        </w:numPr>
        <w:jc w:val="both"/>
        <w:rPr>
          <w:rFonts w:cs="Arial"/>
          <w:sz w:val="20"/>
        </w:rPr>
      </w:pPr>
      <w:r w:rsidRPr="003A6B80">
        <w:rPr>
          <w:rFonts w:cs="Arial"/>
          <w:sz w:val="20"/>
        </w:rPr>
        <w:t>Monthly reducer usage in gallons (if any)</w:t>
      </w:r>
    </w:p>
    <w:p w:rsidR="003A6B80" w:rsidRPr="003A6B80" w:rsidRDefault="003A6B80" w:rsidP="00FE3CC4">
      <w:pPr>
        <w:numPr>
          <w:ilvl w:val="0"/>
          <w:numId w:val="37"/>
        </w:numPr>
        <w:jc w:val="both"/>
        <w:rPr>
          <w:rFonts w:cs="Arial"/>
          <w:sz w:val="20"/>
        </w:rPr>
      </w:pPr>
      <w:r w:rsidRPr="003A6B80">
        <w:rPr>
          <w:rFonts w:cs="Arial"/>
          <w:sz w:val="20"/>
        </w:rPr>
        <w:t xml:space="preserve">VOC content of reducer in lb/gal </w:t>
      </w:r>
    </w:p>
    <w:p w:rsidR="003A6B80" w:rsidRPr="00C80B80" w:rsidRDefault="003A6B80" w:rsidP="00FE3CC4">
      <w:pPr>
        <w:numPr>
          <w:ilvl w:val="0"/>
          <w:numId w:val="37"/>
        </w:numPr>
        <w:jc w:val="both"/>
        <w:rPr>
          <w:rFonts w:cs="Arial"/>
          <w:b/>
          <w:sz w:val="20"/>
        </w:rPr>
      </w:pPr>
      <w:r w:rsidRPr="003A6B80">
        <w:rPr>
          <w:rFonts w:cs="Arial"/>
          <w:sz w:val="20"/>
        </w:rPr>
        <w:lastRenderedPageBreak/>
        <w:t>Number of operating hours, based upon days of operation</w:t>
      </w:r>
      <w:r w:rsidR="00C80B80">
        <w:rPr>
          <w:rFonts w:cs="Arial"/>
          <w:sz w:val="20"/>
          <w:vertAlign w:val="superscript"/>
        </w:rPr>
        <w:t>2</w:t>
      </w:r>
      <w:r w:rsidR="00C80B80">
        <w:rPr>
          <w:rFonts w:cs="Arial"/>
          <w:b/>
          <w:sz w:val="20"/>
        </w:rPr>
        <w:t xml:space="preserve">  </w:t>
      </w:r>
      <w:r w:rsidR="00C80B80" w:rsidRPr="00C80B80">
        <w:rPr>
          <w:rFonts w:cs="Arial"/>
          <w:b/>
          <w:sz w:val="20"/>
        </w:rPr>
        <w:t>(R 336.1702, R 336.1901)</w:t>
      </w:r>
    </w:p>
    <w:p w:rsidR="003A6B80" w:rsidRPr="003A6B80" w:rsidRDefault="003A6B80" w:rsidP="003A6B80">
      <w:pPr>
        <w:ind w:left="540" w:hanging="540"/>
        <w:jc w:val="both"/>
        <w:rPr>
          <w:rFonts w:cs="Arial"/>
          <w:color w:val="000000"/>
          <w:sz w:val="20"/>
        </w:rPr>
      </w:pPr>
    </w:p>
    <w:p w:rsidR="003A6B80" w:rsidRPr="003A6B80" w:rsidRDefault="003A6B80" w:rsidP="00C80B80">
      <w:pPr>
        <w:numPr>
          <w:ilvl w:val="12"/>
          <w:numId w:val="0"/>
        </w:numPr>
        <w:ind w:left="360" w:hanging="360"/>
        <w:jc w:val="both"/>
        <w:rPr>
          <w:rFonts w:cs="Arial"/>
          <w:sz w:val="20"/>
        </w:rPr>
      </w:pPr>
      <w:r w:rsidRPr="003A6B80">
        <w:rPr>
          <w:rFonts w:cs="Arial"/>
          <w:sz w:val="20"/>
        </w:rPr>
        <w:t>3.</w:t>
      </w:r>
      <w:r w:rsidRPr="003A6B80">
        <w:rPr>
          <w:rFonts w:cs="Arial"/>
          <w:sz w:val="20"/>
        </w:rPr>
        <w:tab/>
        <w:t xml:space="preserve">The permittee shall calculate the following for each calendar month, using the method detailed in Appendix 7, or an alternate method approved by the District Supervisor:  </w:t>
      </w:r>
    </w:p>
    <w:p w:rsidR="003A6B80" w:rsidRPr="003A6B80" w:rsidRDefault="003A6B80" w:rsidP="00FE3CC4">
      <w:pPr>
        <w:numPr>
          <w:ilvl w:val="0"/>
          <w:numId w:val="38"/>
        </w:numPr>
        <w:tabs>
          <w:tab w:val="clear" w:pos="1080"/>
          <w:tab w:val="num" w:pos="0"/>
        </w:tabs>
        <w:ind w:left="720"/>
        <w:jc w:val="both"/>
        <w:rPr>
          <w:rFonts w:cs="Arial"/>
          <w:sz w:val="20"/>
        </w:rPr>
      </w:pPr>
      <w:r w:rsidRPr="003A6B80">
        <w:rPr>
          <w:rFonts w:cs="Arial"/>
          <w:sz w:val="20"/>
        </w:rPr>
        <w:t>Average hourly VOC emission rate in lb/hr</w:t>
      </w:r>
    </w:p>
    <w:p w:rsidR="003A6B80" w:rsidRPr="003A6B80" w:rsidRDefault="003A6B80" w:rsidP="00FE3CC4">
      <w:pPr>
        <w:numPr>
          <w:ilvl w:val="0"/>
          <w:numId w:val="38"/>
        </w:numPr>
        <w:tabs>
          <w:tab w:val="clear" w:pos="1080"/>
          <w:tab w:val="num" w:pos="0"/>
        </w:tabs>
        <w:ind w:left="720"/>
        <w:jc w:val="both"/>
        <w:rPr>
          <w:rFonts w:cs="Arial"/>
          <w:sz w:val="20"/>
        </w:rPr>
      </w:pPr>
      <w:r w:rsidRPr="003A6B80">
        <w:rPr>
          <w:rFonts w:cs="Arial"/>
          <w:sz w:val="20"/>
        </w:rPr>
        <w:t>A calendar month VOC emission rate in tons per month</w:t>
      </w:r>
    </w:p>
    <w:p w:rsidR="003A6B80" w:rsidRPr="003A6B80" w:rsidRDefault="003A6B80" w:rsidP="00FE3CC4">
      <w:pPr>
        <w:numPr>
          <w:ilvl w:val="0"/>
          <w:numId w:val="38"/>
        </w:numPr>
        <w:tabs>
          <w:tab w:val="clear" w:pos="1080"/>
          <w:tab w:val="num" w:pos="0"/>
        </w:tabs>
        <w:ind w:left="720"/>
        <w:jc w:val="both"/>
        <w:rPr>
          <w:rFonts w:cs="Arial"/>
          <w:sz w:val="20"/>
        </w:rPr>
      </w:pPr>
      <w:r w:rsidRPr="003A6B80">
        <w:rPr>
          <w:rFonts w:cs="Arial"/>
          <w:sz w:val="20"/>
        </w:rPr>
        <w:t>Annual VOC emission rate, based on a 12-month rolling time period, in tons per year</w:t>
      </w:r>
      <w:r w:rsidR="00C80B80">
        <w:rPr>
          <w:rFonts w:cs="Arial"/>
          <w:sz w:val="20"/>
          <w:vertAlign w:val="superscript"/>
        </w:rPr>
        <w:t>2</w:t>
      </w:r>
      <w:r w:rsidR="00C80B80">
        <w:rPr>
          <w:rFonts w:cs="Arial"/>
          <w:sz w:val="20"/>
        </w:rPr>
        <w:t xml:space="preserve">  </w:t>
      </w:r>
      <w:r w:rsidR="00C80B80" w:rsidRPr="00C80B80">
        <w:rPr>
          <w:rFonts w:cs="Arial"/>
          <w:b/>
          <w:sz w:val="20"/>
        </w:rPr>
        <w:t>(R 336.1702, R</w:t>
      </w:r>
      <w:r w:rsidR="006B1485">
        <w:rPr>
          <w:rFonts w:cs="Arial"/>
          <w:b/>
          <w:sz w:val="20"/>
        </w:rPr>
        <w:t> </w:t>
      </w:r>
      <w:r w:rsidR="00C80B80" w:rsidRPr="00C80B80">
        <w:rPr>
          <w:rFonts w:cs="Arial"/>
          <w:b/>
          <w:sz w:val="20"/>
        </w:rPr>
        <w:t>336.1901)</w:t>
      </w:r>
    </w:p>
    <w:p w:rsidR="003A6B80" w:rsidRPr="003A6B80" w:rsidRDefault="003A6B80" w:rsidP="003A6B80">
      <w:pPr>
        <w:jc w:val="both"/>
        <w:rPr>
          <w:rFonts w:cs="Arial"/>
          <w:sz w:val="20"/>
        </w:rPr>
      </w:pPr>
    </w:p>
    <w:p w:rsidR="003A6B80" w:rsidRPr="003A6B80" w:rsidRDefault="003A6B80" w:rsidP="003A6B80">
      <w:pPr>
        <w:ind w:left="360" w:hanging="360"/>
        <w:jc w:val="both"/>
        <w:rPr>
          <w:rFonts w:cs="Arial"/>
          <w:b/>
          <w:sz w:val="20"/>
        </w:rPr>
      </w:pPr>
      <w:r w:rsidRPr="003A6B80">
        <w:rPr>
          <w:rFonts w:cs="Arial"/>
          <w:sz w:val="20"/>
        </w:rPr>
        <w:t xml:space="preserve">4. </w:t>
      </w:r>
      <w:r w:rsidRPr="003A6B80">
        <w:rPr>
          <w:rFonts w:cs="Arial"/>
          <w:sz w:val="20"/>
        </w:rPr>
        <w:tab/>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3A6B80">
        <w:rPr>
          <w:rFonts w:cs="Arial"/>
          <w:sz w:val="20"/>
          <w:vertAlign w:val="superscript"/>
        </w:rPr>
        <w:t>th</w:t>
      </w:r>
      <w:r w:rsidRPr="003A6B80">
        <w:rPr>
          <w:rFonts w:cs="Arial"/>
          <w:sz w:val="20"/>
        </w:rPr>
        <w:t xml:space="preserve"> month following the compliance date.  </w:t>
      </w:r>
      <w:r w:rsidRPr="003A6B80">
        <w:rPr>
          <w:rFonts w:cs="Arial"/>
          <w:b/>
          <w:sz w:val="20"/>
        </w:rPr>
        <w:t>(40 CFR 63.3940, 40 CFR 63.3950, and 40 CFR 63.3960)</w:t>
      </w:r>
    </w:p>
    <w:p w:rsidR="003A6B80" w:rsidRPr="003A6B80" w:rsidRDefault="003A6B80" w:rsidP="003A6B80">
      <w:pPr>
        <w:ind w:left="360"/>
        <w:jc w:val="both"/>
        <w:rPr>
          <w:rFonts w:cs="Arial"/>
          <w:sz w:val="20"/>
        </w:rPr>
      </w:pPr>
    </w:p>
    <w:p w:rsidR="003A6B80" w:rsidRPr="003A6B80" w:rsidRDefault="003A6B80" w:rsidP="003A6B80">
      <w:pPr>
        <w:ind w:left="360" w:hanging="360"/>
        <w:jc w:val="both"/>
        <w:rPr>
          <w:b/>
          <w:sz w:val="20"/>
        </w:rPr>
      </w:pPr>
      <w:r w:rsidRPr="003A6B80">
        <w:rPr>
          <w:sz w:val="20"/>
        </w:rPr>
        <w:t xml:space="preserve">5. </w:t>
      </w:r>
      <w:r w:rsidRPr="003A6B80">
        <w:rPr>
          <w:sz w:val="20"/>
        </w:rPr>
        <w:tab/>
        <w:t>The permittee shall keep all records required by 40 CFR 63.3930 in the format and timeframes outlined in 40</w:t>
      </w:r>
      <w:r w:rsidR="006B1485">
        <w:rPr>
          <w:sz w:val="20"/>
        </w:rPr>
        <w:t> </w:t>
      </w:r>
      <w:r w:rsidRPr="003A6B80">
        <w:rPr>
          <w:sz w:val="20"/>
        </w:rPr>
        <w:t xml:space="preserve">CFR 63.3931.  </w:t>
      </w:r>
      <w:r w:rsidRPr="003A6B80">
        <w:rPr>
          <w:b/>
          <w:sz w:val="20"/>
        </w:rPr>
        <w:t xml:space="preserve">(40 CFR 63.3942(d), </w:t>
      </w:r>
      <w:r w:rsidRPr="003A6B80">
        <w:rPr>
          <w:rFonts w:cs="Arial"/>
          <w:b/>
          <w:sz w:val="20"/>
        </w:rPr>
        <w:t xml:space="preserve">40 CFR </w:t>
      </w:r>
      <w:r w:rsidRPr="003A6B80">
        <w:rPr>
          <w:b/>
          <w:sz w:val="20"/>
        </w:rPr>
        <w:t>63.3952(d), 40 CFR 63.3963(j))</w:t>
      </w:r>
    </w:p>
    <w:p w:rsidR="003A6B80" w:rsidRPr="003A6B80" w:rsidRDefault="003A6B80" w:rsidP="003A6B80">
      <w:pPr>
        <w:tabs>
          <w:tab w:val="left" w:pos="900"/>
        </w:tabs>
        <w:spacing w:after="120"/>
        <w:ind w:left="900" w:hanging="360"/>
        <w:jc w:val="both"/>
        <w:rPr>
          <w:sz w:val="20"/>
        </w:rPr>
      </w:pPr>
    </w:p>
    <w:p w:rsidR="003A6B80" w:rsidRPr="003A6B80" w:rsidRDefault="003A6B80" w:rsidP="003A6B80">
      <w:pPr>
        <w:tabs>
          <w:tab w:val="left" w:pos="360"/>
        </w:tabs>
        <w:spacing w:after="120"/>
        <w:ind w:left="360" w:hanging="360"/>
        <w:jc w:val="both"/>
        <w:rPr>
          <w:sz w:val="20"/>
        </w:rPr>
      </w:pPr>
      <w:r w:rsidRPr="003A6B80">
        <w:rPr>
          <w:sz w:val="20"/>
        </w:rPr>
        <w:t>6.</w:t>
      </w:r>
      <w:r w:rsidRPr="003A6B80">
        <w:rPr>
          <w:sz w:val="20"/>
        </w:rPr>
        <w:tab/>
        <w:t>The permittee shall maintain, at a minimum, the following records for each compliance period:</w:t>
      </w:r>
    </w:p>
    <w:p w:rsidR="003A6B80" w:rsidRPr="003A6B80" w:rsidRDefault="003A6B80" w:rsidP="003A6B80">
      <w:pPr>
        <w:tabs>
          <w:tab w:val="left" w:pos="900"/>
        </w:tabs>
        <w:spacing w:after="120"/>
        <w:ind w:left="720" w:hanging="360"/>
        <w:jc w:val="both"/>
        <w:rPr>
          <w:sz w:val="20"/>
        </w:rPr>
      </w:pPr>
      <w:r w:rsidRPr="003A6B80">
        <w:rPr>
          <w:rFonts w:cs="Arial"/>
          <w:sz w:val="20"/>
        </w:rPr>
        <w:t>a.</w:t>
      </w:r>
      <w:r w:rsidRPr="003A6B80">
        <w:rPr>
          <w:rFonts w:cs="Arial"/>
          <w:sz w:val="20"/>
        </w:rPr>
        <w:tab/>
        <w:t>A copy of each notification and report that is submitted to comply with Subpart MMMM, and the</w:t>
      </w:r>
      <w:r w:rsidRPr="003A6B80">
        <w:rPr>
          <w:sz w:val="20"/>
        </w:rPr>
        <w:t xml:space="preserve"> documentation supporting each notification and report.  </w:t>
      </w:r>
      <w:r w:rsidRPr="003A6B80">
        <w:rPr>
          <w:b/>
          <w:sz w:val="20"/>
        </w:rPr>
        <w:t>(40 CFR 63.3930(a))</w:t>
      </w:r>
    </w:p>
    <w:p w:rsidR="003A6B80" w:rsidRPr="003A6B80" w:rsidRDefault="003A6B80" w:rsidP="003A6B80">
      <w:pPr>
        <w:tabs>
          <w:tab w:val="left" w:pos="900"/>
        </w:tabs>
        <w:spacing w:after="120"/>
        <w:ind w:left="720" w:hanging="360"/>
        <w:jc w:val="both"/>
        <w:rPr>
          <w:rFonts w:cs="Arial"/>
          <w:b/>
          <w:sz w:val="20"/>
        </w:rPr>
      </w:pPr>
      <w:r w:rsidRPr="003A6B80">
        <w:rPr>
          <w:rFonts w:cs="Arial"/>
          <w:sz w:val="20"/>
        </w:rPr>
        <w:t>b.</w:t>
      </w:r>
      <w:r w:rsidRPr="003A6B80">
        <w:rPr>
          <w:rFonts w:cs="Arial"/>
          <w:sz w:val="20"/>
        </w:rPr>
        <w:tab/>
        <w:t xml:space="preserve">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  </w:t>
      </w:r>
      <w:r w:rsidRPr="003A6B80">
        <w:rPr>
          <w:rFonts w:cs="Arial"/>
          <w:b/>
          <w:sz w:val="20"/>
        </w:rPr>
        <w:t>(40 CFR 63.3930(b))</w:t>
      </w:r>
    </w:p>
    <w:p w:rsidR="003A6B80" w:rsidRPr="003A6B80" w:rsidRDefault="003A6B80" w:rsidP="003A6B80">
      <w:pPr>
        <w:tabs>
          <w:tab w:val="left" w:pos="900"/>
        </w:tabs>
        <w:spacing w:after="120"/>
        <w:ind w:left="720" w:hanging="360"/>
        <w:jc w:val="both"/>
        <w:rPr>
          <w:rFonts w:cs="Arial"/>
          <w:b/>
          <w:sz w:val="20"/>
        </w:rPr>
      </w:pPr>
      <w:r w:rsidRPr="003A6B80">
        <w:rPr>
          <w:rFonts w:cs="Arial"/>
          <w:sz w:val="20"/>
        </w:rPr>
        <w:t>c.</w:t>
      </w:r>
      <w:r w:rsidRPr="003A6B80">
        <w:rPr>
          <w:rFonts w:cs="Arial"/>
          <w:sz w:val="20"/>
        </w:rPr>
        <w:tab/>
        <w:t xml:space="preserve">A list of the coating operations on which each compliance option was used, and the beginning and ending dates and times for each compliance option used.  </w:t>
      </w:r>
      <w:r w:rsidRPr="003A6B80">
        <w:rPr>
          <w:rFonts w:cs="Arial"/>
          <w:b/>
          <w:sz w:val="20"/>
        </w:rPr>
        <w:t>(40 CFR 63.3930(c)(1))</w:t>
      </w:r>
    </w:p>
    <w:p w:rsidR="003A6B80" w:rsidRPr="003A6B80" w:rsidRDefault="003A6B80" w:rsidP="003A6B80">
      <w:pPr>
        <w:tabs>
          <w:tab w:val="left" w:pos="900"/>
        </w:tabs>
        <w:spacing w:after="120"/>
        <w:ind w:left="720" w:hanging="360"/>
        <w:jc w:val="both"/>
        <w:rPr>
          <w:rFonts w:cs="Arial"/>
          <w:b/>
          <w:sz w:val="20"/>
        </w:rPr>
      </w:pPr>
      <w:r w:rsidRPr="003A6B80">
        <w:rPr>
          <w:rFonts w:cs="Arial"/>
          <w:sz w:val="20"/>
        </w:rPr>
        <w:t>d.</w:t>
      </w:r>
      <w:r w:rsidRPr="003A6B80">
        <w:rPr>
          <w:rFonts w:cs="Arial"/>
          <w:sz w:val="20"/>
        </w:rPr>
        <w:tab/>
        <w:t>For the compliant materials option, the calculation of the organic HAP content for each coating, using Equation 2 of 40 CFR 63.3941.</w:t>
      </w:r>
      <w:r w:rsidR="006B1485">
        <w:rPr>
          <w:rFonts w:cs="Arial"/>
          <w:sz w:val="20"/>
        </w:rPr>
        <w:t xml:space="preserve"> </w:t>
      </w:r>
      <w:r w:rsidRPr="003A6B80">
        <w:rPr>
          <w:rFonts w:cs="Arial"/>
          <w:sz w:val="20"/>
        </w:rPr>
        <w:t xml:space="preserve"> </w:t>
      </w:r>
      <w:r w:rsidRPr="003A6B80">
        <w:rPr>
          <w:rFonts w:cs="Arial"/>
          <w:b/>
          <w:sz w:val="20"/>
        </w:rPr>
        <w:t>(40 CFR 63.3930(c)(2))</w:t>
      </w:r>
    </w:p>
    <w:p w:rsidR="003A6B80" w:rsidRPr="003A6B80" w:rsidRDefault="003A6B80" w:rsidP="003A6B80">
      <w:pPr>
        <w:tabs>
          <w:tab w:val="left" w:pos="900"/>
        </w:tabs>
        <w:spacing w:after="120"/>
        <w:ind w:left="720" w:hanging="360"/>
        <w:jc w:val="both"/>
        <w:rPr>
          <w:rFonts w:cs="Arial"/>
          <w:b/>
          <w:sz w:val="20"/>
        </w:rPr>
      </w:pPr>
      <w:r w:rsidRPr="003A6B80">
        <w:rPr>
          <w:rFonts w:cs="Arial"/>
          <w:sz w:val="20"/>
        </w:rPr>
        <w:t>e.</w:t>
      </w:r>
      <w:r w:rsidRPr="003A6B80">
        <w:rPr>
          <w:rFonts w:cs="Arial"/>
          <w:sz w:val="20"/>
        </w:rPr>
        <w:tab/>
        <w:t>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w:t>
      </w:r>
      <w:r w:rsidR="006B1485">
        <w:rPr>
          <w:rFonts w:cs="Arial"/>
          <w:sz w:val="20"/>
        </w:rPr>
        <w:t xml:space="preserve"> </w:t>
      </w:r>
      <w:r w:rsidRPr="003A6B80">
        <w:rPr>
          <w:rFonts w:cs="Arial"/>
          <w:sz w:val="20"/>
        </w:rPr>
        <w:t xml:space="preserve"> </w:t>
      </w:r>
      <w:r w:rsidRPr="003A6B80">
        <w:rPr>
          <w:rFonts w:cs="Arial"/>
          <w:b/>
          <w:sz w:val="20"/>
        </w:rPr>
        <w:t>(40 CFR 63.3930(c)(3))</w:t>
      </w:r>
    </w:p>
    <w:p w:rsidR="003A6B80" w:rsidRPr="003A6B80" w:rsidRDefault="003A6B80" w:rsidP="003A6B80">
      <w:pPr>
        <w:tabs>
          <w:tab w:val="left" w:pos="900"/>
        </w:tabs>
        <w:spacing w:after="120"/>
        <w:ind w:left="720" w:hanging="360"/>
        <w:jc w:val="both"/>
        <w:rPr>
          <w:rFonts w:cs="Arial"/>
          <w:b/>
          <w:sz w:val="20"/>
        </w:rPr>
      </w:pPr>
      <w:r w:rsidRPr="003A6B80">
        <w:rPr>
          <w:rFonts w:cs="Arial"/>
          <w:sz w:val="20"/>
        </w:rPr>
        <w:t>f.</w:t>
      </w:r>
      <w:r w:rsidRPr="003A6B80">
        <w:rPr>
          <w:rFonts w:cs="Arial"/>
          <w:sz w:val="20"/>
        </w:rPr>
        <w:tab/>
        <w:t xml:space="preserve">The name and mass or volume of each coating, thinner and/or other additive, and cleaning material used during each compliance period.  If the compliant material option is used for all coatings at the affected source, the permittee may maintain purchase records for each material used rather than a record of the volume used.  </w:t>
      </w:r>
      <w:r w:rsidRPr="003A6B80">
        <w:rPr>
          <w:rFonts w:cs="Arial"/>
          <w:b/>
          <w:sz w:val="20"/>
        </w:rPr>
        <w:t>(40 CFR 63.3930(d))</w:t>
      </w:r>
    </w:p>
    <w:p w:rsidR="003A6B80" w:rsidRPr="003A6B80" w:rsidRDefault="003A6B80" w:rsidP="003A6B80">
      <w:pPr>
        <w:tabs>
          <w:tab w:val="left" w:pos="900"/>
        </w:tabs>
        <w:spacing w:after="120"/>
        <w:ind w:left="720" w:hanging="360"/>
        <w:jc w:val="both"/>
        <w:rPr>
          <w:rFonts w:cs="Arial"/>
          <w:b/>
          <w:sz w:val="20"/>
        </w:rPr>
      </w:pPr>
      <w:r w:rsidRPr="003A6B80">
        <w:rPr>
          <w:rFonts w:cs="Arial"/>
          <w:sz w:val="20"/>
        </w:rPr>
        <w:t>g.</w:t>
      </w:r>
      <w:r w:rsidRPr="003A6B80">
        <w:rPr>
          <w:rFonts w:cs="Arial"/>
          <w:sz w:val="20"/>
        </w:rPr>
        <w:tab/>
        <w:t xml:space="preserve">The mass fraction of organic HAP for each coating, thinner and/or additive, and cleaning material used during each compliance period unless the material is tracked by weight.  </w:t>
      </w:r>
      <w:r w:rsidRPr="003A6B80">
        <w:rPr>
          <w:rFonts w:cs="Arial"/>
          <w:b/>
          <w:sz w:val="20"/>
        </w:rPr>
        <w:t>(40 CFR 63.3930(e))</w:t>
      </w:r>
    </w:p>
    <w:p w:rsidR="003A6B80" w:rsidRPr="003A6B80" w:rsidRDefault="003A6B80" w:rsidP="003A6B80">
      <w:pPr>
        <w:tabs>
          <w:tab w:val="left" w:pos="900"/>
        </w:tabs>
        <w:spacing w:after="120"/>
        <w:ind w:left="720" w:hanging="360"/>
        <w:jc w:val="both"/>
        <w:rPr>
          <w:b/>
          <w:sz w:val="20"/>
        </w:rPr>
      </w:pPr>
      <w:r w:rsidRPr="003A6B80">
        <w:rPr>
          <w:rFonts w:cs="Arial"/>
          <w:sz w:val="20"/>
        </w:rPr>
        <w:t>h.</w:t>
      </w:r>
      <w:r w:rsidRPr="003A6B80">
        <w:rPr>
          <w:rFonts w:cs="Arial"/>
          <w:sz w:val="20"/>
        </w:rPr>
        <w:tab/>
        <w:t xml:space="preserve">The volume fraction of coating solids for each coating used during each compliance period.  </w:t>
      </w:r>
      <w:r w:rsidRPr="003A6B80">
        <w:rPr>
          <w:rFonts w:cs="Arial"/>
          <w:sz w:val="20"/>
        </w:rPr>
        <w:br/>
      </w:r>
      <w:r w:rsidRPr="003A6B80">
        <w:rPr>
          <w:b/>
          <w:sz w:val="20"/>
        </w:rPr>
        <w:t>(40 CFR 63.3930(f))</w:t>
      </w:r>
    </w:p>
    <w:p w:rsidR="003A6B80" w:rsidRPr="003A6B80" w:rsidRDefault="003A6B80" w:rsidP="003A6B80">
      <w:pPr>
        <w:tabs>
          <w:tab w:val="left" w:pos="900"/>
        </w:tabs>
        <w:ind w:left="720" w:hanging="360"/>
        <w:jc w:val="both"/>
        <w:rPr>
          <w:rFonts w:cs="Arial"/>
          <w:b/>
          <w:sz w:val="20"/>
        </w:rPr>
      </w:pPr>
      <w:r w:rsidRPr="003A6B80">
        <w:rPr>
          <w:rFonts w:cs="Arial"/>
          <w:sz w:val="20"/>
        </w:rPr>
        <w:t>i.</w:t>
      </w:r>
      <w:r w:rsidRPr="003A6B80">
        <w:rPr>
          <w:rFonts w:cs="Arial"/>
          <w:sz w:val="20"/>
        </w:rPr>
        <w:tab/>
        <w:t xml:space="preserve">For either the emission rate without add-on controls option, the density of for each coating, thinner and/or other additive, and cleaning material used during each compliance period.  </w:t>
      </w:r>
      <w:r w:rsidRPr="003A6B80">
        <w:rPr>
          <w:rFonts w:cs="Arial"/>
          <w:b/>
          <w:sz w:val="20"/>
        </w:rPr>
        <w:t>(40 CFR 63.3930(g))</w:t>
      </w:r>
    </w:p>
    <w:p w:rsidR="003A6B80" w:rsidRPr="003A6B80" w:rsidRDefault="003A6B80" w:rsidP="003A6B80">
      <w:pPr>
        <w:tabs>
          <w:tab w:val="left" w:pos="900"/>
        </w:tabs>
        <w:ind w:left="720" w:hanging="360"/>
        <w:jc w:val="both"/>
        <w:rPr>
          <w:rFonts w:cs="Arial"/>
          <w:b/>
          <w:sz w:val="20"/>
        </w:rPr>
      </w:pPr>
    </w:p>
    <w:p w:rsidR="003A6B80" w:rsidRPr="003A6B80" w:rsidRDefault="003A6B80" w:rsidP="003A6B80">
      <w:pPr>
        <w:tabs>
          <w:tab w:val="left" w:pos="900"/>
        </w:tabs>
        <w:ind w:left="720" w:hanging="360"/>
        <w:jc w:val="both"/>
        <w:rPr>
          <w:rFonts w:cs="Arial"/>
          <w:b/>
          <w:sz w:val="20"/>
        </w:rPr>
      </w:pPr>
      <w:r w:rsidRPr="003A6B80">
        <w:rPr>
          <w:rFonts w:cs="Arial"/>
          <w:sz w:val="20"/>
        </w:rPr>
        <w:t>j.</w:t>
      </w:r>
      <w:r w:rsidRPr="003A6B80">
        <w:rPr>
          <w:rFonts w:cs="Arial"/>
          <w:sz w:val="20"/>
        </w:rPr>
        <w:tab/>
        <w:t xml:space="preserve">The information specified in 40 CFR 63.3930(h)(1) through (3), if an allowance is used in Equation 1 of 40 CFR 63.3951 for organic HAP contained in waste materials sent to or designated for shipment to a treatment, storage, and disposal facility (TSDF) according to 40 CFR 63.3951(e)(4). </w:t>
      </w:r>
      <w:r w:rsidR="006B1485">
        <w:rPr>
          <w:rFonts w:cs="Arial"/>
          <w:sz w:val="20"/>
        </w:rPr>
        <w:t xml:space="preserve"> </w:t>
      </w:r>
      <w:r w:rsidRPr="003A6B80">
        <w:rPr>
          <w:rFonts w:cs="Arial"/>
          <w:b/>
          <w:sz w:val="20"/>
        </w:rPr>
        <w:t>(40 CFR 63.3930(h))</w:t>
      </w:r>
    </w:p>
    <w:p w:rsidR="003A6B80" w:rsidRPr="003A6B80" w:rsidRDefault="003A6B80" w:rsidP="003A6B80">
      <w:pPr>
        <w:tabs>
          <w:tab w:val="left" w:pos="900"/>
        </w:tabs>
        <w:ind w:left="720" w:hanging="360"/>
        <w:jc w:val="both"/>
        <w:rPr>
          <w:rFonts w:cs="Arial"/>
          <w:sz w:val="20"/>
        </w:rPr>
      </w:pPr>
    </w:p>
    <w:p w:rsidR="003A6B80" w:rsidRPr="003A6B80" w:rsidRDefault="003A6B80" w:rsidP="003A6B80">
      <w:pPr>
        <w:tabs>
          <w:tab w:val="left" w:pos="900"/>
        </w:tabs>
        <w:ind w:left="720" w:hanging="360"/>
        <w:jc w:val="both"/>
        <w:rPr>
          <w:rFonts w:cs="Arial"/>
          <w:b/>
          <w:sz w:val="20"/>
        </w:rPr>
      </w:pPr>
      <w:r w:rsidRPr="003A6B80">
        <w:rPr>
          <w:rFonts w:cs="Arial"/>
          <w:sz w:val="20"/>
        </w:rPr>
        <w:t>k.</w:t>
      </w:r>
      <w:r w:rsidRPr="003A6B80">
        <w:rPr>
          <w:rFonts w:cs="Arial"/>
          <w:sz w:val="20"/>
        </w:rPr>
        <w:tab/>
        <w:t xml:space="preserve">The date, time, and duration of each deviation.  </w:t>
      </w:r>
      <w:r w:rsidRPr="003A6B80">
        <w:rPr>
          <w:rFonts w:cs="Arial"/>
          <w:b/>
          <w:sz w:val="20"/>
        </w:rPr>
        <w:t>(40 CFR 63.3930(j))</w:t>
      </w:r>
    </w:p>
    <w:p w:rsidR="003A6B80" w:rsidRPr="003A6B80" w:rsidRDefault="003A6B80" w:rsidP="003A6B80">
      <w:pPr>
        <w:tabs>
          <w:tab w:val="left" w:pos="900"/>
        </w:tabs>
        <w:ind w:left="720" w:hanging="360"/>
        <w:jc w:val="both"/>
        <w:rPr>
          <w:rFonts w:cs="Arial"/>
          <w:sz w:val="20"/>
        </w:rPr>
      </w:pPr>
    </w:p>
    <w:p w:rsidR="003A6B80" w:rsidRPr="003A6B80" w:rsidRDefault="003A6B80" w:rsidP="003A6B80">
      <w:pPr>
        <w:ind w:left="360" w:hanging="360"/>
        <w:jc w:val="both"/>
        <w:rPr>
          <w:b/>
          <w:sz w:val="20"/>
        </w:rPr>
      </w:pPr>
      <w:r w:rsidRPr="003A6B80">
        <w:rPr>
          <w:sz w:val="20"/>
        </w:rPr>
        <w:lastRenderedPageBreak/>
        <w:t>7.</w:t>
      </w:r>
      <w:r w:rsidRPr="003A6B80">
        <w:rPr>
          <w:sz w:val="20"/>
        </w:rPr>
        <w:tab/>
        <w:t xml:space="preserve">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 CFR 63.3941(a).  </w:t>
      </w:r>
      <w:r w:rsidRPr="003A6B80">
        <w:rPr>
          <w:b/>
          <w:sz w:val="20"/>
        </w:rPr>
        <w:t>(40 CFR 63.3942)</w:t>
      </w:r>
    </w:p>
    <w:p w:rsidR="003A6B80" w:rsidRPr="003A6B80" w:rsidRDefault="003A6B80" w:rsidP="003A6B80">
      <w:pPr>
        <w:ind w:left="360" w:hanging="360"/>
        <w:jc w:val="both"/>
        <w:rPr>
          <w:sz w:val="20"/>
        </w:rPr>
      </w:pPr>
    </w:p>
    <w:p w:rsidR="003A6B80" w:rsidRPr="003A6B80" w:rsidRDefault="003A6B80" w:rsidP="006B1485">
      <w:pPr>
        <w:ind w:left="360" w:hanging="360"/>
        <w:jc w:val="both"/>
        <w:rPr>
          <w:sz w:val="20"/>
        </w:rPr>
      </w:pPr>
      <w:r w:rsidRPr="003A6B80">
        <w:rPr>
          <w:sz w:val="20"/>
        </w:rPr>
        <w:t>8.</w:t>
      </w:r>
      <w:r w:rsidRPr="003A6B80">
        <w:rPr>
          <w:sz w:val="20"/>
        </w:rPr>
        <w:tab/>
        <w:t>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w:t>
      </w:r>
      <w:r w:rsidR="006B1485">
        <w:rPr>
          <w:sz w:val="20"/>
        </w:rPr>
        <w:t xml:space="preserve">  </w:t>
      </w:r>
      <w:r w:rsidRPr="003A6B80">
        <w:rPr>
          <w:b/>
          <w:sz w:val="20"/>
        </w:rPr>
        <w:t>(40 CFR 63.3952)</w:t>
      </w:r>
    </w:p>
    <w:p w:rsidR="00AE1D84" w:rsidRDefault="00AE1D84" w:rsidP="00F62984">
      <w:pPr>
        <w:jc w:val="both"/>
        <w:rPr>
          <w:sz w:val="20"/>
        </w:rPr>
      </w:pPr>
    </w:p>
    <w:p w:rsidR="00AE1D84" w:rsidRDefault="00AE1D84" w:rsidP="00F62984">
      <w:pPr>
        <w:jc w:val="both"/>
        <w:rPr>
          <w:b/>
          <w:color w:val="FF0000"/>
          <w:sz w:val="20"/>
        </w:rPr>
      </w:pPr>
      <w:r w:rsidRPr="00FE0AD0">
        <w:rPr>
          <w:b/>
          <w:sz w:val="20"/>
        </w:rPr>
        <w:t>See Appendi</w:t>
      </w:r>
      <w:r w:rsidR="008709A4">
        <w:rPr>
          <w:b/>
          <w:sz w:val="20"/>
        </w:rPr>
        <w:t>x</w:t>
      </w:r>
      <w:r w:rsidRPr="003A6B80">
        <w:rPr>
          <w:b/>
          <w:sz w:val="20"/>
        </w:rPr>
        <w:t xml:space="preserve"> 7</w:t>
      </w:r>
    </w:p>
    <w:p w:rsidR="00573DEA" w:rsidRPr="00047D6A" w:rsidRDefault="00573DEA" w:rsidP="00F62984">
      <w:pPr>
        <w:jc w:val="both"/>
        <w:rPr>
          <w:sz w:val="20"/>
        </w:rPr>
      </w:pPr>
    </w:p>
    <w:p w:rsidR="00AE1D84" w:rsidRPr="00F01FE1" w:rsidRDefault="00AE1D84" w:rsidP="00F62984">
      <w:pPr>
        <w:jc w:val="both"/>
        <w:rPr>
          <w:b/>
          <w:sz w:val="20"/>
          <w:u w:val="single"/>
        </w:rPr>
      </w:pPr>
      <w:r>
        <w:rPr>
          <w:b/>
        </w:rPr>
        <w:t xml:space="preserve">VII.  </w:t>
      </w:r>
      <w:r>
        <w:rPr>
          <w:b/>
          <w:u w:val="single"/>
        </w:rPr>
        <w:t>REPORTING</w:t>
      </w:r>
    </w:p>
    <w:p w:rsidR="00AE1D84" w:rsidRPr="00047D6A"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AE1D84" w:rsidRPr="00984760"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AE1D84" w:rsidRPr="00984760" w:rsidRDefault="00AE1D84" w:rsidP="00F62984">
      <w:pPr>
        <w:ind w:left="360" w:hanging="360"/>
        <w:jc w:val="both"/>
        <w:rPr>
          <w:sz w:val="20"/>
        </w:rPr>
      </w:pPr>
    </w:p>
    <w:p w:rsidR="00AE1D84" w:rsidRDefault="00AE1D84" w:rsidP="00FE3CC4">
      <w:pPr>
        <w:numPr>
          <w:ilvl w:val="0"/>
          <w:numId w:val="41"/>
        </w:numPr>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380BB9" w:rsidRDefault="00380BB9" w:rsidP="00380BB9">
      <w:pPr>
        <w:ind w:left="360"/>
        <w:jc w:val="both"/>
        <w:rPr>
          <w:b/>
          <w:sz w:val="20"/>
        </w:rPr>
      </w:pPr>
    </w:p>
    <w:p w:rsidR="00380BB9" w:rsidRPr="00380BB9" w:rsidRDefault="00380BB9" w:rsidP="00380BB9">
      <w:pPr>
        <w:ind w:left="360" w:hanging="360"/>
        <w:jc w:val="both"/>
        <w:rPr>
          <w:b/>
          <w:sz w:val="20"/>
        </w:rPr>
      </w:pPr>
      <w:r w:rsidRPr="00380BB9">
        <w:rPr>
          <w:sz w:val="20"/>
        </w:rPr>
        <w:t>4.</w:t>
      </w:r>
      <w:r w:rsidRPr="00380BB9">
        <w:rPr>
          <w:sz w:val="20"/>
        </w:rPr>
        <w:tab/>
        <w:t>The permittee shall submit all semiannual compliance reports specified in 40 CFR 63.3920(a).  Each semiannual compliance report shall identify the compliance option used for each coating operation(s) during the reporting period. If there were no deviations from the emission limitations in SC I.3. through SC I.7, the semi-annual report shall include a statement that</w:t>
      </w:r>
      <w:r w:rsidRPr="00380BB9">
        <w:t xml:space="preserve"> </w:t>
      </w:r>
      <w:r w:rsidRPr="00380BB9">
        <w:rPr>
          <w:sz w:val="20"/>
        </w:rPr>
        <w:t xml:space="preserve">there were no deviations from the emission limitations during the reporting period.  </w:t>
      </w:r>
      <w:r w:rsidRPr="00380BB9">
        <w:rPr>
          <w:b/>
          <w:sz w:val="20"/>
        </w:rPr>
        <w:t>(40 CFR 63.3920, 40 CFR 63.3942(c), 40 CFR 63.3952(c), and 40 CFR 63.3963(f))</w:t>
      </w:r>
    </w:p>
    <w:p w:rsidR="00380BB9" w:rsidRPr="00380BB9" w:rsidRDefault="00380BB9" w:rsidP="00380BB9">
      <w:pPr>
        <w:ind w:left="360" w:hanging="360"/>
        <w:jc w:val="both"/>
        <w:rPr>
          <w:sz w:val="20"/>
        </w:rPr>
      </w:pPr>
    </w:p>
    <w:p w:rsidR="00380BB9" w:rsidRPr="00380BB9" w:rsidRDefault="00380BB9" w:rsidP="00FE3CC4">
      <w:pPr>
        <w:numPr>
          <w:ilvl w:val="0"/>
          <w:numId w:val="40"/>
        </w:numPr>
        <w:contextualSpacing/>
        <w:jc w:val="both"/>
        <w:rPr>
          <w:sz w:val="20"/>
        </w:rPr>
      </w:pPr>
      <w:r w:rsidRPr="00380BB9">
        <w:rPr>
          <w:sz w:val="20"/>
        </w:rPr>
        <w:t xml:space="preserve">For the compliant material option; the permittee shall report as a deviation any instance a coating used during any 12-month compliance period exceeds the applicable emission limit specified </w:t>
      </w:r>
      <w:bookmarkStart w:id="88" w:name="_Hlk528069921"/>
      <w:r w:rsidRPr="00380BB9">
        <w:rPr>
          <w:sz w:val="20"/>
        </w:rPr>
        <w:t xml:space="preserve">in </w:t>
      </w:r>
      <w:bookmarkEnd w:id="88"/>
      <w:r w:rsidRPr="00380BB9">
        <w:rPr>
          <w:sz w:val="20"/>
        </w:rPr>
        <w:t xml:space="preserve">SC I.3. through SC I.7 or any thinner or cleaning material used contains any organic HAP.  </w:t>
      </w:r>
      <w:r w:rsidRPr="00380BB9">
        <w:rPr>
          <w:b/>
          <w:sz w:val="20"/>
        </w:rPr>
        <w:t>(40 CFR 63.3942(b), 40 CFR 63.3910(c)(6), 40 CFR 63.3920(a)(5))</w:t>
      </w:r>
    </w:p>
    <w:p w:rsidR="00380BB9" w:rsidRPr="00380BB9" w:rsidRDefault="00380BB9" w:rsidP="00380BB9">
      <w:pPr>
        <w:ind w:left="360" w:hanging="360"/>
        <w:jc w:val="both"/>
        <w:rPr>
          <w:sz w:val="20"/>
        </w:rPr>
      </w:pPr>
    </w:p>
    <w:p w:rsidR="00380BB9" w:rsidRPr="00380BB9" w:rsidRDefault="00380BB9" w:rsidP="00380BB9">
      <w:pPr>
        <w:ind w:left="360" w:hanging="360"/>
        <w:jc w:val="both"/>
        <w:rPr>
          <w:b/>
          <w:sz w:val="20"/>
        </w:rPr>
      </w:pPr>
      <w:r>
        <w:rPr>
          <w:sz w:val="20"/>
        </w:rPr>
        <w:t>6</w:t>
      </w:r>
      <w:r w:rsidRPr="00380BB9">
        <w:rPr>
          <w:sz w:val="20"/>
        </w:rPr>
        <w:t>.</w:t>
      </w:r>
      <w:r w:rsidRPr="00380BB9">
        <w:rPr>
          <w:sz w:val="20"/>
        </w:rPr>
        <w:tab/>
        <w:t xml:space="preserve">When using the emission rate without add-on controls, the permittee shall report as a deviation when the organic HAP emission rate for any 12-month compliance period exceeds the applicable emission limit specified in SC I.3. through SC I.7.  </w:t>
      </w:r>
      <w:r w:rsidRPr="00380BB9">
        <w:rPr>
          <w:b/>
          <w:sz w:val="20"/>
        </w:rPr>
        <w:t>(40 CFR 63.3952(b), 40 CFR 63.3910(c)(6), 40 CFR 63.3920(a)(6))</w:t>
      </w:r>
    </w:p>
    <w:p w:rsidR="00380BB9" w:rsidRPr="00380BB9" w:rsidRDefault="00380BB9" w:rsidP="00380BB9">
      <w:pPr>
        <w:ind w:left="360" w:hanging="360"/>
        <w:jc w:val="both"/>
        <w:rPr>
          <w:sz w:val="20"/>
        </w:rPr>
      </w:pPr>
    </w:p>
    <w:p w:rsidR="008E62BE" w:rsidRPr="002149BA" w:rsidRDefault="00380BB9" w:rsidP="002149BA">
      <w:pPr>
        <w:tabs>
          <w:tab w:val="num" w:pos="342"/>
        </w:tabs>
        <w:ind w:left="360" w:hanging="360"/>
        <w:jc w:val="both"/>
        <w:rPr>
          <w:b/>
        </w:rPr>
      </w:pPr>
      <w:r>
        <w:rPr>
          <w:sz w:val="20"/>
        </w:rPr>
        <w:t>7</w:t>
      </w:r>
      <w:r w:rsidRPr="00380BB9">
        <w:rPr>
          <w:sz w:val="20"/>
        </w:rPr>
        <w:t>.</w:t>
      </w:r>
      <w:r w:rsidRPr="00380BB9">
        <w:rPr>
          <w:sz w:val="20"/>
        </w:rPr>
        <w:tab/>
        <w:t>The permittee shall submit the applicable notifications specified in 40 CFR 63.7(b) and (c), 63.8(f)(4) and 63.9(b) through (e) and (h), an initial notification and a notification of compliance status as specified in 40 CFR 63.3910.</w:t>
      </w:r>
      <w:r w:rsidR="006B1485">
        <w:rPr>
          <w:sz w:val="20"/>
        </w:rPr>
        <w:t xml:space="preserve"> </w:t>
      </w:r>
      <w:r w:rsidRPr="00380BB9">
        <w:rPr>
          <w:sz w:val="20"/>
        </w:rPr>
        <w:t xml:space="preserve"> </w:t>
      </w:r>
      <w:r w:rsidRPr="00380BB9">
        <w:rPr>
          <w:b/>
          <w:sz w:val="20"/>
        </w:rPr>
        <w:t>(40 CFR Part 63, Subparts A and MMMM</w:t>
      </w:r>
      <w:r w:rsidRPr="00380BB9">
        <w:rPr>
          <w:b/>
        </w:rPr>
        <w:t>)</w:t>
      </w:r>
    </w:p>
    <w:p w:rsidR="00AE1D84" w:rsidRPr="00E873CB" w:rsidRDefault="00AE1D84" w:rsidP="00F62984">
      <w:pPr>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Pr="00E873CB"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8E270F" w:rsidRDefault="008E270F" w:rsidP="00F62984">
      <w:pPr>
        <w:jc w:val="both"/>
        <w:rPr>
          <w:sz w:val="20"/>
        </w:rPr>
      </w:pPr>
    </w:p>
    <w:p w:rsidR="008E270F" w:rsidRDefault="008E270F" w:rsidP="00F62984">
      <w:pPr>
        <w:jc w:val="both"/>
        <w:rPr>
          <w:sz w:val="20"/>
        </w:rPr>
      </w:pPr>
    </w:p>
    <w:p w:rsidR="008E270F" w:rsidRDefault="008E270F" w:rsidP="00F62984">
      <w:pPr>
        <w:jc w:val="both"/>
        <w:rPr>
          <w:sz w:val="20"/>
        </w:rPr>
      </w:pPr>
    </w:p>
    <w:p w:rsidR="008E270F" w:rsidRDefault="008E270F" w:rsidP="00F62984">
      <w:pPr>
        <w:jc w:val="both"/>
        <w:rPr>
          <w:sz w:val="20"/>
        </w:rPr>
      </w:pPr>
    </w:p>
    <w:p w:rsidR="008E270F" w:rsidRDefault="008E270F" w:rsidP="00F62984">
      <w:pPr>
        <w:jc w:val="both"/>
        <w:rPr>
          <w:sz w:val="20"/>
        </w:rPr>
      </w:pPr>
    </w:p>
    <w:p w:rsidR="008E270F" w:rsidRDefault="008E270F" w:rsidP="00F62984">
      <w:pPr>
        <w:jc w:val="both"/>
        <w:rPr>
          <w:sz w:val="20"/>
        </w:rPr>
      </w:pPr>
    </w:p>
    <w:p w:rsidR="008E270F" w:rsidRDefault="008E270F"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790"/>
        <w:gridCol w:w="1890"/>
        <w:gridCol w:w="2880"/>
      </w:tblGrid>
      <w:tr w:rsidR="00AE1D84" w:rsidTr="00040A84">
        <w:trPr>
          <w:cantSplit/>
          <w:tblHeader/>
        </w:trPr>
        <w:tc>
          <w:tcPr>
            <w:tcW w:w="2700" w:type="dxa"/>
            <w:tcBorders>
              <w:bottom w:val="single" w:sz="4" w:space="0" w:color="auto"/>
            </w:tcBorders>
          </w:tcPr>
          <w:p w:rsidR="00AE1D84" w:rsidRPr="00BD3DE3" w:rsidRDefault="006B1485" w:rsidP="00F62984">
            <w:pPr>
              <w:jc w:val="center"/>
              <w:rPr>
                <w:b/>
                <w:sz w:val="20"/>
              </w:rPr>
            </w:pPr>
            <w:r>
              <w:rPr>
                <w:sz w:val="20"/>
              </w:rPr>
              <w:lastRenderedPageBreak/>
              <w:br w:type="page"/>
            </w:r>
            <w:r w:rsidR="00AE1D84" w:rsidRPr="00BD3DE3">
              <w:rPr>
                <w:b/>
                <w:sz w:val="20"/>
              </w:rPr>
              <w:t>Stack &amp; Vent ID</w:t>
            </w:r>
          </w:p>
        </w:tc>
        <w:tc>
          <w:tcPr>
            <w:tcW w:w="279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rsidR="00AE1D84" w:rsidRPr="00BD3DE3" w:rsidRDefault="00AE1D84" w:rsidP="00AB71EF">
            <w:pPr>
              <w:jc w:val="center"/>
              <w:rPr>
                <w:b/>
                <w:sz w:val="20"/>
              </w:rPr>
            </w:pPr>
            <w:r w:rsidRPr="00BD3DE3">
              <w:rPr>
                <w:b/>
                <w:sz w:val="20"/>
              </w:rPr>
              <w:t>Underlying Applicable Requirements</w:t>
            </w:r>
          </w:p>
        </w:tc>
      </w:tr>
      <w:tr w:rsidR="00040A84" w:rsidRPr="00FC3339" w:rsidTr="00040A84">
        <w:trPr>
          <w:cantSplit/>
        </w:trPr>
        <w:tc>
          <w:tcPr>
            <w:tcW w:w="2700" w:type="dxa"/>
            <w:tcBorders>
              <w:top w:val="single" w:sz="4" w:space="0" w:color="auto"/>
            </w:tcBorders>
          </w:tcPr>
          <w:p w:rsidR="00040A84" w:rsidRPr="00FC3339" w:rsidRDefault="008E270F" w:rsidP="008E270F">
            <w:pPr>
              <w:ind w:right="72"/>
              <w:rPr>
                <w:sz w:val="20"/>
              </w:rPr>
            </w:pPr>
            <w:r>
              <w:rPr>
                <w:sz w:val="20"/>
              </w:rPr>
              <w:t xml:space="preserve">1.  </w:t>
            </w:r>
            <w:r w:rsidR="00040A84" w:rsidRPr="00FC3339">
              <w:rPr>
                <w:sz w:val="20"/>
              </w:rPr>
              <w:t>SVL90 (Oven)</w:t>
            </w:r>
          </w:p>
        </w:tc>
        <w:tc>
          <w:tcPr>
            <w:tcW w:w="2790" w:type="dxa"/>
            <w:tcBorders>
              <w:top w:val="single" w:sz="4" w:space="0" w:color="auto"/>
            </w:tcBorders>
          </w:tcPr>
          <w:p w:rsidR="00040A84" w:rsidRPr="00FC3339" w:rsidRDefault="00040A84" w:rsidP="00FE3CC4">
            <w:pPr>
              <w:ind w:right="72"/>
              <w:jc w:val="center"/>
              <w:rPr>
                <w:rFonts w:cs="Arial"/>
                <w:sz w:val="20"/>
              </w:rPr>
            </w:pPr>
            <w:r w:rsidRPr="00FC3339">
              <w:rPr>
                <w:sz w:val="20"/>
              </w:rPr>
              <w:t>24</w:t>
            </w:r>
            <w:r w:rsidRPr="00A637C9">
              <w:rPr>
                <w:sz w:val="20"/>
                <w:vertAlign w:val="superscript"/>
              </w:rPr>
              <w:t>2</w:t>
            </w:r>
          </w:p>
        </w:tc>
        <w:tc>
          <w:tcPr>
            <w:tcW w:w="1890" w:type="dxa"/>
            <w:tcBorders>
              <w:top w:val="single" w:sz="4" w:space="0" w:color="auto"/>
            </w:tcBorders>
          </w:tcPr>
          <w:p w:rsidR="00040A84" w:rsidRPr="00FC3339" w:rsidRDefault="00040A84" w:rsidP="00FE3CC4">
            <w:pPr>
              <w:ind w:right="72"/>
              <w:jc w:val="center"/>
              <w:rPr>
                <w:rFonts w:cs="Arial"/>
                <w:sz w:val="20"/>
              </w:rPr>
            </w:pPr>
            <w:r w:rsidRPr="00FC3339">
              <w:rPr>
                <w:sz w:val="20"/>
              </w:rPr>
              <w:t>28</w:t>
            </w:r>
            <w:r w:rsidRPr="00A637C9">
              <w:rPr>
                <w:sz w:val="20"/>
                <w:vertAlign w:val="superscript"/>
              </w:rPr>
              <w:t>2</w:t>
            </w:r>
          </w:p>
        </w:tc>
        <w:tc>
          <w:tcPr>
            <w:tcW w:w="2880" w:type="dxa"/>
            <w:tcBorders>
              <w:top w:val="single" w:sz="4" w:space="0" w:color="auto"/>
            </w:tcBorders>
          </w:tcPr>
          <w:p w:rsidR="00040A84" w:rsidRPr="00040A84" w:rsidRDefault="00040A84" w:rsidP="00FE3CC4">
            <w:pPr>
              <w:jc w:val="center"/>
              <w:rPr>
                <w:b/>
                <w:sz w:val="20"/>
              </w:rPr>
            </w:pPr>
            <w:r w:rsidRPr="00040A84">
              <w:rPr>
                <w:b/>
                <w:sz w:val="20"/>
              </w:rPr>
              <w:t>R 336.1225</w:t>
            </w:r>
          </w:p>
          <w:p w:rsidR="00040A84" w:rsidRPr="00040A84" w:rsidRDefault="00040A84" w:rsidP="00FE3CC4">
            <w:pPr>
              <w:jc w:val="center"/>
              <w:rPr>
                <w:b/>
                <w:sz w:val="20"/>
              </w:rPr>
            </w:pPr>
            <w:r w:rsidRPr="00040A84">
              <w:rPr>
                <w:b/>
                <w:sz w:val="20"/>
              </w:rPr>
              <w:t>R 336.1901</w:t>
            </w:r>
          </w:p>
          <w:p w:rsidR="00040A84" w:rsidRPr="00040A84" w:rsidRDefault="00040A84" w:rsidP="00FE3CC4">
            <w:pPr>
              <w:jc w:val="center"/>
              <w:rPr>
                <w:b/>
                <w:sz w:val="20"/>
              </w:rPr>
            </w:pPr>
            <w:r w:rsidRPr="00040A84">
              <w:rPr>
                <w:b/>
                <w:sz w:val="20"/>
              </w:rPr>
              <w:t>R 336.2803</w:t>
            </w:r>
          </w:p>
          <w:p w:rsidR="00040A84" w:rsidRPr="00040A84" w:rsidRDefault="00040A84" w:rsidP="00FE3CC4">
            <w:pPr>
              <w:jc w:val="center"/>
              <w:rPr>
                <w:b/>
                <w:sz w:val="20"/>
              </w:rPr>
            </w:pPr>
            <w:r w:rsidRPr="00040A84">
              <w:rPr>
                <w:b/>
                <w:sz w:val="20"/>
              </w:rPr>
              <w:t>R 336.2804</w:t>
            </w:r>
          </w:p>
          <w:p w:rsidR="00040A84" w:rsidRPr="00040A84" w:rsidRDefault="00040A84" w:rsidP="00FE3CC4">
            <w:pPr>
              <w:jc w:val="center"/>
              <w:rPr>
                <w:b/>
                <w:sz w:val="20"/>
              </w:rPr>
            </w:pPr>
            <w:r w:rsidRPr="00040A84">
              <w:rPr>
                <w:b/>
                <w:sz w:val="20"/>
              </w:rPr>
              <w:t>40 CFR 52.21 (c) and (d)</w:t>
            </w:r>
          </w:p>
        </w:tc>
      </w:tr>
      <w:tr w:rsidR="00040A84" w:rsidRPr="00FC3339" w:rsidTr="00040A84">
        <w:trPr>
          <w:cantSplit/>
        </w:trPr>
        <w:tc>
          <w:tcPr>
            <w:tcW w:w="2700" w:type="dxa"/>
            <w:tcBorders>
              <w:top w:val="single" w:sz="4" w:space="0" w:color="auto"/>
            </w:tcBorders>
          </w:tcPr>
          <w:p w:rsidR="00040A84" w:rsidRPr="00FC3339" w:rsidRDefault="008E270F" w:rsidP="008E270F">
            <w:pPr>
              <w:ind w:right="72"/>
              <w:rPr>
                <w:sz w:val="20"/>
              </w:rPr>
            </w:pPr>
            <w:r>
              <w:rPr>
                <w:sz w:val="20"/>
              </w:rPr>
              <w:t xml:space="preserve">2.  </w:t>
            </w:r>
            <w:r w:rsidR="00040A84" w:rsidRPr="00FC3339">
              <w:rPr>
                <w:sz w:val="20"/>
              </w:rPr>
              <w:t>SVL91 (Tank 1)</w:t>
            </w:r>
          </w:p>
        </w:tc>
        <w:tc>
          <w:tcPr>
            <w:tcW w:w="2790" w:type="dxa"/>
            <w:tcBorders>
              <w:top w:val="single" w:sz="4" w:space="0" w:color="auto"/>
            </w:tcBorders>
          </w:tcPr>
          <w:p w:rsidR="00040A84" w:rsidRPr="00FC3339" w:rsidRDefault="00040A84" w:rsidP="00FE3CC4">
            <w:pPr>
              <w:ind w:right="72"/>
              <w:jc w:val="center"/>
              <w:rPr>
                <w:rFonts w:cs="Arial"/>
                <w:sz w:val="20"/>
              </w:rPr>
            </w:pPr>
            <w:r w:rsidRPr="00FC3339">
              <w:rPr>
                <w:sz w:val="20"/>
              </w:rPr>
              <w:t>18</w:t>
            </w:r>
            <w:r w:rsidRPr="00A637C9">
              <w:rPr>
                <w:sz w:val="20"/>
                <w:vertAlign w:val="superscript"/>
              </w:rPr>
              <w:t>2</w:t>
            </w:r>
          </w:p>
        </w:tc>
        <w:tc>
          <w:tcPr>
            <w:tcW w:w="1890" w:type="dxa"/>
            <w:tcBorders>
              <w:top w:val="single" w:sz="4" w:space="0" w:color="auto"/>
            </w:tcBorders>
          </w:tcPr>
          <w:p w:rsidR="00040A84" w:rsidRPr="00FC3339" w:rsidRDefault="00040A84" w:rsidP="00FE3CC4">
            <w:pPr>
              <w:ind w:right="72"/>
              <w:jc w:val="center"/>
              <w:rPr>
                <w:rFonts w:cs="Arial"/>
                <w:sz w:val="20"/>
              </w:rPr>
            </w:pPr>
            <w:r w:rsidRPr="00FC3339">
              <w:rPr>
                <w:sz w:val="20"/>
              </w:rPr>
              <w:t>28</w:t>
            </w:r>
            <w:r w:rsidRPr="00A637C9">
              <w:rPr>
                <w:sz w:val="20"/>
                <w:vertAlign w:val="superscript"/>
              </w:rPr>
              <w:t>2</w:t>
            </w:r>
          </w:p>
        </w:tc>
        <w:tc>
          <w:tcPr>
            <w:tcW w:w="2880" w:type="dxa"/>
            <w:tcBorders>
              <w:top w:val="single" w:sz="4" w:space="0" w:color="auto"/>
            </w:tcBorders>
          </w:tcPr>
          <w:p w:rsidR="00040A84" w:rsidRPr="00040A84" w:rsidRDefault="00040A84" w:rsidP="00FE3CC4">
            <w:pPr>
              <w:jc w:val="center"/>
              <w:rPr>
                <w:b/>
                <w:sz w:val="20"/>
              </w:rPr>
            </w:pPr>
            <w:r w:rsidRPr="00040A84">
              <w:rPr>
                <w:b/>
                <w:sz w:val="20"/>
              </w:rPr>
              <w:t>R 336.1225</w:t>
            </w:r>
          </w:p>
          <w:p w:rsidR="00040A84" w:rsidRPr="00040A84" w:rsidRDefault="00040A84" w:rsidP="00FE3CC4">
            <w:pPr>
              <w:jc w:val="center"/>
              <w:rPr>
                <w:b/>
                <w:sz w:val="20"/>
              </w:rPr>
            </w:pPr>
            <w:r w:rsidRPr="00040A84">
              <w:rPr>
                <w:b/>
                <w:sz w:val="20"/>
              </w:rPr>
              <w:t>R 336.1901</w:t>
            </w:r>
          </w:p>
          <w:p w:rsidR="00040A84" w:rsidRPr="00040A84" w:rsidRDefault="00040A84" w:rsidP="00FE3CC4">
            <w:pPr>
              <w:jc w:val="center"/>
              <w:rPr>
                <w:b/>
                <w:sz w:val="20"/>
              </w:rPr>
            </w:pPr>
            <w:r w:rsidRPr="00040A84">
              <w:rPr>
                <w:b/>
                <w:sz w:val="20"/>
              </w:rPr>
              <w:t>R 336.2803</w:t>
            </w:r>
          </w:p>
          <w:p w:rsidR="00040A84" w:rsidRPr="00040A84" w:rsidRDefault="00040A84" w:rsidP="00FE3CC4">
            <w:pPr>
              <w:jc w:val="center"/>
              <w:rPr>
                <w:b/>
                <w:sz w:val="20"/>
              </w:rPr>
            </w:pPr>
            <w:r w:rsidRPr="00040A84">
              <w:rPr>
                <w:b/>
                <w:sz w:val="20"/>
              </w:rPr>
              <w:t>R 336.2804</w:t>
            </w:r>
          </w:p>
          <w:p w:rsidR="00040A84" w:rsidRPr="00040A84" w:rsidRDefault="00040A84" w:rsidP="00FE3CC4">
            <w:pPr>
              <w:jc w:val="center"/>
              <w:rPr>
                <w:b/>
                <w:sz w:val="20"/>
              </w:rPr>
            </w:pPr>
            <w:r w:rsidRPr="00040A84">
              <w:rPr>
                <w:b/>
                <w:sz w:val="20"/>
              </w:rPr>
              <w:t>40 CFR 52.21 (c) and (d)</w:t>
            </w:r>
          </w:p>
        </w:tc>
      </w:tr>
      <w:tr w:rsidR="00040A84" w:rsidRPr="00FC3339" w:rsidTr="00040A84">
        <w:trPr>
          <w:cantSplit/>
        </w:trPr>
        <w:tc>
          <w:tcPr>
            <w:tcW w:w="2700" w:type="dxa"/>
            <w:tcBorders>
              <w:top w:val="single" w:sz="4" w:space="0" w:color="auto"/>
            </w:tcBorders>
          </w:tcPr>
          <w:p w:rsidR="00040A84" w:rsidRPr="00FC3339" w:rsidRDefault="008E270F" w:rsidP="008E270F">
            <w:pPr>
              <w:ind w:right="72"/>
              <w:rPr>
                <w:sz w:val="20"/>
              </w:rPr>
            </w:pPr>
            <w:r>
              <w:rPr>
                <w:sz w:val="20"/>
              </w:rPr>
              <w:t xml:space="preserve">3.  </w:t>
            </w:r>
            <w:r w:rsidR="00040A84" w:rsidRPr="00FC3339">
              <w:rPr>
                <w:sz w:val="20"/>
              </w:rPr>
              <w:t>SVL92 (Tank 2)</w:t>
            </w:r>
          </w:p>
        </w:tc>
        <w:tc>
          <w:tcPr>
            <w:tcW w:w="2790" w:type="dxa"/>
            <w:tcBorders>
              <w:top w:val="single" w:sz="4" w:space="0" w:color="auto"/>
            </w:tcBorders>
          </w:tcPr>
          <w:p w:rsidR="00040A84" w:rsidRPr="00FC3339" w:rsidRDefault="00040A84" w:rsidP="00FE3CC4">
            <w:pPr>
              <w:ind w:right="72"/>
              <w:jc w:val="center"/>
              <w:rPr>
                <w:rFonts w:cs="Arial"/>
                <w:sz w:val="20"/>
              </w:rPr>
            </w:pPr>
            <w:r w:rsidRPr="00FC3339">
              <w:rPr>
                <w:sz w:val="20"/>
              </w:rPr>
              <w:t>18</w:t>
            </w:r>
            <w:r w:rsidRPr="00A637C9">
              <w:rPr>
                <w:sz w:val="20"/>
                <w:vertAlign w:val="superscript"/>
              </w:rPr>
              <w:t>2</w:t>
            </w:r>
          </w:p>
        </w:tc>
        <w:tc>
          <w:tcPr>
            <w:tcW w:w="1890" w:type="dxa"/>
            <w:tcBorders>
              <w:top w:val="single" w:sz="4" w:space="0" w:color="auto"/>
            </w:tcBorders>
          </w:tcPr>
          <w:p w:rsidR="00040A84" w:rsidRPr="00FC3339" w:rsidRDefault="00040A84" w:rsidP="00FE3CC4">
            <w:pPr>
              <w:ind w:right="72"/>
              <w:jc w:val="center"/>
              <w:rPr>
                <w:rFonts w:cs="Arial"/>
                <w:sz w:val="20"/>
              </w:rPr>
            </w:pPr>
            <w:r w:rsidRPr="00FC3339">
              <w:rPr>
                <w:sz w:val="20"/>
              </w:rPr>
              <w:t>27</w:t>
            </w:r>
            <w:r w:rsidRPr="00A637C9">
              <w:rPr>
                <w:sz w:val="20"/>
                <w:vertAlign w:val="superscript"/>
              </w:rPr>
              <w:t>2</w:t>
            </w:r>
          </w:p>
        </w:tc>
        <w:tc>
          <w:tcPr>
            <w:tcW w:w="2880" w:type="dxa"/>
            <w:tcBorders>
              <w:top w:val="single" w:sz="4" w:space="0" w:color="auto"/>
            </w:tcBorders>
          </w:tcPr>
          <w:p w:rsidR="00040A84" w:rsidRPr="00040A84" w:rsidRDefault="00040A84" w:rsidP="00FE3CC4">
            <w:pPr>
              <w:jc w:val="center"/>
              <w:rPr>
                <w:b/>
                <w:sz w:val="20"/>
              </w:rPr>
            </w:pPr>
            <w:r w:rsidRPr="00040A84">
              <w:rPr>
                <w:b/>
                <w:sz w:val="20"/>
              </w:rPr>
              <w:t>R 336.1225</w:t>
            </w:r>
          </w:p>
          <w:p w:rsidR="00040A84" w:rsidRPr="00040A84" w:rsidRDefault="00040A84" w:rsidP="00FE3CC4">
            <w:pPr>
              <w:jc w:val="center"/>
              <w:rPr>
                <w:b/>
                <w:sz w:val="20"/>
              </w:rPr>
            </w:pPr>
            <w:r w:rsidRPr="00040A84">
              <w:rPr>
                <w:b/>
                <w:sz w:val="20"/>
              </w:rPr>
              <w:t>R 336.1901</w:t>
            </w:r>
          </w:p>
          <w:p w:rsidR="00040A84" w:rsidRPr="00040A84" w:rsidRDefault="00040A84" w:rsidP="00FE3CC4">
            <w:pPr>
              <w:jc w:val="center"/>
              <w:rPr>
                <w:b/>
                <w:sz w:val="20"/>
              </w:rPr>
            </w:pPr>
            <w:r w:rsidRPr="00040A84">
              <w:rPr>
                <w:b/>
                <w:sz w:val="20"/>
              </w:rPr>
              <w:t>R 336.2803</w:t>
            </w:r>
          </w:p>
          <w:p w:rsidR="00040A84" w:rsidRPr="00040A84" w:rsidRDefault="00040A84" w:rsidP="00FE3CC4">
            <w:pPr>
              <w:jc w:val="center"/>
              <w:rPr>
                <w:b/>
                <w:sz w:val="20"/>
              </w:rPr>
            </w:pPr>
            <w:r w:rsidRPr="00040A84">
              <w:rPr>
                <w:b/>
                <w:sz w:val="20"/>
              </w:rPr>
              <w:t>R 336.2804</w:t>
            </w:r>
          </w:p>
          <w:p w:rsidR="00040A84" w:rsidRPr="00040A84" w:rsidRDefault="00040A84" w:rsidP="00FE3CC4">
            <w:pPr>
              <w:jc w:val="center"/>
              <w:rPr>
                <w:b/>
                <w:sz w:val="20"/>
              </w:rPr>
            </w:pPr>
            <w:r w:rsidRPr="00040A84">
              <w:rPr>
                <w:b/>
                <w:sz w:val="20"/>
              </w:rPr>
              <w:t>40 CFR 52.21 (c) and (d)</w:t>
            </w:r>
          </w:p>
        </w:tc>
      </w:tr>
    </w:tbl>
    <w:p w:rsidR="00AE1D84" w:rsidRDefault="00AE1D84" w:rsidP="00F62984">
      <w:pPr>
        <w:jc w:val="both"/>
        <w:rPr>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404827" w:rsidRDefault="00404827" w:rsidP="00FE3CC4">
      <w:pPr>
        <w:numPr>
          <w:ilvl w:val="0"/>
          <w:numId w:val="34"/>
        </w:numPr>
        <w:ind w:left="360"/>
        <w:jc w:val="both"/>
        <w:rPr>
          <w:sz w:val="20"/>
        </w:rPr>
      </w:pPr>
      <w:r>
        <w:rPr>
          <w:sz w:val="20"/>
        </w:rPr>
        <w:t>The permittee shall comply with all applicable provisions of the National Emission Standards for Hazardous Air Pollutants, as specified in 40 CFR, Part 63, Subpart A and Subpart MMMM for Surface Coating of Miscellaneous Metal Parts and Products by the initial compliance date.</w:t>
      </w:r>
      <w:r>
        <w:t xml:space="preserve">  </w:t>
      </w:r>
      <w:r>
        <w:rPr>
          <w:b/>
          <w:sz w:val="20"/>
        </w:rPr>
        <w:t>(40 CFR Part 63, Subparts A and MMMM</w:t>
      </w:r>
      <w:r>
        <w:rPr>
          <w:rFonts w:cs="Arial"/>
          <w:b/>
          <w:sz w:val="20"/>
        </w:rPr>
        <w:t xml:space="preserve">) </w:t>
      </w:r>
    </w:p>
    <w:p w:rsidR="00404827" w:rsidRDefault="00404827" w:rsidP="00F62984">
      <w:pPr>
        <w:jc w:val="both"/>
        <w:rPr>
          <w:sz w:val="20"/>
        </w:rPr>
      </w:pPr>
    </w:p>
    <w:p w:rsidR="008E270F" w:rsidRPr="00FE0AD0" w:rsidRDefault="008E270F"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C69F6" w:rsidRPr="004B4509" w:rsidRDefault="004C69F6" w:rsidP="004B4509">
      <w:pPr>
        <w:rPr>
          <w:sz w:val="20"/>
        </w:rPr>
      </w:pPr>
    </w:p>
    <w:p w:rsidR="00E14632" w:rsidRPr="00FE0AD0" w:rsidRDefault="00E14632" w:rsidP="00E14632">
      <w:pPr>
        <w:rPr>
          <w:sz w:val="20"/>
        </w:rPr>
      </w:pPr>
    </w:p>
    <w:p w:rsidR="0034744B" w:rsidRPr="00440957" w:rsidRDefault="00E14632" w:rsidP="008E270F">
      <w:pPr>
        <w:pStyle w:val="Heading1"/>
        <w:rPr>
          <w:sz w:val="20"/>
          <w:szCs w:val="20"/>
        </w:rPr>
      </w:pPr>
      <w:r>
        <w:br w:type="page"/>
      </w:r>
      <w:bookmarkStart w:id="89" w:name="_Toc10726745"/>
      <w:r w:rsidR="0034744B" w:rsidRPr="00393A6F">
        <w:lastRenderedPageBreak/>
        <w:t xml:space="preserve">D.  FLEXIBLE GROUP </w:t>
      </w:r>
      <w:bookmarkEnd w:id="82"/>
      <w:r w:rsidR="00494D15">
        <w:t xml:space="preserve">SPECIAL </w:t>
      </w:r>
      <w:r w:rsidR="00456F47" w:rsidRPr="00393A6F">
        <w:t>CONDITIONS</w:t>
      </w:r>
      <w:bookmarkEnd w:id="89"/>
    </w:p>
    <w:p w:rsidR="0034744B" w:rsidRPr="008E1254"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Pr="002B5ED5" w:rsidRDefault="0034744B" w:rsidP="001F649E">
      <w:pPr>
        <w:pStyle w:val="Heading2"/>
        <w:numPr>
          <w:ilvl w:val="0"/>
          <w:numId w:val="0"/>
        </w:numPr>
        <w:rPr>
          <w:bCs/>
          <w:sz w:val="22"/>
          <w:szCs w:val="22"/>
        </w:rPr>
      </w:pPr>
      <w:bookmarkStart w:id="90" w:name="_Toc2571646"/>
      <w:bookmarkStart w:id="91" w:name="_Toc10726746"/>
      <w:r w:rsidRPr="002B5ED5">
        <w:rPr>
          <w:bCs/>
          <w:sz w:val="22"/>
          <w:szCs w:val="22"/>
        </w:rPr>
        <w:t>FLEXIBLE GROUP SUMMARY TABLE</w:t>
      </w:r>
      <w:bookmarkEnd w:id="90"/>
      <w:bookmarkEnd w:id="91"/>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F83937">
        <w:trPr>
          <w:cantSplit/>
        </w:trPr>
        <w:tc>
          <w:tcPr>
            <w:tcW w:w="2340" w:type="dxa"/>
          </w:tcPr>
          <w:p w:rsidR="00F83937" w:rsidRPr="00FE4B49" w:rsidRDefault="00F83937" w:rsidP="00F83937">
            <w:pPr>
              <w:rPr>
                <w:rFonts w:cs="Arial"/>
                <w:sz w:val="20"/>
              </w:rPr>
            </w:pPr>
            <w:bookmarkStart w:id="92" w:name="_Hlk534721747"/>
            <w:r>
              <w:rPr>
                <w:rFonts w:cs="Arial"/>
                <w:sz w:val="20"/>
              </w:rPr>
              <w:t>FGBOILERS</w:t>
            </w:r>
          </w:p>
        </w:tc>
        <w:tc>
          <w:tcPr>
            <w:tcW w:w="5130" w:type="dxa"/>
          </w:tcPr>
          <w:p w:rsidR="00F83937" w:rsidRPr="00EF4F9C" w:rsidRDefault="00F83937" w:rsidP="00F83937">
            <w:pPr>
              <w:jc w:val="both"/>
              <w:rPr>
                <w:rFonts w:cs="Arial"/>
                <w:sz w:val="20"/>
              </w:rPr>
            </w:pPr>
            <w:r w:rsidRPr="00EF4F9C">
              <w:rPr>
                <w:rFonts w:cs="Arial"/>
                <w:sz w:val="20"/>
              </w:rPr>
              <w:t xml:space="preserve">Requirements for existing Gas 1, (Natural Gas only) Boilers and Process Heaters at major sources of Hazardous Air Pollutants.  </w:t>
            </w:r>
          </w:p>
          <w:p w:rsidR="00F83937" w:rsidRDefault="00F83937" w:rsidP="00F83937">
            <w:pPr>
              <w:rPr>
                <w:rFonts w:cs="Arial"/>
                <w:sz w:val="20"/>
              </w:rPr>
            </w:pPr>
          </w:p>
        </w:tc>
        <w:tc>
          <w:tcPr>
            <w:tcW w:w="2700" w:type="dxa"/>
          </w:tcPr>
          <w:p w:rsidR="002149BA" w:rsidRDefault="00F83937" w:rsidP="00F83937">
            <w:pPr>
              <w:rPr>
                <w:rFonts w:cs="Arial"/>
                <w:sz w:val="20"/>
              </w:rPr>
            </w:pPr>
            <w:r>
              <w:rPr>
                <w:rFonts w:cs="Arial"/>
                <w:sz w:val="20"/>
              </w:rPr>
              <w:t>EUBOILER2</w:t>
            </w:r>
          </w:p>
          <w:p w:rsidR="00F83937" w:rsidRDefault="00F83937" w:rsidP="00F83937">
            <w:pPr>
              <w:rPr>
                <w:rFonts w:cs="Arial"/>
                <w:sz w:val="20"/>
              </w:rPr>
            </w:pPr>
            <w:r w:rsidRPr="00FD0917">
              <w:rPr>
                <w:rFonts w:cs="Arial"/>
                <w:sz w:val="20"/>
              </w:rPr>
              <w:t>EUBOILER</w:t>
            </w:r>
            <w:r>
              <w:rPr>
                <w:rFonts w:cs="Arial"/>
                <w:sz w:val="20"/>
              </w:rPr>
              <w:t>5</w:t>
            </w:r>
          </w:p>
        </w:tc>
      </w:tr>
      <w:bookmarkEnd w:id="92"/>
    </w:tbl>
    <w:p w:rsidR="00E735E6" w:rsidRDefault="00E735E6" w:rsidP="008427BE">
      <w:pPr>
        <w:jc w:val="both"/>
        <w:rPr>
          <w:sz w:val="20"/>
        </w:rPr>
      </w:pPr>
    </w:p>
    <w:p w:rsidR="008E270F" w:rsidRPr="0027370E" w:rsidRDefault="00AE1D84" w:rsidP="008E270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93" w:name="_Toc10726747"/>
      <w:r w:rsidR="008E270F">
        <w:rPr>
          <w:bCs/>
          <w:szCs w:val="28"/>
        </w:rPr>
        <w:lastRenderedPageBreak/>
        <w:t>FGBOILERS</w:t>
      </w:r>
      <w:bookmarkEnd w:id="93"/>
    </w:p>
    <w:p w:rsidR="008E270F" w:rsidRPr="0027370E" w:rsidRDefault="008E270F" w:rsidP="008E270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27370E">
        <w:rPr>
          <w:b/>
          <w:sz w:val="28"/>
          <w:szCs w:val="28"/>
        </w:rPr>
        <w:t xml:space="preserve"> CONDITIONS</w:t>
      </w:r>
    </w:p>
    <w:p w:rsidR="008E270F" w:rsidRDefault="008E270F" w:rsidP="008E270F">
      <w:pPr>
        <w:jc w:val="both"/>
        <w:rPr>
          <w:b/>
          <w:u w:val="single"/>
        </w:rPr>
      </w:pPr>
    </w:p>
    <w:p w:rsidR="00AE1D84" w:rsidRDefault="00AE1D84" w:rsidP="008E270F">
      <w:pPr>
        <w:jc w:val="both"/>
        <w:rPr>
          <w:b/>
          <w:u w:val="single"/>
        </w:rPr>
      </w:pPr>
      <w:r>
        <w:rPr>
          <w:b/>
          <w:u w:val="single"/>
        </w:rPr>
        <w:t>DESCRIPTION</w:t>
      </w:r>
    </w:p>
    <w:p w:rsidR="00AE1D84" w:rsidRPr="00C3424D" w:rsidRDefault="00AE1D84" w:rsidP="00F62984">
      <w:pPr>
        <w:jc w:val="both"/>
        <w:rPr>
          <w:sz w:val="20"/>
        </w:rPr>
      </w:pPr>
    </w:p>
    <w:p w:rsidR="002149BA" w:rsidRPr="00EF4F9C" w:rsidRDefault="002149BA" w:rsidP="002149BA">
      <w:pPr>
        <w:jc w:val="both"/>
        <w:rPr>
          <w:rFonts w:cs="Arial"/>
          <w:sz w:val="20"/>
        </w:rPr>
      </w:pPr>
      <w:r w:rsidRPr="00EF4F9C">
        <w:rPr>
          <w:rFonts w:cs="Arial"/>
          <w:sz w:val="20"/>
        </w:rPr>
        <w:t xml:space="preserve">Requirements for existing Gas 1, (Natural Gas only) Boilers and Process Heaters at major sources of Hazardous Air Pollutants.  </w:t>
      </w:r>
    </w:p>
    <w:p w:rsidR="00AE1D84" w:rsidRPr="00C3424D" w:rsidRDefault="00AE1D84" w:rsidP="00F62984">
      <w:pPr>
        <w:jc w:val="both"/>
        <w:rPr>
          <w:sz w:val="20"/>
        </w:rPr>
      </w:pPr>
    </w:p>
    <w:p w:rsidR="00AE1D84" w:rsidRPr="002149BA" w:rsidRDefault="00AE1D84" w:rsidP="00F62984">
      <w:pPr>
        <w:jc w:val="both"/>
        <w:rPr>
          <w:sz w:val="20"/>
        </w:rPr>
      </w:pPr>
      <w:r w:rsidRPr="00FE0AD0">
        <w:rPr>
          <w:b/>
          <w:sz w:val="20"/>
        </w:rPr>
        <w:t>Emission Unit</w:t>
      </w:r>
      <w:r>
        <w:rPr>
          <w:b/>
          <w:sz w:val="20"/>
        </w:rPr>
        <w:t>:</w:t>
      </w:r>
      <w:r w:rsidR="002149BA">
        <w:rPr>
          <w:sz w:val="20"/>
        </w:rPr>
        <w:t xml:space="preserve"> </w:t>
      </w:r>
      <w:r w:rsidR="008E270F">
        <w:rPr>
          <w:sz w:val="20"/>
        </w:rPr>
        <w:t xml:space="preserve"> </w:t>
      </w:r>
      <w:r w:rsidR="002149BA">
        <w:rPr>
          <w:sz w:val="20"/>
        </w:rPr>
        <w:t>EUBOILER2, EUBOILER5</w:t>
      </w:r>
    </w:p>
    <w:p w:rsidR="009B1994" w:rsidRDefault="009B1994" w:rsidP="008E270F">
      <w:pPr>
        <w:jc w:val="both"/>
        <w:rPr>
          <w:sz w:val="20"/>
        </w:rPr>
      </w:pPr>
    </w:p>
    <w:p w:rsidR="00EE7F2E" w:rsidRDefault="00EE7F2E" w:rsidP="008E270F">
      <w:pPr>
        <w:jc w:val="both"/>
        <w:rPr>
          <w:sz w:val="20"/>
        </w:rPr>
      </w:pPr>
      <w:r w:rsidRPr="00EE7F2E">
        <w:rPr>
          <w:sz w:val="20"/>
        </w:rPr>
        <w:t>The collection at a major source of all existing industrial, commercial, and institutional boilers and process heaters within the units designed to burn gas 1 fuel subcategory as defined in 40 CFR 63.7575.  At the time of permit renewal:</w:t>
      </w:r>
    </w:p>
    <w:p w:rsidR="00AD1F10" w:rsidRPr="009B1994" w:rsidRDefault="00AD1F10" w:rsidP="009B1994">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7218"/>
      </w:tblGrid>
      <w:tr w:rsidR="009B1994" w:rsidRPr="009B1994" w:rsidTr="00FE3CC4">
        <w:tc>
          <w:tcPr>
            <w:tcW w:w="2804" w:type="dxa"/>
          </w:tcPr>
          <w:p w:rsidR="009B1994" w:rsidRPr="009B1994" w:rsidRDefault="00A037B2" w:rsidP="009B1994">
            <w:pPr>
              <w:tabs>
                <w:tab w:val="left" w:pos="3060"/>
              </w:tabs>
              <w:rPr>
                <w:sz w:val="20"/>
              </w:rPr>
            </w:pPr>
            <w:r>
              <w:rPr>
                <w:sz w:val="20"/>
              </w:rPr>
              <w:t>L</w:t>
            </w:r>
            <w:r w:rsidR="009B1994" w:rsidRPr="009B1994">
              <w:rPr>
                <w:sz w:val="20"/>
              </w:rPr>
              <w:t>ess than</w:t>
            </w:r>
            <w:r>
              <w:rPr>
                <w:sz w:val="20"/>
              </w:rPr>
              <w:t xml:space="preserve"> or equal to</w:t>
            </w:r>
            <w:r w:rsidR="009B1994" w:rsidRPr="009B1994">
              <w:rPr>
                <w:sz w:val="20"/>
              </w:rPr>
              <w:t xml:space="preserve"> 5 MMBtu/hr</w:t>
            </w:r>
          </w:p>
        </w:tc>
        <w:tc>
          <w:tcPr>
            <w:tcW w:w="7218" w:type="dxa"/>
          </w:tcPr>
          <w:p w:rsidR="009B1994" w:rsidRPr="009B1994" w:rsidRDefault="00554877" w:rsidP="009B1994">
            <w:pPr>
              <w:tabs>
                <w:tab w:val="left" w:pos="3060"/>
              </w:tabs>
              <w:rPr>
                <w:sz w:val="20"/>
              </w:rPr>
            </w:pPr>
            <w:r>
              <w:rPr>
                <w:sz w:val="20"/>
              </w:rPr>
              <w:t>EUBOILER</w:t>
            </w:r>
            <w:r w:rsidR="00E66A6E">
              <w:rPr>
                <w:sz w:val="20"/>
              </w:rPr>
              <w:t>2</w:t>
            </w:r>
          </w:p>
        </w:tc>
      </w:tr>
      <w:tr w:rsidR="009B1994" w:rsidRPr="009B1994" w:rsidTr="00FE3CC4">
        <w:tc>
          <w:tcPr>
            <w:tcW w:w="2804" w:type="dxa"/>
          </w:tcPr>
          <w:p w:rsidR="009B1994" w:rsidRPr="009B1994" w:rsidRDefault="00A037B2" w:rsidP="009B1994">
            <w:r>
              <w:rPr>
                <w:sz w:val="20"/>
              </w:rPr>
              <w:t>Gr</w:t>
            </w:r>
            <w:r w:rsidR="009B1994" w:rsidRPr="009B1994">
              <w:rPr>
                <w:sz w:val="20"/>
              </w:rPr>
              <w:t>eater than 5 MMBtu/hr and less than 10 MMBtu/hr</w:t>
            </w:r>
          </w:p>
        </w:tc>
        <w:tc>
          <w:tcPr>
            <w:tcW w:w="7218" w:type="dxa"/>
          </w:tcPr>
          <w:p w:rsidR="009B1994" w:rsidRPr="009B1994" w:rsidRDefault="00554877" w:rsidP="009B1994">
            <w:pPr>
              <w:tabs>
                <w:tab w:val="left" w:pos="3060"/>
              </w:tabs>
              <w:rPr>
                <w:sz w:val="20"/>
              </w:rPr>
            </w:pPr>
            <w:r>
              <w:rPr>
                <w:sz w:val="20"/>
              </w:rPr>
              <w:t>EUBOILER</w:t>
            </w:r>
            <w:r w:rsidR="00E66A6E">
              <w:rPr>
                <w:sz w:val="20"/>
              </w:rPr>
              <w:t>5</w:t>
            </w:r>
          </w:p>
        </w:tc>
      </w:tr>
      <w:tr w:rsidR="009B1994" w:rsidRPr="009B1994" w:rsidTr="00FE3CC4">
        <w:tc>
          <w:tcPr>
            <w:tcW w:w="2804" w:type="dxa"/>
          </w:tcPr>
          <w:p w:rsidR="009B1994" w:rsidRPr="009B1994" w:rsidRDefault="009B1994" w:rsidP="009B1994">
            <w:r w:rsidRPr="009B1994">
              <w:rPr>
                <w:sz w:val="20"/>
              </w:rPr>
              <w:t>Equal to or greater than 10 MMBtu/hr</w:t>
            </w:r>
          </w:p>
        </w:tc>
        <w:tc>
          <w:tcPr>
            <w:tcW w:w="7218" w:type="dxa"/>
          </w:tcPr>
          <w:p w:rsidR="009B1994" w:rsidRPr="009B1994" w:rsidRDefault="00554877" w:rsidP="009B1994">
            <w:pPr>
              <w:tabs>
                <w:tab w:val="left" w:pos="3060"/>
              </w:tabs>
              <w:rPr>
                <w:sz w:val="20"/>
              </w:rPr>
            </w:pPr>
            <w:r>
              <w:rPr>
                <w:sz w:val="20"/>
              </w:rPr>
              <w:t>NA</w:t>
            </w:r>
          </w:p>
        </w:tc>
      </w:tr>
    </w:tbl>
    <w:p w:rsidR="009B1994" w:rsidRPr="00F30023" w:rsidRDefault="009B1994" w:rsidP="00F62984">
      <w:pPr>
        <w:jc w:val="both"/>
        <w:rPr>
          <w:sz w:val="20"/>
        </w:rPr>
      </w:pPr>
    </w:p>
    <w:p w:rsidR="00AE1D84" w:rsidRDefault="00AE1D84" w:rsidP="00F62984">
      <w:pPr>
        <w:jc w:val="both"/>
        <w:rPr>
          <w:b/>
          <w:u w:val="single"/>
        </w:rPr>
      </w:pPr>
      <w:r>
        <w:rPr>
          <w:b/>
          <w:u w:val="single"/>
        </w:rPr>
        <w:t>POLLUTION CONTROL EQUIPMENT</w:t>
      </w:r>
    </w:p>
    <w:p w:rsidR="00AE1D84" w:rsidRPr="0074351C" w:rsidRDefault="00AE1D84" w:rsidP="00F62984">
      <w:pPr>
        <w:jc w:val="both"/>
      </w:pPr>
    </w:p>
    <w:p w:rsidR="00AE1D84" w:rsidRPr="002149BA" w:rsidRDefault="002149BA" w:rsidP="00F62984">
      <w:pPr>
        <w:jc w:val="both"/>
        <w:rPr>
          <w:sz w:val="20"/>
        </w:rPr>
      </w:pPr>
      <w:r>
        <w:rPr>
          <w:sz w:val="20"/>
        </w:rPr>
        <w:t>NA</w:t>
      </w:r>
    </w:p>
    <w:p w:rsidR="00AE1D84" w:rsidRPr="008B5C27" w:rsidRDefault="00AE1D84" w:rsidP="00F62984">
      <w:pPr>
        <w:rPr>
          <w:sz w:val="20"/>
        </w:rPr>
      </w:pPr>
    </w:p>
    <w:p w:rsidR="00AE1D84" w:rsidRDefault="00AE1D84" w:rsidP="00F62984">
      <w:pPr>
        <w:jc w:val="both"/>
        <w:rPr>
          <w:b/>
          <w:u w:val="single"/>
        </w:rPr>
      </w:pPr>
      <w:r>
        <w:rPr>
          <w:b/>
        </w:rPr>
        <w:t xml:space="preserve">I.  </w:t>
      </w:r>
      <w:r>
        <w:rPr>
          <w:b/>
          <w:u w:val="single"/>
        </w:rPr>
        <w:t>EMISSION LIMIT(S)</w:t>
      </w:r>
    </w:p>
    <w:p w:rsidR="00AE1D84" w:rsidRPr="00FE0AD0" w:rsidRDefault="00AE1D84" w:rsidP="00F62984">
      <w:pPr>
        <w:jc w:val="both"/>
        <w:rPr>
          <w:sz w:val="20"/>
        </w:rPr>
      </w:pPr>
    </w:p>
    <w:p w:rsidR="00494D15" w:rsidRPr="00412D35" w:rsidRDefault="00412D35" w:rsidP="00F62984">
      <w:pPr>
        <w:jc w:val="both"/>
        <w:rPr>
          <w:sz w:val="20"/>
        </w:rPr>
      </w:pPr>
      <w:r>
        <w:rPr>
          <w:sz w:val="20"/>
        </w:rPr>
        <w:t>NA</w:t>
      </w:r>
    </w:p>
    <w:p w:rsidR="00494D15" w:rsidRPr="00E91170" w:rsidRDefault="00494D15" w:rsidP="00F62984">
      <w:pPr>
        <w:jc w:val="both"/>
        <w:rPr>
          <w:color w:val="FF0000"/>
          <w:sz w:val="20"/>
        </w:rPr>
      </w:pPr>
    </w:p>
    <w:p w:rsidR="00AE1D84" w:rsidRDefault="00AE1D84" w:rsidP="00F62984">
      <w:pPr>
        <w:jc w:val="both"/>
        <w:rPr>
          <w:b/>
          <w:u w:val="single"/>
        </w:rPr>
      </w:pPr>
      <w:r>
        <w:rPr>
          <w:b/>
        </w:rPr>
        <w:t xml:space="preserve">II.  </w:t>
      </w:r>
      <w:r>
        <w:rPr>
          <w:b/>
          <w:u w:val="single"/>
        </w:rPr>
        <w:t>MATERIAL LIMIT(S)</w:t>
      </w:r>
    </w:p>
    <w:p w:rsidR="00AE1D84" w:rsidRPr="00FE0AD0" w:rsidRDefault="00AE1D84" w:rsidP="00F62984">
      <w:pPr>
        <w:jc w:val="both"/>
        <w:rPr>
          <w:sz w:val="20"/>
        </w:rPr>
      </w:pPr>
    </w:p>
    <w:p w:rsidR="00412D35" w:rsidRPr="00412D35" w:rsidRDefault="00412D35" w:rsidP="00412D35">
      <w:pPr>
        <w:ind w:left="360" w:hanging="360"/>
        <w:jc w:val="both"/>
        <w:rPr>
          <w:color w:val="000000"/>
          <w:sz w:val="20"/>
        </w:rPr>
      </w:pPr>
      <w:r w:rsidRPr="00412D35">
        <w:rPr>
          <w:color w:val="000000"/>
          <w:sz w:val="20"/>
        </w:rPr>
        <w:t>1.</w:t>
      </w:r>
      <w:r w:rsidRPr="00412D35">
        <w:rPr>
          <w:color w:val="000000"/>
          <w:sz w:val="20"/>
        </w:rPr>
        <w:tab/>
        <w:t xml:space="preserve">The permittee shall only burn natural gas as defined in 40 CFR 63.7575.  </w:t>
      </w:r>
      <w:r w:rsidRPr="00412D35">
        <w:rPr>
          <w:b/>
          <w:color w:val="000000"/>
          <w:sz w:val="20"/>
        </w:rPr>
        <w:t>(40 CFR 63.7499(l))</w:t>
      </w:r>
    </w:p>
    <w:p w:rsidR="00494D15" w:rsidRPr="00412D35" w:rsidRDefault="00494D15" w:rsidP="00F62984">
      <w:pPr>
        <w:jc w:val="both"/>
        <w:rPr>
          <w:sz w:val="20"/>
        </w:rPr>
      </w:pPr>
    </w:p>
    <w:p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412D35" w:rsidRPr="00412D35" w:rsidRDefault="00412D35" w:rsidP="00FE3CC4">
      <w:pPr>
        <w:numPr>
          <w:ilvl w:val="0"/>
          <w:numId w:val="43"/>
        </w:numPr>
        <w:jc w:val="both"/>
        <w:rPr>
          <w:rFonts w:cs="Arial"/>
          <w:b/>
          <w:sz w:val="20"/>
        </w:rPr>
      </w:pPr>
      <w:r w:rsidRPr="00412D35">
        <w:rPr>
          <w:rFonts w:cs="Arial"/>
          <w:sz w:val="20"/>
        </w:rPr>
        <w:t>The permittee must meet the</w:t>
      </w:r>
      <w:r w:rsidR="00DA0222">
        <w:rPr>
          <w:rFonts w:cs="Arial"/>
          <w:sz w:val="20"/>
        </w:rPr>
        <w:t xml:space="preserve"> </w:t>
      </w:r>
      <w:r w:rsidRPr="00412D35">
        <w:rPr>
          <w:rFonts w:cs="Arial"/>
          <w:sz w:val="20"/>
        </w:rPr>
        <w:t xml:space="preserve">tune-up and </w:t>
      </w:r>
      <w:r w:rsidR="00057701">
        <w:rPr>
          <w:rFonts w:cs="Arial"/>
          <w:sz w:val="20"/>
        </w:rPr>
        <w:t>one-time e</w:t>
      </w:r>
      <w:r w:rsidRPr="00412D35">
        <w:rPr>
          <w:rFonts w:cs="Arial"/>
          <w:sz w:val="20"/>
        </w:rPr>
        <w:t xml:space="preserve">nergy </w:t>
      </w:r>
      <w:r w:rsidR="00057701">
        <w:rPr>
          <w:rFonts w:cs="Arial"/>
          <w:sz w:val="20"/>
        </w:rPr>
        <w:t>a</w:t>
      </w:r>
      <w:r w:rsidRPr="00412D35">
        <w:rPr>
          <w:rFonts w:cs="Arial"/>
          <w:sz w:val="20"/>
        </w:rPr>
        <w:t xml:space="preserve">ssessment work practice standards </w:t>
      </w:r>
      <w:r w:rsidR="00076070" w:rsidRPr="00076070">
        <w:rPr>
          <w:rFonts w:cs="Arial"/>
          <w:sz w:val="20"/>
        </w:rPr>
        <w:t xml:space="preserve">in Tables 1 through 3 and 11 through 13 </w:t>
      </w:r>
      <w:r w:rsidR="00076070">
        <w:rPr>
          <w:rFonts w:cs="Arial"/>
          <w:sz w:val="20"/>
        </w:rPr>
        <w:t>of 40 CFR 63 Subpart DDDDD that</w:t>
      </w:r>
      <w:r w:rsidR="00076070" w:rsidRPr="00076070">
        <w:rPr>
          <w:rFonts w:cs="Arial"/>
          <w:sz w:val="20"/>
        </w:rPr>
        <w:t xml:space="preserve"> app</w:t>
      </w:r>
      <w:r w:rsidR="00076070">
        <w:rPr>
          <w:rFonts w:cs="Arial"/>
          <w:sz w:val="20"/>
        </w:rPr>
        <w:t>ly</w:t>
      </w:r>
      <w:r w:rsidR="00076070" w:rsidRPr="00076070">
        <w:rPr>
          <w:rFonts w:cs="Arial"/>
          <w:sz w:val="20"/>
        </w:rPr>
        <w:t xml:space="preserve"> to </w:t>
      </w:r>
      <w:r w:rsidR="00076070">
        <w:rPr>
          <w:rFonts w:cs="Arial"/>
          <w:sz w:val="20"/>
        </w:rPr>
        <w:t>each emission unit in FGBOILERS</w:t>
      </w:r>
      <w:r w:rsidRPr="00412D35">
        <w:rPr>
          <w:rFonts w:cs="Arial"/>
          <w:sz w:val="20"/>
        </w:rPr>
        <w:t xml:space="preserve">.  </w:t>
      </w:r>
      <w:r w:rsidRPr="00412D35">
        <w:rPr>
          <w:rFonts w:cs="Arial"/>
          <w:b/>
          <w:sz w:val="20"/>
        </w:rPr>
        <w:t>(40 CFR 63.7500(a)(1), 40 CFR Part 63, Subpart DDDDD, Table 3, Nos. 1-4)</w:t>
      </w:r>
    </w:p>
    <w:p w:rsidR="00412D35" w:rsidRPr="00412D35" w:rsidRDefault="00412D35" w:rsidP="00412D35">
      <w:pPr>
        <w:jc w:val="both"/>
        <w:rPr>
          <w:rFonts w:cs="Arial"/>
          <w:sz w:val="20"/>
        </w:rPr>
      </w:pPr>
    </w:p>
    <w:p w:rsidR="00412D35" w:rsidRPr="00412D35" w:rsidRDefault="00412D35" w:rsidP="00FE3CC4">
      <w:pPr>
        <w:numPr>
          <w:ilvl w:val="0"/>
          <w:numId w:val="43"/>
        </w:numPr>
        <w:jc w:val="both"/>
        <w:rPr>
          <w:rFonts w:cs="Arial"/>
          <w:b/>
          <w:sz w:val="20"/>
        </w:rPr>
      </w:pPr>
      <w:r w:rsidRPr="00412D35">
        <w:rPr>
          <w:rFonts w:cs="Arial"/>
          <w:sz w:val="20"/>
        </w:rPr>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412D35">
        <w:rPr>
          <w:rFonts w:cs="Arial"/>
          <w:b/>
          <w:sz w:val="20"/>
        </w:rPr>
        <w:t>(40 CFR 63.7500(a)(3))</w:t>
      </w:r>
    </w:p>
    <w:p w:rsidR="00412D35" w:rsidRPr="00412D35" w:rsidRDefault="00412D35" w:rsidP="00412D35">
      <w:pPr>
        <w:jc w:val="both"/>
        <w:rPr>
          <w:rFonts w:cs="Arial"/>
          <w:sz w:val="20"/>
        </w:rPr>
      </w:pPr>
    </w:p>
    <w:p w:rsidR="00412D35" w:rsidRPr="00412D35" w:rsidRDefault="00412D35" w:rsidP="00FE3CC4">
      <w:pPr>
        <w:numPr>
          <w:ilvl w:val="0"/>
          <w:numId w:val="43"/>
        </w:numPr>
        <w:contextualSpacing/>
        <w:jc w:val="both"/>
        <w:rPr>
          <w:rFonts w:cs="Arial"/>
          <w:b/>
          <w:sz w:val="20"/>
        </w:rPr>
      </w:pPr>
      <w:r w:rsidRPr="00412D35">
        <w:rPr>
          <w:rFonts w:cs="Arial"/>
          <w:sz w:val="20"/>
        </w:rPr>
        <w:t xml:space="preserve">The permittee may obtain approval from the Administrator to use an alternative to the work practice standards noted in SC III.1 and/or SC III.2.  </w:t>
      </w:r>
      <w:r w:rsidRPr="00412D35">
        <w:rPr>
          <w:rFonts w:cs="Arial"/>
          <w:b/>
          <w:sz w:val="20"/>
        </w:rPr>
        <w:t>(40 CFR 63.7500(b))</w:t>
      </w:r>
    </w:p>
    <w:p w:rsidR="00412D35" w:rsidRPr="00412D35" w:rsidRDefault="00412D35" w:rsidP="00412D35">
      <w:pPr>
        <w:jc w:val="both"/>
        <w:rPr>
          <w:rFonts w:cs="Arial"/>
          <w:sz w:val="20"/>
        </w:rPr>
      </w:pPr>
    </w:p>
    <w:p w:rsidR="00F033A6" w:rsidRDefault="00412D35" w:rsidP="00F033A6">
      <w:pPr>
        <w:numPr>
          <w:ilvl w:val="0"/>
          <w:numId w:val="43"/>
        </w:numPr>
        <w:contextualSpacing/>
        <w:jc w:val="both"/>
        <w:rPr>
          <w:rFonts w:cs="Arial"/>
          <w:sz w:val="20"/>
        </w:rPr>
      </w:pPr>
      <w:r w:rsidRPr="00412D35">
        <w:rPr>
          <w:rFonts w:cs="Arial"/>
          <w:sz w:val="20"/>
        </w:rPr>
        <w:t xml:space="preserve">The permittee </w:t>
      </w:r>
      <w:r w:rsidR="00F033A6">
        <w:rPr>
          <w:rFonts w:cs="Arial"/>
          <w:sz w:val="20"/>
        </w:rPr>
        <w:t>shall c</w:t>
      </w:r>
      <w:r w:rsidRPr="00F033A6">
        <w:rPr>
          <w:rFonts w:cs="Arial"/>
          <w:sz w:val="20"/>
        </w:rPr>
        <w:t xml:space="preserve">omplete a tune-up every 5 years (61 months) for </w:t>
      </w:r>
      <w:r w:rsidR="00F033A6" w:rsidRPr="00F033A6">
        <w:rPr>
          <w:rFonts w:cs="Arial"/>
          <w:sz w:val="20"/>
        </w:rPr>
        <w:t>EUBOILER</w:t>
      </w:r>
      <w:r w:rsidR="00A037B2">
        <w:rPr>
          <w:rFonts w:cs="Arial"/>
          <w:sz w:val="20"/>
        </w:rPr>
        <w:t>2</w:t>
      </w:r>
      <w:r w:rsidRPr="00F033A6">
        <w:rPr>
          <w:rFonts w:cs="Arial"/>
          <w:sz w:val="20"/>
        </w:rPr>
        <w:t xml:space="preserve">.  </w:t>
      </w:r>
      <w:r w:rsidRPr="00F033A6">
        <w:rPr>
          <w:rFonts w:cs="Arial"/>
          <w:b/>
          <w:sz w:val="20"/>
        </w:rPr>
        <w:t>(40 CFR 63.7500(e), 40</w:t>
      </w:r>
      <w:r w:rsidR="008E270F">
        <w:rPr>
          <w:rFonts w:cs="Arial"/>
          <w:b/>
          <w:sz w:val="20"/>
        </w:rPr>
        <w:t> </w:t>
      </w:r>
      <w:r w:rsidRPr="00F033A6">
        <w:rPr>
          <w:rFonts w:cs="Arial"/>
          <w:b/>
          <w:sz w:val="20"/>
        </w:rPr>
        <w:t>CFR 63.7515(d))</w:t>
      </w:r>
    </w:p>
    <w:p w:rsidR="00F033A6" w:rsidRDefault="00F033A6" w:rsidP="00F033A6">
      <w:pPr>
        <w:pStyle w:val="ListParagraph"/>
        <w:rPr>
          <w:rFonts w:cs="Arial"/>
          <w:sz w:val="20"/>
        </w:rPr>
      </w:pPr>
    </w:p>
    <w:p w:rsidR="009D5D8D" w:rsidRPr="009D5D8D" w:rsidRDefault="00F033A6" w:rsidP="009D5D8D">
      <w:pPr>
        <w:numPr>
          <w:ilvl w:val="0"/>
          <w:numId w:val="43"/>
        </w:numPr>
        <w:contextualSpacing/>
        <w:jc w:val="both"/>
        <w:rPr>
          <w:rFonts w:cs="Arial"/>
          <w:sz w:val="20"/>
        </w:rPr>
      </w:pPr>
      <w:r w:rsidRPr="00412D35">
        <w:rPr>
          <w:rFonts w:cs="Arial"/>
          <w:sz w:val="20"/>
        </w:rPr>
        <w:t xml:space="preserve">The permittee </w:t>
      </w:r>
      <w:r>
        <w:rPr>
          <w:rFonts w:cs="Arial"/>
          <w:sz w:val="20"/>
        </w:rPr>
        <w:t>shall c</w:t>
      </w:r>
      <w:r w:rsidR="00412D35" w:rsidRPr="00F033A6">
        <w:rPr>
          <w:rFonts w:cs="Arial"/>
          <w:sz w:val="20"/>
        </w:rPr>
        <w:t xml:space="preserve">omplete a tune-up every 2 years (25 months) for </w:t>
      </w:r>
      <w:r w:rsidR="00C70258">
        <w:rPr>
          <w:rFonts w:cs="Arial"/>
          <w:sz w:val="20"/>
        </w:rPr>
        <w:t>EUBOILER</w:t>
      </w:r>
      <w:r w:rsidR="00A037B2">
        <w:rPr>
          <w:rFonts w:cs="Arial"/>
          <w:sz w:val="20"/>
        </w:rPr>
        <w:t>5</w:t>
      </w:r>
      <w:r w:rsidR="00412D35" w:rsidRPr="00F033A6">
        <w:rPr>
          <w:rFonts w:cs="Arial"/>
          <w:sz w:val="20"/>
        </w:rPr>
        <w:t xml:space="preserve">.  </w:t>
      </w:r>
      <w:r w:rsidR="00412D35" w:rsidRPr="00F033A6">
        <w:rPr>
          <w:rFonts w:cs="Arial"/>
          <w:b/>
          <w:sz w:val="20"/>
        </w:rPr>
        <w:t>(40 CFR 63.7500(e), 40</w:t>
      </w:r>
      <w:r w:rsidR="008E270F">
        <w:rPr>
          <w:rFonts w:cs="Arial"/>
          <w:b/>
          <w:sz w:val="20"/>
        </w:rPr>
        <w:t> </w:t>
      </w:r>
      <w:r w:rsidR="00412D35" w:rsidRPr="00F033A6">
        <w:rPr>
          <w:rFonts w:cs="Arial"/>
          <w:b/>
          <w:sz w:val="20"/>
        </w:rPr>
        <w:t>CFR 63.7515(d))</w:t>
      </w:r>
    </w:p>
    <w:p w:rsidR="009D5D8D" w:rsidRDefault="009D5D8D" w:rsidP="009D5D8D">
      <w:pPr>
        <w:pStyle w:val="ListParagraph"/>
        <w:rPr>
          <w:rFonts w:cs="Arial"/>
          <w:sz w:val="20"/>
        </w:rPr>
      </w:pPr>
    </w:p>
    <w:p w:rsidR="009D5D8D" w:rsidRPr="00AD1F10" w:rsidRDefault="009D5D8D" w:rsidP="00AD1F10">
      <w:pPr>
        <w:numPr>
          <w:ilvl w:val="0"/>
          <w:numId w:val="43"/>
        </w:numPr>
        <w:contextualSpacing/>
        <w:jc w:val="both"/>
        <w:rPr>
          <w:rFonts w:cs="Arial"/>
          <w:sz w:val="20"/>
        </w:rPr>
      </w:pPr>
      <w:r>
        <w:rPr>
          <w:rFonts w:cs="Arial"/>
          <w:sz w:val="20"/>
        </w:rPr>
        <w:lastRenderedPageBreak/>
        <w:t>The permittee shall f</w:t>
      </w:r>
      <w:r w:rsidRPr="009D5D8D">
        <w:rPr>
          <w:rFonts w:cs="Arial"/>
          <w:sz w:val="20"/>
        </w:rPr>
        <w:t>ollow the procedures described in SC IX 4.a through 4.f</w:t>
      </w:r>
      <w:r w:rsidRPr="009D5D8D">
        <w:rPr>
          <w:rFonts w:cs="Arial"/>
          <w:color w:val="FF0000"/>
          <w:sz w:val="20"/>
        </w:rPr>
        <w:t xml:space="preserve"> </w:t>
      </w:r>
      <w:r w:rsidRPr="009D5D8D">
        <w:rPr>
          <w:rFonts w:cs="Arial"/>
          <w:sz w:val="20"/>
        </w:rPr>
        <w:t>for all initial and subsequent tune ups.</w:t>
      </w:r>
      <w:r>
        <w:rPr>
          <w:rFonts w:cs="Arial"/>
          <w:sz w:val="20"/>
        </w:rPr>
        <w:t xml:space="preserve">  </w:t>
      </w:r>
      <w:r w:rsidRPr="009D5D8D">
        <w:rPr>
          <w:rFonts w:cs="Arial"/>
          <w:b/>
          <w:sz w:val="20"/>
        </w:rPr>
        <w:t>(40 CFR 63.7540(a)(10), 40 CFR Part 63, Subpart DDDDD, Table 3)</w:t>
      </w:r>
    </w:p>
    <w:p w:rsidR="009D5D8D" w:rsidRDefault="009D5D8D" w:rsidP="009D5D8D">
      <w:pPr>
        <w:pStyle w:val="ListParagraph"/>
        <w:rPr>
          <w:rFonts w:cs="Arial"/>
          <w:sz w:val="20"/>
        </w:rPr>
      </w:pPr>
    </w:p>
    <w:p w:rsidR="00804A44" w:rsidRPr="00804A44" w:rsidRDefault="00F033A6" w:rsidP="00804A44">
      <w:pPr>
        <w:numPr>
          <w:ilvl w:val="0"/>
          <w:numId w:val="43"/>
        </w:numPr>
        <w:contextualSpacing/>
        <w:jc w:val="both"/>
        <w:rPr>
          <w:rFonts w:cs="Arial"/>
          <w:sz w:val="20"/>
        </w:rPr>
      </w:pPr>
      <w:r>
        <w:rPr>
          <w:rFonts w:cs="Arial"/>
          <w:sz w:val="20"/>
        </w:rPr>
        <w:t>If a unit in FGBOILERS</w:t>
      </w:r>
      <w:r w:rsidRPr="00F033A6">
        <w:t xml:space="preserve"> </w:t>
      </w:r>
      <w:r w:rsidRPr="00F033A6">
        <w:rPr>
          <w:rFonts w:cs="Arial"/>
          <w:sz w:val="20"/>
        </w:rPr>
        <w:t>is not operating on the required date for a tune-up</w:t>
      </w:r>
      <w:r>
        <w:rPr>
          <w:rFonts w:cs="Arial"/>
          <w:sz w:val="20"/>
        </w:rPr>
        <w:t>, they permittee shall c</w:t>
      </w:r>
      <w:r w:rsidR="00412D35" w:rsidRPr="00F033A6">
        <w:rPr>
          <w:rFonts w:cs="Arial"/>
          <w:sz w:val="20"/>
        </w:rPr>
        <w:t>onduct the tune-up within 30 calendar days of startup</w:t>
      </w:r>
      <w:r>
        <w:rPr>
          <w:rFonts w:cs="Arial"/>
          <w:sz w:val="20"/>
        </w:rPr>
        <w:t xml:space="preserve"> of the unit</w:t>
      </w:r>
      <w:r w:rsidR="00412D35" w:rsidRPr="00F033A6">
        <w:rPr>
          <w:rFonts w:cs="Arial"/>
          <w:sz w:val="20"/>
        </w:rPr>
        <w:t xml:space="preserve">.  </w:t>
      </w:r>
      <w:r w:rsidR="00412D35" w:rsidRPr="00F033A6">
        <w:rPr>
          <w:rFonts w:cs="Arial"/>
          <w:b/>
          <w:sz w:val="20"/>
        </w:rPr>
        <w:t>(40 CFR 63.7540(a)(13))</w:t>
      </w:r>
    </w:p>
    <w:p w:rsidR="00804A44" w:rsidRPr="00804A44" w:rsidRDefault="00804A44" w:rsidP="009D5D8D">
      <w:pPr>
        <w:contextualSpacing/>
        <w:jc w:val="both"/>
        <w:rPr>
          <w:rFonts w:cs="Arial"/>
          <w:sz w:val="20"/>
        </w:rPr>
      </w:pPr>
    </w:p>
    <w:p w:rsidR="00412D35" w:rsidRPr="00804A44" w:rsidRDefault="00804A44" w:rsidP="00804A44">
      <w:pPr>
        <w:numPr>
          <w:ilvl w:val="0"/>
          <w:numId w:val="43"/>
        </w:numPr>
        <w:contextualSpacing/>
        <w:jc w:val="both"/>
        <w:rPr>
          <w:rFonts w:cs="Arial"/>
          <w:sz w:val="20"/>
        </w:rPr>
      </w:pPr>
      <w:r>
        <w:rPr>
          <w:rFonts w:cs="Arial"/>
          <w:sz w:val="20"/>
        </w:rPr>
        <w:t>The permittee shall c</w:t>
      </w:r>
      <w:r w:rsidR="00412D35" w:rsidRPr="00804A44">
        <w:rPr>
          <w:rFonts w:cs="Arial"/>
          <w:sz w:val="20"/>
        </w:rPr>
        <w:t>omplete the Initial tune ups on all units</w:t>
      </w:r>
      <w:r>
        <w:rPr>
          <w:rFonts w:cs="Arial"/>
          <w:sz w:val="20"/>
        </w:rPr>
        <w:t xml:space="preserve"> in FGBOILERS</w:t>
      </w:r>
      <w:r w:rsidR="00412D35" w:rsidRPr="00804A44">
        <w:rPr>
          <w:rFonts w:cs="Arial"/>
          <w:sz w:val="20"/>
        </w:rPr>
        <w:t xml:space="preserve"> no later than January 31, 2016, except as provided in </w:t>
      </w:r>
      <w:r w:rsidR="00412D35" w:rsidRPr="00804A44">
        <w:rPr>
          <w:rFonts w:cs="Arial"/>
          <w:b/>
          <w:sz w:val="20"/>
        </w:rPr>
        <w:t>40 CFR 63.7510(j)</w:t>
      </w:r>
      <w:r w:rsidR="00412D35" w:rsidRPr="00804A44">
        <w:rPr>
          <w:rFonts w:cs="Arial"/>
          <w:sz w:val="20"/>
        </w:rPr>
        <w:t xml:space="preserve"> and </w:t>
      </w:r>
      <w:r w:rsidR="00412D35" w:rsidRPr="00804A44">
        <w:rPr>
          <w:rFonts w:cs="Arial"/>
          <w:b/>
          <w:sz w:val="20"/>
        </w:rPr>
        <w:t>40 CFR 63.7540(a)(13)</w:t>
      </w:r>
      <w:r w:rsidR="00412D35" w:rsidRPr="00804A44">
        <w:rPr>
          <w:rFonts w:cs="Arial"/>
          <w:sz w:val="20"/>
        </w:rPr>
        <w:t>.</w:t>
      </w:r>
    </w:p>
    <w:p w:rsidR="00412D35" w:rsidRPr="00412D35" w:rsidRDefault="00412D35" w:rsidP="00EA7D5B">
      <w:pPr>
        <w:spacing w:after="60"/>
        <w:contextualSpacing/>
        <w:jc w:val="both"/>
        <w:rPr>
          <w:rFonts w:cs="Arial"/>
          <w:sz w:val="20"/>
        </w:rPr>
      </w:pPr>
    </w:p>
    <w:p w:rsidR="00AE1D84" w:rsidRDefault="00412D35" w:rsidP="00EA7D5B">
      <w:pPr>
        <w:numPr>
          <w:ilvl w:val="0"/>
          <w:numId w:val="43"/>
        </w:numPr>
        <w:contextualSpacing/>
        <w:jc w:val="both"/>
        <w:rPr>
          <w:rFonts w:cs="Arial"/>
          <w:sz w:val="20"/>
        </w:rPr>
      </w:pPr>
      <w:r w:rsidRPr="00412D35">
        <w:rPr>
          <w:rFonts w:cs="Arial"/>
          <w:sz w:val="20"/>
        </w:rPr>
        <w:t>The permittee must complete the one-time energy assessment no later than January 31, 2016.</w:t>
      </w:r>
      <w:r w:rsidR="00EA7D5B">
        <w:rPr>
          <w:rFonts w:cs="Arial"/>
          <w:sz w:val="20"/>
        </w:rPr>
        <w:t xml:space="preserve"> </w:t>
      </w:r>
      <w:r w:rsidRPr="00412D35">
        <w:rPr>
          <w:rFonts w:cs="Arial"/>
          <w:b/>
          <w:sz w:val="20"/>
        </w:rPr>
        <w:t>(40 CFR 63.7510(e))</w:t>
      </w:r>
    </w:p>
    <w:p w:rsidR="00554877" w:rsidRPr="00554877" w:rsidRDefault="00554877" w:rsidP="00554877">
      <w:pPr>
        <w:ind w:left="360"/>
        <w:contextualSpacing/>
        <w:rPr>
          <w:rFonts w:cs="Arial"/>
          <w:sz w:val="20"/>
        </w:rPr>
      </w:pPr>
    </w:p>
    <w:p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rsidR="00AE1D84" w:rsidRPr="00C3424D" w:rsidRDefault="00AE1D84" w:rsidP="00F62984">
      <w:pPr>
        <w:jc w:val="both"/>
        <w:rPr>
          <w:sz w:val="20"/>
        </w:rPr>
      </w:pPr>
    </w:p>
    <w:p w:rsidR="00AE1D84" w:rsidRPr="00C0388E" w:rsidRDefault="00554877" w:rsidP="00554877">
      <w:pPr>
        <w:jc w:val="both"/>
        <w:rPr>
          <w:sz w:val="20"/>
        </w:rPr>
      </w:pPr>
      <w:r>
        <w:rPr>
          <w:sz w:val="20"/>
        </w:rPr>
        <w:t>NA</w:t>
      </w:r>
    </w:p>
    <w:p w:rsidR="00AE1D84" w:rsidRPr="00FE0AD0" w:rsidRDefault="00AE1D84" w:rsidP="00F62984">
      <w:pPr>
        <w:jc w:val="both"/>
        <w:rPr>
          <w:sz w:val="20"/>
        </w:rPr>
      </w:pPr>
    </w:p>
    <w:p w:rsidR="00AE1D84" w:rsidRDefault="00AE1D84" w:rsidP="00F62984">
      <w:pPr>
        <w:jc w:val="both"/>
        <w:rPr>
          <w:b/>
          <w:u w:val="single"/>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F62984">
      <w:pPr>
        <w:jc w:val="both"/>
        <w:rPr>
          <w:sz w:val="20"/>
        </w:rPr>
      </w:pPr>
    </w:p>
    <w:p w:rsidR="00AE1D84" w:rsidRPr="00554877" w:rsidRDefault="00554877" w:rsidP="00554877">
      <w:pPr>
        <w:jc w:val="both"/>
        <w:rPr>
          <w:rFonts w:cs="Arial"/>
          <w:sz w:val="20"/>
        </w:rPr>
      </w:pPr>
      <w:r w:rsidRPr="00554877">
        <w:rPr>
          <w:rFonts w:cs="Arial"/>
          <w:sz w:val="20"/>
        </w:rPr>
        <w:t>NA</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EA7D5B">
      <w:pPr>
        <w:jc w:val="both"/>
        <w:rPr>
          <w:sz w:val="20"/>
        </w:rPr>
      </w:pPr>
    </w:p>
    <w:p w:rsidR="00554877" w:rsidRPr="00DA6DAE" w:rsidRDefault="00554877" w:rsidP="00EA7D5B">
      <w:pPr>
        <w:pStyle w:val="NormalWeb"/>
        <w:numPr>
          <w:ilvl w:val="0"/>
          <w:numId w:val="44"/>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including all documentation supporting</w:t>
      </w:r>
      <w:r w:rsidR="009706CF">
        <w:rPr>
          <w:rFonts w:ascii="Arial" w:hAnsi="Arial" w:cs="Arial"/>
          <w:sz w:val="20"/>
          <w:szCs w:val="20"/>
        </w:rPr>
        <w:t xml:space="preserve"> SC IX. 4.</w:t>
      </w:r>
      <w:r w:rsidR="00406466">
        <w:rPr>
          <w:rFonts w:ascii="Arial" w:hAnsi="Arial" w:cs="Arial"/>
          <w:sz w:val="20"/>
          <w:szCs w:val="20"/>
        </w:rPr>
        <w:t xml:space="preserve"> </w:t>
      </w:r>
      <w:r w:rsidR="009706CF">
        <w:rPr>
          <w:rFonts w:ascii="Arial" w:hAnsi="Arial" w:cs="Arial"/>
          <w:sz w:val="20"/>
          <w:szCs w:val="20"/>
        </w:rPr>
        <w:t>and</w:t>
      </w:r>
      <w:r w:rsidRPr="00A80273">
        <w:rPr>
          <w:rFonts w:ascii="Arial" w:hAnsi="Arial" w:cs="Arial"/>
          <w:sz w:val="20"/>
          <w:szCs w:val="20"/>
        </w:rPr>
        <w:t xml:space="preserve">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Pr>
          <w:rFonts w:ascii="Arial" w:hAnsi="Arial" w:cs="Arial"/>
          <w:sz w:val="20"/>
          <w:szCs w:val="20"/>
        </w:rPr>
        <w:t>40 CFR</w:t>
      </w:r>
      <w:r w:rsidRPr="00A80273">
        <w:rPr>
          <w:rFonts w:ascii="Arial" w:hAnsi="Arial" w:cs="Arial"/>
          <w:sz w:val="20"/>
          <w:szCs w:val="20"/>
        </w:rPr>
        <w:t xml:space="preserve"> 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rsidR="00554877" w:rsidRDefault="00554877" w:rsidP="00EA7D5B">
      <w:pPr>
        <w:pStyle w:val="NormalWeb"/>
        <w:spacing w:before="0" w:beforeAutospacing="0" w:after="0" w:afterAutospacing="0"/>
        <w:ind w:firstLine="0"/>
        <w:jc w:val="both"/>
        <w:rPr>
          <w:rFonts w:ascii="Arial" w:hAnsi="Arial" w:cs="Arial"/>
          <w:sz w:val="20"/>
          <w:szCs w:val="20"/>
        </w:rPr>
      </w:pPr>
    </w:p>
    <w:p w:rsidR="00AE1D84" w:rsidRPr="00554877" w:rsidRDefault="00554877" w:rsidP="00EA7D5B">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80273">
        <w:rPr>
          <w:rFonts w:ascii="Arial" w:hAnsi="Arial" w:cs="Arial"/>
          <w:sz w:val="20"/>
          <w:szCs w:val="20"/>
        </w:rPr>
        <w:t xml:space="preserve">The permittee must keep each record on site, or they must be accessible from on-site (for example, through a computer network), for at least </w:t>
      </w:r>
      <w:r w:rsidR="00EA7D5B">
        <w:rPr>
          <w:rFonts w:ascii="Arial" w:hAnsi="Arial" w:cs="Arial"/>
          <w:sz w:val="20"/>
          <w:szCs w:val="20"/>
        </w:rPr>
        <w:t>two</w:t>
      </w:r>
      <w:r w:rsidRPr="00A80273">
        <w:rPr>
          <w:rFonts w:ascii="Arial" w:hAnsi="Arial" w:cs="Arial"/>
          <w:sz w:val="20"/>
          <w:szCs w:val="20"/>
        </w:rPr>
        <w:t xml:space="preserve">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w:t>
      </w:r>
      <w:r w:rsidR="00EA7D5B">
        <w:rPr>
          <w:rFonts w:ascii="Arial" w:hAnsi="Arial" w:cs="Arial"/>
          <w:sz w:val="20"/>
          <w:szCs w:val="20"/>
        </w:rPr>
        <w:t>three</w:t>
      </w:r>
      <w:r w:rsidRPr="00A80273">
        <w:rPr>
          <w:rFonts w:ascii="Arial" w:hAnsi="Arial" w:cs="Arial"/>
          <w:sz w:val="20"/>
          <w:szCs w:val="20"/>
        </w:rPr>
        <w:t xml:space="preserve">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w:t>
      </w:r>
      <w:r w:rsidRPr="00332AFF">
        <w:rPr>
          <w:rFonts w:ascii="Arial" w:hAnsi="Arial" w:cs="Arial"/>
          <w:b/>
          <w:sz w:val="20"/>
          <w:szCs w:val="20"/>
        </w:rPr>
        <w:t>(a),</w:t>
      </w:r>
      <w:r>
        <w:rPr>
          <w:rFonts w:ascii="Arial" w:hAnsi="Arial" w:cs="Arial"/>
          <w:b/>
          <w:sz w:val="20"/>
          <w:szCs w:val="20"/>
        </w:rPr>
        <w:t xml:space="preserve"> </w:t>
      </w:r>
      <w:r w:rsidRPr="00332AFF">
        <w:rPr>
          <w:rFonts w:ascii="Arial" w:hAnsi="Arial" w:cs="Arial"/>
          <w:b/>
          <w:sz w:val="20"/>
          <w:szCs w:val="20"/>
        </w:rPr>
        <w:t>(b), and</w:t>
      </w:r>
      <w:r>
        <w:rPr>
          <w:rFonts w:ascii="Arial" w:hAnsi="Arial" w:cs="Arial"/>
          <w:b/>
          <w:sz w:val="20"/>
          <w:szCs w:val="20"/>
        </w:rPr>
        <w:t xml:space="preserve"> </w:t>
      </w:r>
      <w:r w:rsidRPr="00A80273">
        <w:rPr>
          <w:rFonts w:ascii="Arial" w:hAnsi="Arial" w:cs="Arial"/>
          <w:b/>
          <w:sz w:val="20"/>
          <w:szCs w:val="20"/>
        </w:rPr>
        <w:t>(c)</w:t>
      </w:r>
      <w:r>
        <w:rPr>
          <w:rFonts w:ascii="Arial" w:hAnsi="Arial" w:cs="Arial"/>
          <w:b/>
          <w:sz w:val="20"/>
          <w:szCs w:val="20"/>
        </w:rPr>
        <w:t>)</w:t>
      </w:r>
    </w:p>
    <w:p w:rsidR="00AE1D84" w:rsidRPr="008B5C27" w:rsidRDefault="00AE1D84" w:rsidP="00EA7D5B">
      <w:pPr>
        <w:jc w:val="both"/>
        <w:rPr>
          <w:sz w:val="20"/>
        </w:rPr>
      </w:pPr>
    </w:p>
    <w:p w:rsidR="00AE1D84" w:rsidRDefault="00AE1D84" w:rsidP="00EA7D5B">
      <w:pPr>
        <w:jc w:val="both"/>
        <w:rPr>
          <w:b/>
          <w:u w:val="single"/>
        </w:rPr>
      </w:pPr>
      <w:r>
        <w:rPr>
          <w:b/>
        </w:rPr>
        <w:t xml:space="preserve">VII.  </w:t>
      </w:r>
      <w:r>
        <w:rPr>
          <w:b/>
          <w:u w:val="single"/>
        </w:rPr>
        <w:t>REPORTING</w:t>
      </w:r>
    </w:p>
    <w:p w:rsidR="00AE1D84" w:rsidRPr="008B5C27" w:rsidRDefault="00AE1D84" w:rsidP="00EA7D5B">
      <w:pPr>
        <w:jc w:val="both"/>
        <w:rPr>
          <w:sz w:val="20"/>
        </w:rPr>
      </w:pPr>
    </w:p>
    <w:p w:rsidR="00AE1D84" w:rsidRDefault="00AE1D84" w:rsidP="00EA7D5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E1D84" w:rsidRPr="00C0388E" w:rsidRDefault="00AE1D84" w:rsidP="00EA7D5B">
      <w:pPr>
        <w:ind w:left="360" w:hanging="360"/>
        <w:jc w:val="both"/>
        <w:rPr>
          <w:sz w:val="20"/>
        </w:rPr>
      </w:pPr>
    </w:p>
    <w:p w:rsidR="00AE1D84" w:rsidRDefault="00AE1D84" w:rsidP="00EA7D5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AE1D84" w:rsidRPr="00C0388E" w:rsidRDefault="00AE1D84" w:rsidP="00EA7D5B">
      <w:pPr>
        <w:ind w:left="360" w:hanging="360"/>
        <w:jc w:val="both"/>
        <w:rPr>
          <w:sz w:val="20"/>
        </w:rPr>
      </w:pPr>
    </w:p>
    <w:p w:rsidR="00AE1D84" w:rsidRDefault="00AE1D84" w:rsidP="00EA7D5B">
      <w:pPr>
        <w:numPr>
          <w:ilvl w:val="0"/>
          <w:numId w:val="50"/>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7E22D3" w:rsidRDefault="007E22D3" w:rsidP="00EA7D5B">
      <w:pPr>
        <w:ind w:left="360"/>
        <w:jc w:val="both"/>
        <w:rPr>
          <w:b/>
          <w:sz w:val="20"/>
        </w:rPr>
      </w:pPr>
    </w:p>
    <w:p w:rsidR="007E22D3" w:rsidRPr="007E22D3" w:rsidRDefault="007E22D3" w:rsidP="00EA7D5B">
      <w:pPr>
        <w:numPr>
          <w:ilvl w:val="0"/>
          <w:numId w:val="50"/>
        </w:numPr>
        <w:jc w:val="both"/>
        <w:rPr>
          <w:rFonts w:cs="Arial"/>
          <w:sz w:val="20"/>
        </w:rPr>
      </w:pPr>
      <w:r w:rsidRPr="007E22D3">
        <w:rPr>
          <w:rFonts w:cs="Arial"/>
          <w:sz w:val="20"/>
        </w:rPr>
        <w:t xml:space="preserve">The permittee must submit a Notification of Compliance Status that includes each boiler or process heater before the close of business on the 60th day following the completion of the initial compliance demonstrations for all boiler or process heaters at the facility.  The Notification of Compliance Status report must contain the following information and must be submitted within 60 days of January 31, 2016.  </w:t>
      </w:r>
      <w:r w:rsidRPr="007E22D3">
        <w:rPr>
          <w:rFonts w:cs="Arial"/>
          <w:b/>
          <w:sz w:val="20"/>
        </w:rPr>
        <w:t>(40 CFR 63.7545(e))</w:t>
      </w:r>
    </w:p>
    <w:p w:rsidR="007E22D3" w:rsidRPr="007E22D3" w:rsidRDefault="007E22D3" w:rsidP="00EA7D5B">
      <w:pPr>
        <w:numPr>
          <w:ilvl w:val="1"/>
          <w:numId w:val="46"/>
        </w:numPr>
        <w:ind w:left="720"/>
        <w:jc w:val="both"/>
        <w:rPr>
          <w:rFonts w:cs="Arial"/>
          <w:sz w:val="20"/>
        </w:rPr>
      </w:pPr>
      <w:r w:rsidRPr="007E22D3">
        <w:rPr>
          <w:rFonts w:cs="Arial"/>
          <w:sz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w:t>
      </w:r>
      <w:r w:rsidRPr="007E22D3">
        <w:rPr>
          <w:rFonts w:cs="Arial"/>
          <w:b/>
          <w:sz w:val="20"/>
        </w:rPr>
        <w:t>(40 CFR 63.7545(e)(1))</w:t>
      </w:r>
    </w:p>
    <w:p w:rsidR="007E22D3" w:rsidRPr="007E22D3" w:rsidRDefault="007E22D3" w:rsidP="00EA7D5B">
      <w:pPr>
        <w:numPr>
          <w:ilvl w:val="1"/>
          <w:numId w:val="46"/>
        </w:numPr>
        <w:ind w:left="720"/>
        <w:jc w:val="both"/>
        <w:rPr>
          <w:rFonts w:cs="Arial"/>
          <w:sz w:val="20"/>
        </w:rPr>
      </w:pPr>
      <w:r w:rsidRPr="007E22D3">
        <w:rPr>
          <w:rFonts w:cs="Arial"/>
          <w:sz w:val="20"/>
        </w:rPr>
        <w:t xml:space="preserve">Certification(s) of compliance, as applicable, and signed by a responsible official:  </w:t>
      </w:r>
      <w:r w:rsidRPr="007E22D3">
        <w:rPr>
          <w:rFonts w:cs="Arial"/>
          <w:b/>
          <w:sz w:val="20"/>
        </w:rPr>
        <w:t>(40 CFR 63.7545(e)(8))</w:t>
      </w:r>
      <w:r w:rsidRPr="007E22D3">
        <w:rPr>
          <w:rFonts w:cs="Arial"/>
          <w:sz w:val="20"/>
        </w:rPr>
        <w:t xml:space="preserve"> </w:t>
      </w:r>
    </w:p>
    <w:p w:rsidR="007E22D3" w:rsidRPr="007E22D3" w:rsidRDefault="007E22D3" w:rsidP="00EA7D5B">
      <w:pPr>
        <w:ind w:left="1080" w:hanging="360"/>
        <w:jc w:val="both"/>
        <w:rPr>
          <w:rFonts w:cs="Arial"/>
          <w:b/>
          <w:sz w:val="20"/>
        </w:rPr>
      </w:pPr>
      <w:r w:rsidRPr="007E22D3">
        <w:rPr>
          <w:rFonts w:cs="Arial"/>
          <w:sz w:val="20"/>
        </w:rPr>
        <w:lastRenderedPageBreak/>
        <w:t>i.</w:t>
      </w:r>
      <w:r w:rsidRPr="007E22D3">
        <w:rPr>
          <w:rFonts w:cs="Arial"/>
          <w:sz w:val="20"/>
        </w:rPr>
        <w:tab/>
        <w:t>“This facility completed the required initial tune-up for all of the boilers and process heaters covered by 40 CFR Part 63, Subpart DDDDD at this</w:t>
      </w:r>
      <w:r w:rsidRPr="007E22D3">
        <w:rPr>
          <w:rFonts w:ascii="Courier New" w:hAnsi="Courier New" w:cs="Courier New"/>
          <w:sz w:val="24"/>
          <w:szCs w:val="24"/>
        </w:rPr>
        <w:t xml:space="preserve"> </w:t>
      </w:r>
      <w:r w:rsidRPr="007E22D3">
        <w:rPr>
          <w:rFonts w:cs="Arial"/>
          <w:sz w:val="20"/>
        </w:rPr>
        <w:t>site</w:t>
      </w:r>
      <w:r w:rsidRPr="007E22D3">
        <w:rPr>
          <w:rFonts w:ascii="Courier New" w:hAnsi="Courier New" w:cs="Courier New"/>
          <w:sz w:val="24"/>
          <w:szCs w:val="24"/>
        </w:rPr>
        <w:t xml:space="preserve"> </w:t>
      </w:r>
      <w:r w:rsidRPr="007E22D3">
        <w:rPr>
          <w:rFonts w:cs="Arial"/>
          <w:sz w:val="20"/>
        </w:rPr>
        <w:t xml:space="preserve">according to the procedures in 40 CFR 63.7540(a)(10)(i) through (vi).”  </w:t>
      </w:r>
      <w:r w:rsidRPr="007E22D3">
        <w:rPr>
          <w:rFonts w:cs="Arial"/>
          <w:b/>
          <w:sz w:val="20"/>
        </w:rPr>
        <w:t>(40 CFR 63.7545(e)(8)(i))</w:t>
      </w:r>
    </w:p>
    <w:p w:rsidR="007E22D3" w:rsidRDefault="007E22D3" w:rsidP="00EA7D5B">
      <w:pPr>
        <w:ind w:left="1080" w:hanging="360"/>
        <w:jc w:val="both"/>
        <w:rPr>
          <w:rFonts w:cs="Arial"/>
          <w:b/>
          <w:sz w:val="20"/>
        </w:rPr>
      </w:pPr>
      <w:r w:rsidRPr="007E22D3">
        <w:rPr>
          <w:rFonts w:cs="Arial"/>
          <w:sz w:val="20"/>
        </w:rPr>
        <w:t>ii.</w:t>
      </w:r>
      <w:r w:rsidRPr="007E22D3">
        <w:rPr>
          <w:rFonts w:cs="Arial"/>
          <w:sz w:val="20"/>
        </w:rPr>
        <w:tab/>
        <w:t xml:space="preserve">“This facility has had an energy assessment performed according to 40 CFR 63.7530(e).”  </w:t>
      </w:r>
      <w:r w:rsidRPr="007E22D3">
        <w:rPr>
          <w:rFonts w:cs="Arial"/>
          <w:b/>
          <w:sz w:val="20"/>
        </w:rPr>
        <w:t>(40 CFR 63.7545(e)(8)(ii))</w:t>
      </w:r>
    </w:p>
    <w:p w:rsidR="00AD1F10" w:rsidRPr="007E22D3" w:rsidRDefault="00AD1F10" w:rsidP="00EA7D5B">
      <w:pPr>
        <w:ind w:left="1080" w:hanging="360"/>
        <w:jc w:val="both"/>
        <w:rPr>
          <w:rFonts w:cs="Arial"/>
          <w:b/>
          <w:sz w:val="20"/>
        </w:rPr>
      </w:pPr>
    </w:p>
    <w:p w:rsidR="007E22D3" w:rsidRPr="00EA7D5B" w:rsidRDefault="00E93E7B" w:rsidP="00227CD6">
      <w:pPr>
        <w:numPr>
          <w:ilvl w:val="0"/>
          <w:numId w:val="50"/>
        </w:numPr>
        <w:jc w:val="both"/>
        <w:rPr>
          <w:rFonts w:cs="Arial"/>
          <w:b/>
          <w:sz w:val="20"/>
        </w:rPr>
      </w:pPr>
      <w:r w:rsidRPr="00EA7D5B">
        <w:rPr>
          <w:rFonts w:cs="Arial"/>
          <w:sz w:val="20"/>
        </w:rPr>
        <w:t>T</w:t>
      </w:r>
      <w:r w:rsidR="007E22D3" w:rsidRPr="00EA7D5B">
        <w:rPr>
          <w:rFonts w:cs="Arial"/>
          <w:sz w:val="20"/>
        </w:rPr>
        <w:t xml:space="preserve">he permittee </w:t>
      </w:r>
      <w:r w:rsidRPr="00EA7D5B">
        <w:rPr>
          <w:rFonts w:cs="Arial"/>
          <w:sz w:val="20"/>
        </w:rPr>
        <w:t xml:space="preserve">shall </w:t>
      </w:r>
      <w:r w:rsidR="007E22D3" w:rsidRPr="00EA7D5B">
        <w:rPr>
          <w:rFonts w:cs="Arial"/>
          <w:sz w:val="20"/>
        </w:rPr>
        <w:t xml:space="preserve">submit </w:t>
      </w:r>
      <w:r w:rsidRPr="00EA7D5B">
        <w:rPr>
          <w:rFonts w:cs="Arial"/>
          <w:sz w:val="20"/>
        </w:rPr>
        <w:t>a</w:t>
      </w:r>
      <w:r w:rsidR="007E22D3" w:rsidRPr="00EA7D5B">
        <w:rPr>
          <w:rFonts w:cs="Arial"/>
          <w:sz w:val="20"/>
        </w:rPr>
        <w:t xml:space="preserve"> biennial</w:t>
      </w:r>
      <w:r w:rsidRPr="00EA7D5B">
        <w:rPr>
          <w:rFonts w:cs="Arial"/>
          <w:sz w:val="20"/>
        </w:rPr>
        <w:t xml:space="preserve"> compliance report for EUBOILER</w:t>
      </w:r>
      <w:r w:rsidR="00A037B2" w:rsidRPr="00EA7D5B">
        <w:rPr>
          <w:rFonts w:cs="Arial"/>
          <w:sz w:val="20"/>
        </w:rPr>
        <w:t>5</w:t>
      </w:r>
      <w:r w:rsidRPr="00EA7D5B">
        <w:rPr>
          <w:rFonts w:cs="Arial"/>
          <w:sz w:val="20"/>
        </w:rPr>
        <w:t xml:space="preserve"> and a</w:t>
      </w:r>
      <w:r w:rsidR="007E22D3" w:rsidRPr="00EA7D5B">
        <w:rPr>
          <w:rFonts w:cs="Arial"/>
          <w:sz w:val="20"/>
        </w:rPr>
        <w:t xml:space="preserve"> </w:t>
      </w:r>
      <w:r w:rsidR="00C4243C">
        <w:rPr>
          <w:rFonts w:cs="Arial"/>
          <w:sz w:val="20"/>
        </w:rPr>
        <w:t>five</w:t>
      </w:r>
      <w:r w:rsidR="007E22D3" w:rsidRPr="00EA7D5B">
        <w:rPr>
          <w:rFonts w:cs="Arial"/>
          <w:sz w:val="20"/>
        </w:rPr>
        <w:t>-year compliance report</w:t>
      </w:r>
      <w:r w:rsidRPr="00EA7D5B">
        <w:rPr>
          <w:rFonts w:cs="Arial"/>
          <w:sz w:val="20"/>
        </w:rPr>
        <w:t xml:space="preserve"> for EUBOILER</w:t>
      </w:r>
      <w:r w:rsidR="00A037B2" w:rsidRPr="00EA7D5B">
        <w:rPr>
          <w:rFonts w:cs="Arial"/>
          <w:sz w:val="20"/>
        </w:rPr>
        <w:t>2</w:t>
      </w:r>
      <w:r w:rsidR="007E22D3" w:rsidRPr="00EA7D5B">
        <w:rPr>
          <w:rFonts w:cs="Arial"/>
          <w:sz w:val="20"/>
        </w:rPr>
        <w:t>, as specified in paragraphs (b)(1) through (4) of 40 CFR 63.7550, as listed below</w:t>
      </w:r>
      <w:r w:rsidRPr="00EA7D5B">
        <w:rPr>
          <w:rFonts w:cs="Arial"/>
          <w:sz w:val="20"/>
        </w:rPr>
        <w:t>:</w:t>
      </w:r>
      <w:r w:rsidR="007E22D3" w:rsidRPr="00EA7D5B">
        <w:rPr>
          <w:rFonts w:cs="Arial"/>
          <w:sz w:val="20"/>
        </w:rPr>
        <w:t xml:space="preserve">  </w:t>
      </w:r>
      <w:r w:rsidR="007E22D3" w:rsidRPr="00EA7D5B">
        <w:rPr>
          <w:rFonts w:cs="Arial"/>
          <w:b/>
          <w:sz w:val="20"/>
        </w:rPr>
        <w:t>(40 CFR 63.7550(b))</w:t>
      </w:r>
    </w:p>
    <w:p w:rsidR="007E22D3" w:rsidRPr="00E93E7B" w:rsidRDefault="00E93E7B" w:rsidP="00EA7D5B">
      <w:pPr>
        <w:numPr>
          <w:ilvl w:val="0"/>
          <w:numId w:val="49"/>
        </w:numPr>
        <w:ind w:left="720"/>
        <w:jc w:val="both"/>
        <w:rPr>
          <w:rFonts w:cs="Arial"/>
          <w:sz w:val="20"/>
        </w:rPr>
      </w:pPr>
      <w:r>
        <w:rPr>
          <w:rFonts w:cs="Arial"/>
          <w:sz w:val="20"/>
          <w:szCs w:val="24"/>
        </w:rPr>
        <w:t>T</w:t>
      </w:r>
      <w:r w:rsidR="007E22D3" w:rsidRPr="007E22D3">
        <w:rPr>
          <w:rFonts w:cs="Arial"/>
          <w:sz w:val="20"/>
          <w:szCs w:val="24"/>
        </w:rPr>
        <w:t xml:space="preserve">he first compliance report </w:t>
      </w:r>
      <w:r>
        <w:rPr>
          <w:rFonts w:cs="Arial"/>
          <w:sz w:val="20"/>
          <w:szCs w:val="24"/>
        </w:rPr>
        <w:t>for EUBOILER</w:t>
      </w:r>
      <w:r w:rsidR="00A037B2">
        <w:rPr>
          <w:rFonts w:cs="Arial"/>
          <w:sz w:val="20"/>
          <w:szCs w:val="24"/>
        </w:rPr>
        <w:t>5</w:t>
      </w:r>
      <w:r>
        <w:rPr>
          <w:rFonts w:cs="Arial"/>
          <w:sz w:val="20"/>
          <w:szCs w:val="24"/>
        </w:rPr>
        <w:t xml:space="preserve"> </w:t>
      </w:r>
      <w:r w:rsidR="007E22D3" w:rsidRPr="007E22D3">
        <w:rPr>
          <w:rFonts w:cs="Arial"/>
          <w:sz w:val="20"/>
          <w:szCs w:val="24"/>
        </w:rPr>
        <w:t xml:space="preserve">must cover the period beginning on January 31, 2016 and ending on December 31 within </w:t>
      </w:r>
      <w:r w:rsidR="00C4243C">
        <w:rPr>
          <w:rFonts w:cs="Arial"/>
          <w:sz w:val="20"/>
          <w:szCs w:val="24"/>
        </w:rPr>
        <w:t>two</w:t>
      </w:r>
      <w:r>
        <w:rPr>
          <w:rFonts w:cs="Arial"/>
          <w:sz w:val="20"/>
          <w:szCs w:val="24"/>
        </w:rPr>
        <w:t xml:space="preserve"> years after</w:t>
      </w:r>
      <w:r w:rsidRPr="00E93E7B">
        <w:t xml:space="preserve"> </w:t>
      </w:r>
      <w:r w:rsidRPr="00E93E7B">
        <w:rPr>
          <w:rFonts w:cs="Arial"/>
          <w:sz w:val="20"/>
          <w:szCs w:val="24"/>
        </w:rPr>
        <w:t>January 31, 2016</w:t>
      </w:r>
      <w:r>
        <w:rPr>
          <w:rFonts w:cs="Arial"/>
          <w:sz w:val="20"/>
          <w:szCs w:val="24"/>
        </w:rPr>
        <w:t>. The first compliance report for EUBOILER</w:t>
      </w:r>
      <w:r w:rsidR="00A037B2">
        <w:rPr>
          <w:rFonts w:cs="Arial"/>
          <w:sz w:val="20"/>
          <w:szCs w:val="24"/>
        </w:rPr>
        <w:t>2</w:t>
      </w:r>
      <w:r>
        <w:rPr>
          <w:rFonts w:cs="Arial"/>
          <w:sz w:val="20"/>
          <w:szCs w:val="24"/>
        </w:rPr>
        <w:t xml:space="preserve"> </w:t>
      </w:r>
      <w:r w:rsidRPr="00E93E7B">
        <w:rPr>
          <w:rFonts w:cs="Arial"/>
          <w:sz w:val="20"/>
          <w:szCs w:val="24"/>
        </w:rPr>
        <w:t xml:space="preserve">must cover the period beginning on January 31, 2016 and ending on December 31 within </w:t>
      </w:r>
      <w:r w:rsidR="00C4243C">
        <w:rPr>
          <w:rFonts w:cs="Arial"/>
          <w:sz w:val="20"/>
          <w:szCs w:val="24"/>
        </w:rPr>
        <w:t>five</w:t>
      </w:r>
      <w:r>
        <w:rPr>
          <w:rFonts w:cs="Arial"/>
          <w:sz w:val="20"/>
          <w:szCs w:val="24"/>
        </w:rPr>
        <w:t xml:space="preserve"> </w:t>
      </w:r>
      <w:r w:rsidR="007E22D3" w:rsidRPr="007E22D3">
        <w:rPr>
          <w:rFonts w:cs="Arial"/>
          <w:sz w:val="20"/>
          <w:szCs w:val="24"/>
        </w:rPr>
        <w:t>years</w:t>
      </w:r>
      <w:r>
        <w:rPr>
          <w:rFonts w:cs="Arial"/>
          <w:sz w:val="20"/>
          <w:szCs w:val="24"/>
        </w:rPr>
        <w:t xml:space="preserve"> </w:t>
      </w:r>
      <w:r w:rsidR="007E22D3" w:rsidRPr="007E22D3">
        <w:rPr>
          <w:rFonts w:cs="Arial"/>
          <w:sz w:val="20"/>
          <w:szCs w:val="24"/>
        </w:rPr>
        <w:t xml:space="preserve">after </w:t>
      </w:r>
      <w:r w:rsidRPr="00E93E7B">
        <w:rPr>
          <w:rFonts w:cs="Arial"/>
          <w:sz w:val="20"/>
          <w:szCs w:val="24"/>
        </w:rPr>
        <w:t>January 31, 2016</w:t>
      </w:r>
      <w:r w:rsidR="007E22D3" w:rsidRPr="007E22D3">
        <w:rPr>
          <w:rFonts w:cs="Arial"/>
          <w:sz w:val="20"/>
          <w:szCs w:val="24"/>
        </w:rPr>
        <w:t>.</w:t>
      </w:r>
      <w:r w:rsidR="007E22D3" w:rsidRPr="007E22D3">
        <w:rPr>
          <w:rFonts w:cs="Arial"/>
          <w:sz w:val="20"/>
        </w:rPr>
        <w:t xml:space="preserve">  </w:t>
      </w:r>
      <w:r w:rsidR="007E22D3" w:rsidRPr="00E93E7B">
        <w:rPr>
          <w:rFonts w:cs="Arial"/>
          <w:b/>
          <w:sz w:val="20"/>
        </w:rPr>
        <w:t>(40 CFR 63.7550(b)(1))</w:t>
      </w:r>
    </w:p>
    <w:p w:rsidR="007E22D3" w:rsidRPr="007E22D3" w:rsidRDefault="007E22D3" w:rsidP="00EA7D5B">
      <w:pPr>
        <w:numPr>
          <w:ilvl w:val="0"/>
          <w:numId w:val="49"/>
        </w:numPr>
        <w:ind w:left="720"/>
        <w:jc w:val="both"/>
        <w:rPr>
          <w:rFonts w:cs="Arial"/>
          <w:sz w:val="20"/>
        </w:rPr>
      </w:pPr>
      <w:r w:rsidRPr="007E22D3">
        <w:rPr>
          <w:rFonts w:cs="Arial"/>
          <w:sz w:val="20"/>
        </w:rPr>
        <w:t xml:space="preserve">The first compliance report must be postmarked or submitted no later than March 15.  </w:t>
      </w:r>
      <w:r w:rsidRPr="007E22D3">
        <w:rPr>
          <w:rFonts w:cs="Arial"/>
          <w:b/>
          <w:sz w:val="20"/>
        </w:rPr>
        <w:t xml:space="preserve">(40 CFR 63.7550(b)(2), </w:t>
      </w:r>
      <w:r w:rsidRPr="007E22D3">
        <w:rPr>
          <w:rFonts w:cs="Arial"/>
          <w:b/>
          <w:sz w:val="20"/>
          <w:szCs w:val="24"/>
        </w:rPr>
        <w:t>40 CFR 63.7550(b)(5)</w:t>
      </w:r>
      <w:r w:rsidRPr="007E22D3">
        <w:rPr>
          <w:rFonts w:cs="Arial"/>
          <w:b/>
          <w:sz w:val="20"/>
        </w:rPr>
        <w:t>)</w:t>
      </w:r>
    </w:p>
    <w:p w:rsidR="007E22D3" w:rsidRPr="007E22D3" w:rsidRDefault="007E22D3" w:rsidP="00EA7D5B">
      <w:pPr>
        <w:numPr>
          <w:ilvl w:val="0"/>
          <w:numId w:val="49"/>
        </w:numPr>
        <w:ind w:left="720"/>
        <w:jc w:val="both"/>
        <w:rPr>
          <w:rFonts w:cs="Arial"/>
          <w:sz w:val="20"/>
        </w:rPr>
      </w:pPr>
      <w:r w:rsidRPr="007E22D3">
        <w:rPr>
          <w:rFonts w:cs="Arial"/>
          <w:sz w:val="20"/>
        </w:rPr>
        <w:t>Each subsequent compliance report must cover the applicable 2</w:t>
      </w:r>
      <w:r w:rsidR="00D11620">
        <w:rPr>
          <w:rFonts w:cs="Arial"/>
          <w:sz w:val="20"/>
        </w:rPr>
        <w:t xml:space="preserve"> and </w:t>
      </w:r>
      <w:r w:rsidRPr="007E22D3">
        <w:rPr>
          <w:rFonts w:cs="Arial"/>
          <w:sz w:val="20"/>
        </w:rPr>
        <w:t xml:space="preserve">5-year periods from January 1 to December 31.  </w:t>
      </w:r>
      <w:r w:rsidRPr="007E22D3">
        <w:rPr>
          <w:rFonts w:cs="Arial"/>
          <w:b/>
          <w:sz w:val="20"/>
        </w:rPr>
        <w:t>(40 CFR 63.7550(b)(3))</w:t>
      </w:r>
    </w:p>
    <w:p w:rsidR="007E22D3" w:rsidRPr="007E22D3" w:rsidRDefault="00D11620" w:rsidP="00EA7D5B">
      <w:pPr>
        <w:numPr>
          <w:ilvl w:val="0"/>
          <w:numId w:val="49"/>
        </w:numPr>
        <w:ind w:left="720"/>
        <w:jc w:val="both"/>
        <w:rPr>
          <w:rFonts w:cs="Arial"/>
          <w:sz w:val="20"/>
        </w:rPr>
      </w:pPr>
      <w:r>
        <w:rPr>
          <w:rFonts w:cs="Arial"/>
          <w:sz w:val="20"/>
        </w:rPr>
        <w:t>B</w:t>
      </w:r>
      <w:r w:rsidR="007E22D3" w:rsidRPr="007E22D3">
        <w:rPr>
          <w:rFonts w:cs="Arial"/>
          <w:sz w:val="20"/>
        </w:rPr>
        <w:t xml:space="preserve">iennial and 5-year compliance reports must be postmarked or submitted no later than March 15.  </w:t>
      </w:r>
      <w:r w:rsidR="007E22D3" w:rsidRPr="007E22D3">
        <w:rPr>
          <w:rFonts w:cs="Arial"/>
          <w:b/>
          <w:sz w:val="20"/>
        </w:rPr>
        <w:t xml:space="preserve">(40 CFR 63.7550(b)(4), </w:t>
      </w:r>
      <w:r w:rsidR="007E22D3" w:rsidRPr="007E22D3">
        <w:rPr>
          <w:rFonts w:cs="Arial"/>
          <w:b/>
          <w:sz w:val="20"/>
          <w:szCs w:val="24"/>
        </w:rPr>
        <w:t>40 CFR 63.7550(b)(5)</w:t>
      </w:r>
      <w:r w:rsidR="007E22D3" w:rsidRPr="007E22D3">
        <w:rPr>
          <w:rFonts w:cs="Arial"/>
          <w:b/>
          <w:sz w:val="20"/>
        </w:rPr>
        <w:t>)</w:t>
      </w:r>
    </w:p>
    <w:p w:rsidR="007E22D3" w:rsidRPr="007E22D3" w:rsidRDefault="007E22D3" w:rsidP="00EA7D5B">
      <w:pPr>
        <w:jc w:val="both"/>
        <w:rPr>
          <w:rFonts w:cs="Arial"/>
          <w:sz w:val="20"/>
        </w:rPr>
      </w:pPr>
    </w:p>
    <w:p w:rsidR="007E22D3" w:rsidRPr="007E22D3" w:rsidRDefault="007E22D3" w:rsidP="00C4243C">
      <w:pPr>
        <w:numPr>
          <w:ilvl w:val="0"/>
          <w:numId w:val="57"/>
        </w:numPr>
        <w:jc w:val="both"/>
        <w:rPr>
          <w:rFonts w:cs="Arial"/>
          <w:sz w:val="20"/>
        </w:rPr>
      </w:pPr>
      <w:r w:rsidRPr="007E22D3">
        <w:rPr>
          <w:rFonts w:cs="Arial"/>
          <w:sz w:val="20"/>
        </w:rPr>
        <w:t xml:space="preserve">The permittee must include the following information in the compliance report.  </w:t>
      </w:r>
      <w:r w:rsidRPr="007E22D3">
        <w:rPr>
          <w:rFonts w:cs="Arial"/>
          <w:b/>
          <w:sz w:val="20"/>
        </w:rPr>
        <w:t>(40 CFR 63.7550(c), 40 CFR 63.7550(c)(1))</w:t>
      </w:r>
    </w:p>
    <w:p w:rsidR="007E22D3" w:rsidRPr="007E22D3" w:rsidRDefault="007E22D3" w:rsidP="00C4243C">
      <w:pPr>
        <w:numPr>
          <w:ilvl w:val="0"/>
          <w:numId w:val="47"/>
        </w:numPr>
        <w:jc w:val="both"/>
        <w:rPr>
          <w:rFonts w:cs="Arial"/>
          <w:sz w:val="20"/>
        </w:rPr>
      </w:pPr>
      <w:r w:rsidRPr="007E22D3">
        <w:rPr>
          <w:rFonts w:cs="Arial"/>
          <w:sz w:val="20"/>
        </w:rPr>
        <w:t xml:space="preserve">Company and Facility name and address.  </w:t>
      </w:r>
      <w:r w:rsidRPr="007E22D3">
        <w:rPr>
          <w:rFonts w:cs="Arial"/>
          <w:b/>
          <w:sz w:val="20"/>
        </w:rPr>
        <w:t>(40 CFR 63.7550(c)(5)(i))</w:t>
      </w:r>
    </w:p>
    <w:p w:rsidR="007E22D3" w:rsidRPr="007E22D3" w:rsidRDefault="007E22D3" w:rsidP="00C4243C">
      <w:pPr>
        <w:numPr>
          <w:ilvl w:val="0"/>
          <w:numId w:val="47"/>
        </w:numPr>
        <w:jc w:val="both"/>
        <w:rPr>
          <w:rFonts w:cs="Arial"/>
          <w:b/>
          <w:sz w:val="20"/>
        </w:rPr>
      </w:pPr>
      <w:r w:rsidRPr="007E22D3">
        <w:rPr>
          <w:rFonts w:cs="Arial"/>
          <w:sz w:val="20"/>
        </w:rPr>
        <w:t xml:space="preserve">Process unit information, emissions limitations, and operating parameter limitations.  </w:t>
      </w:r>
      <w:r w:rsidRPr="007E22D3">
        <w:rPr>
          <w:rFonts w:cs="Arial"/>
          <w:b/>
          <w:sz w:val="20"/>
        </w:rPr>
        <w:t>(40 CFR 63.7550(c)(5)(ii))</w:t>
      </w:r>
    </w:p>
    <w:p w:rsidR="007E22D3" w:rsidRPr="007E22D3" w:rsidRDefault="007E22D3" w:rsidP="00C4243C">
      <w:pPr>
        <w:numPr>
          <w:ilvl w:val="0"/>
          <w:numId w:val="47"/>
        </w:numPr>
        <w:jc w:val="both"/>
        <w:rPr>
          <w:rFonts w:cs="Arial"/>
          <w:sz w:val="20"/>
        </w:rPr>
      </w:pPr>
      <w:r w:rsidRPr="007E22D3">
        <w:rPr>
          <w:rFonts w:cs="Arial"/>
          <w:sz w:val="20"/>
        </w:rPr>
        <w:t xml:space="preserve">Date of report and beginning and ending dates of the reporting period.  </w:t>
      </w:r>
      <w:r w:rsidRPr="007E22D3">
        <w:rPr>
          <w:rFonts w:cs="Arial"/>
          <w:b/>
          <w:sz w:val="20"/>
        </w:rPr>
        <w:t>(40 CFR 63.7550(c)(5)(iii))</w:t>
      </w:r>
    </w:p>
    <w:p w:rsidR="007E22D3" w:rsidRPr="007E22D3" w:rsidRDefault="007E22D3" w:rsidP="00E51630">
      <w:pPr>
        <w:numPr>
          <w:ilvl w:val="0"/>
          <w:numId w:val="47"/>
        </w:numPr>
        <w:jc w:val="both"/>
        <w:rPr>
          <w:rFonts w:cs="Arial"/>
          <w:sz w:val="20"/>
        </w:rPr>
      </w:pPr>
      <w:r w:rsidRPr="007E22D3">
        <w:rPr>
          <w:rFonts w:cs="Arial"/>
          <w:sz w:val="20"/>
        </w:rPr>
        <w:t xml:space="preserve">Include the date of the most recent tune-up for each unit. Include the date of the most recent burner inspection if it was not done annually, biennially, or on a </w:t>
      </w:r>
      <w:r w:rsidR="00C4243C">
        <w:rPr>
          <w:rFonts w:cs="Arial"/>
          <w:sz w:val="20"/>
        </w:rPr>
        <w:t>five</w:t>
      </w:r>
      <w:r w:rsidRPr="007E22D3">
        <w:rPr>
          <w:rFonts w:cs="Arial"/>
          <w:sz w:val="20"/>
        </w:rPr>
        <w:t xml:space="preserve">-year period and was delayed until the next scheduled or unscheduled unit shutdown.  </w:t>
      </w:r>
      <w:r w:rsidRPr="007E22D3">
        <w:rPr>
          <w:rFonts w:cs="Arial"/>
          <w:b/>
          <w:sz w:val="20"/>
        </w:rPr>
        <w:t>(40 CFR 63.7550(c)(5)(xiv))</w:t>
      </w:r>
    </w:p>
    <w:p w:rsidR="007E22D3" w:rsidRPr="007E22D3" w:rsidRDefault="007E22D3" w:rsidP="00E51630">
      <w:pPr>
        <w:numPr>
          <w:ilvl w:val="0"/>
          <w:numId w:val="47"/>
        </w:numPr>
        <w:jc w:val="both"/>
        <w:rPr>
          <w:rFonts w:cs="Arial"/>
          <w:sz w:val="20"/>
        </w:rPr>
      </w:pPr>
      <w:r w:rsidRPr="007E22D3">
        <w:rPr>
          <w:rFonts w:cs="Arial"/>
          <w:sz w:val="20"/>
        </w:rPr>
        <w:t xml:space="preserve">Statement by a responsible official with that official's name, title, and signature, certifying the truth, accuracy, and completeness of the content of the report.  </w:t>
      </w:r>
      <w:r w:rsidRPr="007E22D3">
        <w:rPr>
          <w:rFonts w:cs="Arial"/>
          <w:b/>
          <w:sz w:val="20"/>
        </w:rPr>
        <w:t>(40 CFR 63.7550(c)(5)(xvii)</w:t>
      </w:r>
    </w:p>
    <w:p w:rsidR="007E22D3" w:rsidRPr="007E22D3" w:rsidRDefault="007E22D3" w:rsidP="00E51630">
      <w:pPr>
        <w:jc w:val="both"/>
        <w:rPr>
          <w:rFonts w:cs="Arial"/>
          <w:sz w:val="20"/>
        </w:rPr>
      </w:pPr>
    </w:p>
    <w:p w:rsidR="007E22D3" w:rsidRPr="007E22D3" w:rsidRDefault="007E22D3" w:rsidP="00E51630">
      <w:pPr>
        <w:numPr>
          <w:ilvl w:val="0"/>
          <w:numId w:val="48"/>
        </w:numPr>
        <w:ind w:left="360"/>
        <w:jc w:val="both"/>
        <w:rPr>
          <w:rFonts w:cs="Arial"/>
          <w:b/>
          <w:sz w:val="20"/>
        </w:rPr>
      </w:pPr>
      <w:r w:rsidRPr="007E22D3">
        <w:rPr>
          <w:rFonts w:cs="Arial"/>
          <w:sz w:val="20"/>
        </w:rPr>
        <w:t xml:space="preserve">The permittee must submit the reports according to the procedures specified in paragraph (h)(3) of 40 CFR 63.7550, as listed below.  </w:t>
      </w:r>
      <w:r w:rsidRPr="007E22D3">
        <w:rPr>
          <w:rFonts w:cs="Arial"/>
          <w:b/>
          <w:sz w:val="20"/>
        </w:rPr>
        <w:t>(40 CFR 63.7550(h))</w:t>
      </w:r>
    </w:p>
    <w:p w:rsidR="00D93901" w:rsidRPr="00D359C7" w:rsidRDefault="007E22D3" w:rsidP="00E51630">
      <w:pPr>
        <w:numPr>
          <w:ilvl w:val="1"/>
          <w:numId w:val="45"/>
        </w:numPr>
        <w:ind w:left="720"/>
        <w:contextualSpacing/>
        <w:jc w:val="both"/>
        <w:rPr>
          <w:rFonts w:cs="Arial"/>
          <w:sz w:val="20"/>
        </w:rPr>
      </w:pPr>
      <w:r w:rsidRPr="007E22D3">
        <w:rPr>
          <w:rFonts w:cs="Arial"/>
          <w:sz w:val="20"/>
        </w:rPr>
        <w:t>The permittee must submit all reports required by Table 9 of 40 CFR Part 63, Subpart DDDDD electronically to the EPA via the Compliance and Emissions Data Reporting Interface (CEDRI). (CEDRI can be accessed through the EPA's CDX.) The permittee must use the appropriate electronic report in CEDRI for 40 CFR Part 63, Subpart DDDDD. Instead of using the electronic report in CEDRI for 40 CFR Part 63, Subpart DDDDD, the permittee may submit an alternate electronic file consistent with the XML schema listed on the CEDRI Web site (</w:t>
      </w:r>
      <w:r w:rsidRPr="007E22D3">
        <w:rPr>
          <w:rFonts w:cs="Arial"/>
          <w:i/>
          <w:iCs/>
          <w:sz w:val="20"/>
        </w:rPr>
        <w:t>http://www.epa.gov/ttn/chief/cedri/index.html</w:t>
      </w:r>
      <w:r w:rsidRPr="007E22D3">
        <w:rPr>
          <w:rFonts w:cs="Arial"/>
          <w:sz w:val="20"/>
        </w:rPr>
        <w:t xml:space="preserve">),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90-days after the form becomes available in CEDRI.  </w:t>
      </w:r>
      <w:r w:rsidRPr="007E22D3">
        <w:rPr>
          <w:rFonts w:cs="Arial"/>
          <w:b/>
          <w:sz w:val="20"/>
        </w:rPr>
        <w:t>(40 CFR 63.7550(h)(3))</w:t>
      </w:r>
    </w:p>
    <w:p w:rsidR="00AE1D84" w:rsidRPr="00FE0AD0" w:rsidRDefault="00AE1D84" w:rsidP="00E51630">
      <w:pPr>
        <w:ind w:right="72"/>
        <w:jc w:val="both"/>
        <w:rPr>
          <w:rFonts w:cs="Arial"/>
          <w:sz w:val="20"/>
        </w:rPr>
      </w:pPr>
    </w:p>
    <w:p w:rsidR="00AE1D84" w:rsidRPr="00FE0AD0" w:rsidRDefault="00AE1D84" w:rsidP="00E51630">
      <w:pPr>
        <w:jc w:val="both"/>
        <w:rPr>
          <w:rFonts w:cs="Arial"/>
          <w:b/>
          <w:sz w:val="20"/>
        </w:rPr>
      </w:pPr>
      <w:r w:rsidRPr="00FE0AD0">
        <w:rPr>
          <w:rFonts w:cs="Arial"/>
          <w:b/>
          <w:sz w:val="20"/>
        </w:rPr>
        <w:t>See Appendix 8</w:t>
      </w:r>
    </w:p>
    <w:p w:rsidR="00AE1D84" w:rsidRPr="00E111A8" w:rsidRDefault="00AE1D84" w:rsidP="00EA7D5B">
      <w:pPr>
        <w:jc w:val="both"/>
        <w:rPr>
          <w:rFonts w:cs="Arial"/>
          <w:sz w:val="20"/>
        </w:rPr>
      </w:pPr>
    </w:p>
    <w:p w:rsidR="00AE1D84" w:rsidRDefault="00AE1D84" w:rsidP="00EA7D5B">
      <w:pPr>
        <w:jc w:val="both"/>
      </w:pPr>
      <w:r>
        <w:rPr>
          <w:b/>
        </w:rPr>
        <w:t xml:space="preserve">VIII.  </w:t>
      </w:r>
      <w:r>
        <w:rPr>
          <w:b/>
          <w:u w:val="single"/>
        </w:rPr>
        <w:t>STACK/VENT RESTRICTION(S)</w:t>
      </w:r>
    </w:p>
    <w:p w:rsidR="004F5DF2" w:rsidRDefault="004F5DF2" w:rsidP="00EA7D5B">
      <w:pPr>
        <w:jc w:val="both"/>
        <w:rPr>
          <w:sz w:val="20"/>
        </w:rPr>
      </w:pPr>
    </w:p>
    <w:p w:rsidR="00C70258" w:rsidRPr="00C70258" w:rsidRDefault="00C70258" w:rsidP="00EA7D5B">
      <w:pPr>
        <w:jc w:val="both"/>
        <w:rPr>
          <w:sz w:val="20"/>
        </w:rPr>
      </w:pPr>
      <w:r>
        <w:rPr>
          <w:sz w:val="20"/>
        </w:rPr>
        <w:t>NA</w:t>
      </w:r>
    </w:p>
    <w:p w:rsidR="00C70258" w:rsidRPr="00131AF7" w:rsidRDefault="00C70258" w:rsidP="00EA7D5B">
      <w:pPr>
        <w:jc w:val="both"/>
        <w:rPr>
          <w:color w:val="FF0000"/>
          <w:sz w:val="20"/>
        </w:rPr>
      </w:pPr>
    </w:p>
    <w:p w:rsidR="00AE1D84" w:rsidRDefault="00AE1D84" w:rsidP="00EA7D5B">
      <w:pPr>
        <w:jc w:val="both"/>
      </w:pPr>
      <w:r>
        <w:rPr>
          <w:b/>
        </w:rPr>
        <w:t xml:space="preserve">IX.  </w:t>
      </w:r>
      <w:r>
        <w:rPr>
          <w:b/>
          <w:u w:val="single"/>
        </w:rPr>
        <w:t>OTHER REQUIREMENT(S)</w:t>
      </w:r>
    </w:p>
    <w:p w:rsidR="00AE1D84" w:rsidRPr="00FE0AD0" w:rsidRDefault="00AE1D84" w:rsidP="00E51630">
      <w:pPr>
        <w:jc w:val="both"/>
        <w:rPr>
          <w:sz w:val="20"/>
        </w:rPr>
      </w:pPr>
    </w:p>
    <w:p w:rsidR="00C70258" w:rsidRPr="00C70258" w:rsidRDefault="00C70258" w:rsidP="00E51630">
      <w:pPr>
        <w:numPr>
          <w:ilvl w:val="0"/>
          <w:numId w:val="54"/>
        </w:numPr>
        <w:jc w:val="both"/>
        <w:rPr>
          <w:rFonts w:cs="Arial"/>
          <w:b/>
          <w:sz w:val="20"/>
        </w:rPr>
      </w:pPr>
      <w:r w:rsidRPr="00C70258">
        <w:rPr>
          <w:rFonts w:cs="Arial"/>
          <w:sz w:val="20"/>
        </w:rPr>
        <w:t xml:space="preserve">The permittee must comply with 40 CFR Part 63, Subpart DDDDD no later than January 31, 2016, for existing boilers and process heaters, unless an extension has been granted per 40 CFR 63.6(i).  </w:t>
      </w:r>
      <w:r w:rsidRPr="00C70258">
        <w:rPr>
          <w:rFonts w:cs="Arial"/>
          <w:b/>
          <w:sz w:val="20"/>
        </w:rPr>
        <w:t>(40 CFR 63.7495(b))</w:t>
      </w:r>
    </w:p>
    <w:p w:rsidR="00C70258" w:rsidRPr="00C70258" w:rsidRDefault="00C70258" w:rsidP="00E51630">
      <w:pPr>
        <w:jc w:val="both"/>
        <w:rPr>
          <w:rFonts w:cs="Arial"/>
          <w:sz w:val="20"/>
        </w:rPr>
      </w:pPr>
    </w:p>
    <w:p w:rsidR="00C70258" w:rsidRPr="00C70258" w:rsidRDefault="00C70258" w:rsidP="00C70258">
      <w:pPr>
        <w:numPr>
          <w:ilvl w:val="0"/>
          <w:numId w:val="54"/>
        </w:numPr>
        <w:jc w:val="both"/>
        <w:rPr>
          <w:rFonts w:cs="Arial"/>
          <w:b/>
          <w:sz w:val="20"/>
        </w:rPr>
      </w:pPr>
      <w:r w:rsidRPr="00C70258">
        <w:rPr>
          <w:rFonts w:cs="Arial"/>
          <w:sz w:val="20"/>
        </w:rPr>
        <w:t xml:space="preserve">The permittee must be in compliance with the applicable work practice standards.  </w:t>
      </w:r>
      <w:r w:rsidRPr="00C70258">
        <w:rPr>
          <w:rFonts w:cs="Arial"/>
          <w:b/>
          <w:sz w:val="20"/>
        </w:rPr>
        <w:t>(40 CFR 63.7505(a))</w:t>
      </w:r>
    </w:p>
    <w:p w:rsidR="00C70258" w:rsidRPr="00C70258" w:rsidRDefault="00C70258" w:rsidP="00C70258">
      <w:pPr>
        <w:jc w:val="both"/>
        <w:rPr>
          <w:rFonts w:cs="Arial"/>
          <w:sz w:val="20"/>
        </w:rPr>
      </w:pPr>
    </w:p>
    <w:p w:rsidR="00C70258" w:rsidRPr="00C70258" w:rsidRDefault="00FB7285" w:rsidP="00C70258">
      <w:pPr>
        <w:numPr>
          <w:ilvl w:val="0"/>
          <w:numId w:val="54"/>
        </w:numPr>
        <w:jc w:val="both"/>
        <w:rPr>
          <w:rFonts w:cs="Arial"/>
          <w:sz w:val="20"/>
        </w:rPr>
      </w:pPr>
      <w:r>
        <w:rPr>
          <w:rFonts w:cs="Arial"/>
          <w:sz w:val="20"/>
        </w:rPr>
        <w:t>For any emission unit in FGBOILERS</w:t>
      </w:r>
      <w:r w:rsidR="00C70258" w:rsidRPr="00C70258">
        <w:rPr>
          <w:rFonts w:cs="Arial"/>
          <w:sz w:val="20"/>
        </w:rPr>
        <w:t xml:space="preserve"> that ha</w:t>
      </w:r>
      <w:r>
        <w:rPr>
          <w:rFonts w:cs="Arial"/>
          <w:sz w:val="20"/>
        </w:rPr>
        <w:t>s</w:t>
      </w:r>
      <w:r w:rsidR="00C70258" w:rsidRPr="00C70258">
        <w:rPr>
          <w:rFonts w:cs="Arial"/>
          <w:sz w:val="20"/>
        </w:rPr>
        <w:t xml:space="preserve"> not operated since the previous compliance demonstration and more than one year has passed since the previous compliance demonstration, the permittee must complete a subsequent tune-up within 30 days of startup by following the procedures described in SC IX 4.a through 4.f.</w:t>
      </w:r>
      <w:r w:rsidR="00C70258" w:rsidRPr="00C70258">
        <w:rPr>
          <w:rFonts w:cs="Arial"/>
          <w:color w:val="FF0000"/>
          <w:sz w:val="20"/>
        </w:rPr>
        <w:t xml:space="preserve">  </w:t>
      </w:r>
      <w:r w:rsidR="00C70258" w:rsidRPr="00C70258">
        <w:rPr>
          <w:rFonts w:cs="Arial"/>
          <w:b/>
          <w:sz w:val="20"/>
        </w:rPr>
        <w:t>(40 CFR 63.7515(g))</w:t>
      </w:r>
    </w:p>
    <w:p w:rsidR="00C70258" w:rsidRPr="00C70258" w:rsidRDefault="00C70258" w:rsidP="00C70258">
      <w:pPr>
        <w:jc w:val="both"/>
        <w:rPr>
          <w:rFonts w:cs="Arial"/>
          <w:sz w:val="20"/>
        </w:rPr>
      </w:pPr>
    </w:p>
    <w:p w:rsidR="00C70258" w:rsidRPr="00C70258" w:rsidRDefault="00C70258" w:rsidP="00E51630">
      <w:pPr>
        <w:numPr>
          <w:ilvl w:val="0"/>
          <w:numId w:val="54"/>
        </w:numPr>
        <w:jc w:val="both"/>
        <w:rPr>
          <w:rFonts w:cs="Arial"/>
          <w:b/>
          <w:sz w:val="20"/>
        </w:rPr>
      </w:pPr>
      <w:r w:rsidRPr="00C70258">
        <w:rPr>
          <w:rFonts w:cs="Arial"/>
          <w:sz w:val="20"/>
        </w:rPr>
        <w:t xml:space="preserve">The permittee must demonstrate continuous compliance with the tune-up requirement by completing the following:  </w:t>
      </w:r>
      <w:r w:rsidRPr="00C70258">
        <w:rPr>
          <w:rFonts w:cs="Arial"/>
          <w:b/>
          <w:sz w:val="20"/>
        </w:rPr>
        <w:t>(40 CFR 63.7540(a))</w:t>
      </w:r>
    </w:p>
    <w:p w:rsidR="00C70258" w:rsidRPr="00C70258" w:rsidRDefault="00C70258" w:rsidP="00E51630">
      <w:pPr>
        <w:numPr>
          <w:ilvl w:val="0"/>
          <w:numId w:val="55"/>
        </w:numPr>
        <w:jc w:val="both"/>
        <w:rPr>
          <w:rFonts w:cs="Arial"/>
          <w:sz w:val="20"/>
        </w:rPr>
      </w:pPr>
      <w:r w:rsidRPr="00C70258">
        <w:rPr>
          <w:rFonts w:cs="Arial"/>
          <w:sz w:val="20"/>
        </w:rPr>
        <w:t xml:space="preserve">Inspect the burner, and clean or replace any components of the burner as necessary (the permittee may perform the burner inspection any time prior to tune-up or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C70258">
        <w:rPr>
          <w:rFonts w:cs="Arial"/>
          <w:b/>
          <w:sz w:val="20"/>
        </w:rPr>
        <w:t>(40 CFR 63.7540(a)(10)(i))</w:t>
      </w:r>
    </w:p>
    <w:p w:rsidR="00C70258" w:rsidRPr="00C70258" w:rsidRDefault="00C70258" w:rsidP="00E51630">
      <w:pPr>
        <w:numPr>
          <w:ilvl w:val="0"/>
          <w:numId w:val="55"/>
        </w:numPr>
        <w:jc w:val="both"/>
        <w:rPr>
          <w:rFonts w:cs="Arial"/>
          <w:sz w:val="20"/>
        </w:rPr>
      </w:pPr>
      <w:r w:rsidRPr="00C70258">
        <w:rPr>
          <w:rFonts w:cs="Arial"/>
          <w:sz w:val="20"/>
        </w:rPr>
        <w:t xml:space="preserve">Inspect the flame pattern, as applicable, and adjust the burner as necessary to optimize the flame pattern. The adjustment should be consistent with the manufacturer's specifications, if available.  </w:t>
      </w:r>
      <w:r w:rsidRPr="00C70258">
        <w:rPr>
          <w:rFonts w:cs="Arial"/>
          <w:b/>
          <w:sz w:val="20"/>
        </w:rPr>
        <w:t>(40 CFR 63.7540(a)(10)(ii))</w:t>
      </w:r>
    </w:p>
    <w:p w:rsidR="00C70258" w:rsidRPr="00C70258" w:rsidRDefault="00C70258" w:rsidP="00E51630">
      <w:pPr>
        <w:numPr>
          <w:ilvl w:val="0"/>
          <w:numId w:val="55"/>
        </w:numPr>
        <w:jc w:val="both"/>
        <w:rPr>
          <w:rFonts w:cs="Arial"/>
          <w:sz w:val="20"/>
        </w:rPr>
      </w:pPr>
      <w:r w:rsidRPr="00C70258">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C70258">
        <w:rPr>
          <w:rFonts w:cs="Arial"/>
          <w:b/>
          <w:sz w:val="20"/>
        </w:rPr>
        <w:t>(40 CFR 63.7540(a)(10)(iii))</w:t>
      </w:r>
    </w:p>
    <w:p w:rsidR="00C70258" w:rsidRPr="00C70258" w:rsidRDefault="00C70258" w:rsidP="00E51630">
      <w:pPr>
        <w:numPr>
          <w:ilvl w:val="0"/>
          <w:numId w:val="55"/>
        </w:numPr>
        <w:jc w:val="both"/>
        <w:rPr>
          <w:rFonts w:cs="Arial"/>
          <w:sz w:val="20"/>
        </w:rPr>
      </w:pPr>
      <w:r w:rsidRPr="00C70258">
        <w:rPr>
          <w:rFonts w:cs="Arial"/>
          <w:sz w:val="20"/>
        </w:rPr>
        <w:t>Optimize total emissions of CO.  This optimization should be consistent with the manufacturer's specifications, if available, and with any NO</w:t>
      </w:r>
      <w:r w:rsidRPr="00C70258">
        <w:rPr>
          <w:rFonts w:cs="Arial"/>
          <w:sz w:val="14"/>
          <w:szCs w:val="14"/>
          <w:vertAlign w:val="subscript"/>
        </w:rPr>
        <w:t>X</w:t>
      </w:r>
      <w:r w:rsidRPr="00C70258">
        <w:rPr>
          <w:rFonts w:cs="Arial"/>
          <w:sz w:val="20"/>
        </w:rPr>
        <w:t xml:space="preserve"> requirement to which the unit is subject.  </w:t>
      </w:r>
      <w:r w:rsidRPr="00C70258">
        <w:rPr>
          <w:rFonts w:cs="Arial"/>
          <w:b/>
          <w:sz w:val="20"/>
        </w:rPr>
        <w:t>(40 CFR 63.7540(a)(10)(iv))</w:t>
      </w:r>
    </w:p>
    <w:p w:rsidR="00C70258" w:rsidRPr="00C70258" w:rsidRDefault="00C70258" w:rsidP="00E51630">
      <w:pPr>
        <w:numPr>
          <w:ilvl w:val="0"/>
          <w:numId w:val="55"/>
        </w:numPr>
        <w:jc w:val="both"/>
        <w:rPr>
          <w:rFonts w:cs="Arial"/>
          <w:sz w:val="20"/>
        </w:rPr>
      </w:pPr>
      <w:r w:rsidRPr="00C70258">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C70258">
        <w:rPr>
          <w:rFonts w:cs="Arial"/>
          <w:b/>
          <w:sz w:val="20"/>
        </w:rPr>
        <w:t>(40 CFR 63.7540(a)(10)(v))</w:t>
      </w:r>
    </w:p>
    <w:p w:rsidR="00C70258" w:rsidRPr="00C70258" w:rsidRDefault="00C70258" w:rsidP="00E51630">
      <w:pPr>
        <w:numPr>
          <w:ilvl w:val="0"/>
          <w:numId w:val="55"/>
        </w:numPr>
        <w:jc w:val="both"/>
        <w:rPr>
          <w:rFonts w:cs="Arial"/>
          <w:sz w:val="20"/>
        </w:rPr>
      </w:pPr>
      <w:r w:rsidRPr="00C70258">
        <w:rPr>
          <w:rFonts w:cs="Arial"/>
          <w:sz w:val="20"/>
        </w:rPr>
        <w:t xml:space="preserve">Maintain on-site and submit, if requested by the Administrator, the most recent periodic report containing the information as listed below.  </w:t>
      </w:r>
      <w:r w:rsidRPr="00C70258">
        <w:rPr>
          <w:rFonts w:cs="Arial"/>
          <w:b/>
          <w:sz w:val="20"/>
        </w:rPr>
        <w:t>(40 CFR 63.7540(a)(10)(vi))</w:t>
      </w:r>
    </w:p>
    <w:p w:rsidR="00C70258" w:rsidRPr="00C70258" w:rsidRDefault="00C70258" w:rsidP="00E51630">
      <w:pPr>
        <w:numPr>
          <w:ilvl w:val="0"/>
          <w:numId w:val="56"/>
        </w:numPr>
        <w:ind w:hanging="270"/>
        <w:jc w:val="both"/>
        <w:rPr>
          <w:rFonts w:cs="Arial"/>
          <w:sz w:val="20"/>
        </w:rPr>
      </w:pPr>
      <w:r w:rsidRPr="00C70258">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C70258">
        <w:rPr>
          <w:rFonts w:cs="Arial"/>
          <w:b/>
          <w:sz w:val="20"/>
        </w:rPr>
        <w:t>(40 CFR 63.7540(a)(10)(vi)(A))</w:t>
      </w:r>
    </w:p>
    <w:p w:rsidR="00C70258" w:rsidRPr="00C70258" w:rsidRDefault="00C70258" w:rsidP="00E51630">
      <w:pPr>
        <w:numPr>
          <w:ilvl w:val="0"/>
          <w:numId w:val="56"/>
        </w:numPr>
        <w:ind w:hanging="270"/>
        <w:jc w:val="both"/>
        <w:rPr>
          <w:rFonts w:cs="Arial"/>
          <w:sz w:val="20"/>
        </w:rPr>
      </w:pPr>
      <w:r w:rsidRPr="00C70258">
        <w:rPr>
          <w:rFonts w:cs="Arial"/>
          <w:sz w:val="20"/>
        </w:rPr>
        <w:t xml:space="preserve">A description of any corrective actions taken as a part of the tune-up.  </w:t>
      </w:r>
      <w:r w:rsidRPr="00C70258">
        <w:rPr>
          <w:rFonts w:cs="Arial"/>
          <w:b/>
          <w:sz w:val="20"/>
        </w:rPr>
        <w:t>(40 CFR 63.7540(a)(10)(vi)(B))</w:t>
      </w:r>
    </w:p>
    <w:p w:rsidR="00C70258" w:rsidRPr="00C70258" w:rsidRDefault="00C70258" w:rsidP="00E51630">
      <w:pPr>
        <w:numPr>
          <w:ilvl w:val="0"/>
          <w:numId w:val="56"/>
        </w:numPr>
        <w:ind w:hanging="270"/>
        <w:jc w:val="both"/>
        <w:rPr>
          <w:rFonts w:cs="Arial"/>
          <w:sz w:val="20"/>
        </w:rPr>
      </w:pPr>
      <w:r w:rsidRPr="00C70258">
        <w:rPr>
          <w:rFonts w:cs="Arial"/>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C70258">
        <w:rPr>
          <w:rFonts w:cs="Arial"/>
          <w:b/>
          <w:sz w:val="20"/>
        </w:rPr>
        <w:t>(40 CFR 63.7540(a)(10)(vi)(C))</w:t>
      </w:r>
    </w:p>
    <w:p w:rsidR="00C70258" w:rsidRPr="00C70258" w:rsidRDefault="00C70258" w:rsidP="00E51630">
      <w:pPr>
        <w:ind w:left="1080"/>
        <w:jc w:val="both"/>
        <w:rPr>
          <w:rFonts w:cs="Arial"/>
          <w:sz w:val="20"/>
        </w:rPr>
      </w:pPr>
    </w:p>
    <w:p w:rsidR="00E51630" w:rsidRDefault="00C70258" w:rsidP="00E51630">
      <w:pPr>
        <w:ind w:left="360" w:hanging="360"/>
        <w:rPr>
          <w:sz w:val="20"/>
        </w:rPr>
      </w:pPr>
      <w:bookmarkStart w:id="94" w:name="_Hlk535473272"/>
      <w:r w:rsidRPr="00C70258">
        <w:rPr>
          <w:sz w:val="20"/>
        </w:rPr>
        <w:t>5.</w:t>
      </w:r>
      <w:r w:rsidRPr="00C70258">
        <w:tab/>
      </w:r>
      <w:bookmarkStart w:id="95" w:name="_Hlk535473287"/>
      <w:r w:rsidR="00CE0571" w:rsidRPr="00CE0571">
        <w:rPr>
          <w:sz w:val="20"/>
        </w:rPr>
        <w:t>The permittee must</w:t>
      </w:r>
      <w:r w:rsidR="00CE0571">
        <w:rPr>
          <w:sz w:val="20"/>
        </w:rPr>
        <w:t xml:space="preserve"> keep records of  to demonstrate</w:t>
      </w:r>
      <w:r w:rsidR="00CE0571" w:rsidRPr="00CE0571">
        <w:rPr>
          <w:sz w:val="20"/>
        </w:rPr>
        <w:t xml:space="preserve"> continuous compliance with the tune-up requirement</w:t>
      </w:r>
      <w:r w:rsidR="00E51630">
        <w:rPr>
          <w:sz w:val="20"/>
        </w:rPr>
        <w:t>.</w:t>
      </w:r>
    </w:p>
    <w:p w:rsidR="00E51630" w:rsidRDefault="00E51630" w:rsidP="00E51630">
      <w:pPr>
        <w:ind w:left="360" w:hanging="360"/>
        <w:rPr>
          <w:sz w:val="20"/>
        </w:rPr>
      </w:pPr>
    </w:p>
    <w:p w:rsidR="00C70258" w:rsidRPr="00C70258" w:rsidRDefault="00E51630" w:rsidP="00E51630">
      <w:pPr>
        <w:ind w:left="360" w:hanging="360"/>
        <w:jc w:val="both"/>
        <w:rPr>
          <w:sz w:val="20"/>
        </w:rPr>
      </w:pPr>
      <w:r>
        <w:rPr>
          <w:sz w:val="20"/>
        </w:rPr>
        <w:t>6.</w:t>
      </w:r>
      <w:r>
        <w:rPr>
          <w:sz w:val="20"/>
        </w:rPr>
        <w:tab/>
      </w:r>
      <w:r w:rsidR="00C70258">
        <w:rPr>
          <w:sz w:val="20"/>
        </w:rPr>
        <w:t xml:space="preserve">The </w:t>
      </w:r>
      <w:r w:rsidR="00C70258" w:rsidRPr="00C70258">
        <w:rPr>
          <w:sz w:val="20"/>
        </w:rPr>
        <w:t xml:space="preserve">permittee may delay the burner inspection specified in SC IX 4.a </w:t>
      </w:r>
      <w:r w:rsidR="00C70258">
        <w:rPr>
          <w:sz w:val="20"/>
        </w:rPr>
        <w:t>for EUBOILER</w:t>
      </w:r>
      <w:r w:rsidR="00575F86">
        <w:rPr>
          <w:sz w:val="20"/>
        </w:rPr>
        <w:t>2</w:t>
      </w:r>
      <w:r w:rsidR="00C70258">
        <w:rPr>
          <w:sz w:val="20"/>
        </w:rPr>
        <w:t xml:space="preserve"> </w:t>
      </w:r>
      <w:r w:rsidR="00C70258" w:rsidRPr="00C70258">
        <w:rPr>
          <w:sz w:val="20"/>
        </w:rPr>
        <w:t>until the next scheduled or unscheduled unit shutdown, but the permittee must inspect each burner at least once every 72 months</w:t>
      </w:r>
      <w:r w:rsidR="00C70258" w:rsidRPr="00C70258">
        <w:rPr>
          <w:color w:val="00B050"/>
          <w:sz w:val="20"/>
        </w:rPr>
        <w:t xml:space="preserve">. </w:t>
      </w:r>
      <w:r w:rsidR="00C70258" w:rsidRPr="00C70258">
        <w:rPr>
          <w:sz w:val="20"/>
        </w:rPr>
        <w:t xml:space="preserve">If an oxygen trim system is utilized on a unit without emission standards to reduce the tune-up frequency to once every </w:t>
      </w:r>
      <w:r>
        <w:rPr>
          <w:sz w:val="20"/>
        </w:rPr>
        <w:t>five</w:t>
      </w:r>
      <w:r w:rsidR="00C70258" w:rsidRPr="00C70258">
        <w:rPr>
          <w:sz w:val="20"/>
        </w:rPr>
        <w:t xml:space="preserve"> years, set the oxygen level no lower than the oxygen concentration measured during the</w:t>
      </w:r>
      <w:r w:rsidR="00C70258" w:rsidRPr="00C70258">
        <w:rPr>
          <w:rFonts w:ascii="Courier New" w:hAnsi="Courier New" w:cs="Courier New"/>
          <w:sz w:val="20"/>
        </w:rPr>
        <w:t xml:space="preserve"> </w:t>
      </w:r>
      <w:r w:rsidR="00C70258" w:rsidRPr="00C70258">
        <w:rPr>
          <w:sz w:val="20"/>
        </w:rPr>
        <w:t xml:space="preserve">most recent tune-up. </w:t>
      </w:r>
      <w:r w:rsidR="00C70258" w:rsidRPr="00C70258">
        <w:rPr>
          <w:b/>
          <w:sz w:val="20"/>
        </w:rPr>
        <w:t>(40 CFR 63.7540(a)(12))</w:t>
      </w:r>
      <w:bookmarkEnd w:id="95"/>
    </w:p>
    <w:bookmarkEnd w:id="94"/>
    <w:p w:rsidR="000662AD" w:rsidRDefault="000662AD" w:rsidP="00E51630">
      <w:pPr>
        <w:jc w:val="both"/>
        <w:rPr>
          <w:sz w:val="20"/>
        </w:rPr>
      </w:pPr>
    </w:p>
    <w:p w:rsidR="00AD1F10" w:rsidRPr="00FE0AD0" w:rsidRDefault="00AD1F10" w:rsidP="00E51630">
      <w:pPr>
        <w:jc w:val="both"/>
        <w:rPr>
          <w:sz w:val="20"/>
        </w:rPr>
      </w:pPr>
    </w:p>
    <w:p w:rsidR="00AE1D84" w:rsidRPr="00B90185" w:rsidRDefault="00AE1D84" w:rsidP="00E51630">
      <w:pPr>
        <w:jc w:val="both"/>
        <w:rPr>
          <w:b/>
          <w:sz w:val="20"/>
        </w:rPr>
      </w:pPr>
      <w:r w:rsidRPr="00B90185">
        <w:rPr>
          <w:b/>
          <w:sz w:val="20"/>
          <w:u w:val="single"/>
        </w:rPr>
        <w:t>Footnotes</w:t>
      </w:r>
      <w:r w:rsidRPr="00B90185">
        <w:rPr>
          <w:b/>
          <w:sz w:val="20"/>
        </w:rPr>
        <w:t>:</w:t>
      </w:r>
    </w:p>
    <w:p w:rsidR="00AE1D84" w:rsidRDefault="00AE1D84" w:rsidP="00E516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E1D84" w:rsidRPr="003A4A19" w:rsidRDefault="00AE1D84" w:rsidP="00E516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427BE" w:rsidRPr="003A327D" w:rsidRDefault="008427BE" w:rsidP="00E51630">
      <w:pPr>
        <w:jc w:val="both"/>
        <w:rPr>
          <w:sz w:val="20"/>
        </w:rPr>
      </w:pPr>
    </w:p>
    <w:p w:rsidR="005E5399" w:rsidRPr="00440957" w:rsidRDefault="00E14632" w:rsidP="00BD660F">
      <w:pPr>
        <w:pStyle w:val="Heading1"/>
        <w:rPr>
          <w:sz w:val="20"/>
          <w:szCs w:val="20"/>
        </w:rPr>
      </w:pPr>
      <w:r w:rsidRPr="00FE0AD0">
        <w:br w:type="page"/>
      </w:r>
      <w:bookmarkStart w:id="96" w:name="_Toc1453518"/>
      <w:bookmarkStart w:id="97" w:name="_Toc10726748"/>
      <w:bookmarkEnd w:id="79"/>
      <w:bookmarkEnd w:id="80"/>
      <w:bookmarkEnd w:id="81"/>
      <w:r w:rsidR="00FE2A0A" w:rsidRPr="001B5E34">
        <w:lastRenderedPageBreak/>
        <w:t>E</w:t>
      </w:r>
      <w:r w:rsidR="005E5399" w:rsidRPr="001B5E34">
        <w:t>.  NON-APPLICABLE REQUIREMENTS</w:t>
      </w:r>
      <w:bookmarkEnd w:id="96"/>
      <w:bookmarkEnd w:id="97"/>
    </w:p>
    <w:p w:rsidR="005E5399" w:rsidRPr="00FE0AD0" w:rsidRDefault="005E5399">
      <w:pPr>
        <w:rPr>
          <w:sz w:val="20"/>
        </w:rPr>
      </w:pPr>
    </w:p>
    <w:p w:rsidR="00BD660F"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926547" w:rsidRDefault="00BD660F" w:rsidP="004F09CF">
      <w:pPr>
        <w:jc w:val="both"/>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F53351" w:rsidRPr="00253A7B" w:rsidTr="00242019">
        <w:trPr>
          <w:cantSplit/>
          <w:trHeight w:val="226"/>
        </w:trPr>
        <w:tc>
          <w:tcPr>
            <w:tcW w:w="10271" w:type="dxa"/>
          </w:tcPr>
          <w:p w:rsidR="00F53351" w:rsidRPr="00253A7B" w:rsidRDefault="00F53351" w:rsidP="00242019">
            <w:pPr>
              <w:keepNext/>
              <w:jc w:val="center"/>
              <w:outlineLvl w:val="0"/>
              <w:rPr>
                <w:b/>
                <w:kern w:val="28"/>
                <w:sz w:val="16"/>
                <w:szCs w:val="28"/>
              </w:rPr>
            </w:pPr>
            <w:bookmarkStart w:id="98" w:name="_Toc390499894"/>
            <w:bookmarkStart w:id="99" w:name="_Toc390500323"/>
            <w:bookmarkStart w:id="100" w:name="_Toc390504376"/>
            <w:bookmarkStart w:id="101" w:name="_Toc390570166"/>
            <w:bookmarkStart w:id="102" w:name="_Toc391182900"/>
            <w:bookmarkStart w:id="103" w:name="_Toc437238964"/>
            <w:bookmarkStart w:id="104" w:name="_Toc451333041"/>
            <w:bookmarkStart w:id="105" w:name="_Toc1453521"/>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6" w:name="_Toc367698521"/>
            <w:bookmarkStart w:id="107" w:name="_Toc522874202"/>
            <w:bookmarkStart w:id="108" w:name="_Toc10726749"/>
            <w:r w:rsidRPr="00253A7B">
              <w:rPr>
                <w:b/>
                <w:kern w:val="28"/>
                <w:sz w:val="28"/>
                <w:szCs w:val="28"/>
              </w:rPr>
              <w:t>APPENDICES</w:t>
            </w:r>
            <w:bookmarkEnd w:id="106"/>
            <w:bookmarkEnd w:id="107"/>
            <w:bookmarkEnd w:id="108"/>
          </w:p>
        </w:tc>
      </w:tr>
    </w:tbl>
    <w:p w:rsidR="00F53351" w:rsidRPr="00FC1F2C" w:rsidRDefault="00F53351" w:rsidP="00F53351">
      <w:pPr>
        <w:pStyle w:val="Heading2"/>
        <w:numPr>
          <w:ilvl w:val="0"/>
          <w:numId w:val="0"/>
        </w:numPr>
        <w:spacing w:before="0" w:after="0"/>
        <w:jc w:val="left"/>
        <w:rPr>
          <w:b w:val="0"/>
          <w:sz w:val="22"/>
          <w:szCs w:val="22"/>
        </w:rPr>
      </w:pPr>
      <w:bookmarkStart w:id="109" w:name="_Toc522874203"/>
      <w:bookmarkStart w:id="110" w:name="_Toc10726750"/>
      <w:bookmarkStart w:id="111" w:name="_Hlk522788426"/>
      <w:r w:rsidRPr="005C07D8">
        <w:rPr>
          <w:sz w:val="22"/>
          <w:szCs w:val="22"/>
        </w:rPr>
        <w:t xml:space="preserve">Appendix 1.  </w:t>
      </w:r>
      <w:r>
        <w:rPr>
          <w:sz w:val="22"/>
          <w:szCs w:val="22"/>
        </w:rPr>
        <w:t xml:space="preserve">Acronyms and </w:t>
      </w:r>
      <w:r w:rsidRPr="005C07D8">
        <w:rPr>
          <w:sz w:val="22"/>
          <w:szCs w:val="22"/>
        </w:rPr>
        <w:t>Abbreviations</w:t>
      </w:r>
      <w:bookmarkEnd w:id="109"/>
      <w:bookmarkEnd w:id="110"/>
    </w:p>
    <w:tbl>
      <w:tblPr>
        <w:tblW w:w="5000" w:type="pct"/>
        <w:jc w:val="center"/>
        <w:tblLook w:val="0000" w:firstRow="0" w:lastRow="0" w:firstColumn="0" w:lastColumn="0" w:noHBand="0" w:noVBand="0"/>
      </w:tblPr>
      <w:tblGrid>
        <w:gridCol w:w="1376"/>
        <w:gridCol w:w="3938"/>
        <w:gridCol w:w="823"/>
        <w:gridCol w:w="4303"/>
      </w:tblGrid>
      <w:tr w:rsidR="00F53351" w:rsidRPr="000B6AFE" w:rsidTr="0024201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rsidR="00F53351" w:rsidRPr="000B6AFE" w:rsidRDefault="00F53351" w:rsidP="00242019">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rsidR="00F53351" w:rsidRPr="000B6AFE" w:rsidRDefault="00F53351" w:rsidP="00242019">
            <w:pPr>
              <w:jc w:val="center"/>
              <w:rPr>
                <w:rFonts w:cs="Arial"/>
                <w:b/>
                <w:sz w:val="19"/>
                <w:szCs w:val="19"/>
              </w:rPr>
            </w:pPr>
            <w:r w:rsidRPr="000B6AFE">
              <w:rPr>
                <w:rFonts w:cs="Arial"/>
                <w:b/>
                <w:sz w:val="19"/>
                <w:szCs w:val="19"/>
              </w:rPr>
              <w:t>Pollutant / Measurement Abbreviations</w:t>
            </w:r>
          </w:p>
        </w:tc>
      </w:tr>
      <w:tr w:rsidR="00F53351" w:rsidRPr="000B6AFE" w:rsidTr="00242019">
        <w:trPr>
          <w:cantSplit/>
          <w:trHeight w:val="245"/>
          <w:jc w:val="center"/>
        </w:trPr>
        <w:tc>
          <w:tcPr>
            <w:tcW w:w="659" w:type="pct"/>
            <w:tcBorders>
              <w:top w:val="single" w:sz="4" w:space="0" w:color="auto"/>
              <w:left w:val="double" w:sz="4" w:space="0" w:color="auto"/>
            </w:tcBorders>
          </w:tcPr>
          <w:p w:rsidR="00F53351" w:rsidRPr="000B6AFE" w:rsidRDefault="00F53351" w:rsidP="00242019">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rsidR="00F53351" w:rsidRPr="000B6AFE" w:rsidRDefault="00F53351" w:rsidP="00242019">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rsidR="00F53351" w:rsidRPr="000B6AFE" w:rsidRDefault="00F53351" w:rsidP="00242019">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rsidR="00F53351" w:rsidRPr="000B6AFE" w:rsidRDefault="00F53351" w:rsidP="00242019">
            <w:pPr>
              <w:rPr>
                <w:rFonts w:cs="Arial"/>
                <w:sz w:val="19"/>
                <w:szCs w:val="19"/>
              </w:rPr>
            </w:pPr>
            <w:r w:rsidRPr="000B6AFE">
              <w:rPr>
                <w:rFonts w:cs="Arial"/>
                <w:sz w:val="19"/>
                <w:szCs w:val="19"/>
              </w:rPr>
              <w:t>Actual cubic feet per minute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BACT</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BTU</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British Thermal Unit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CAA</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Clean Air Act</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°C</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Degrees Celsius</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CAM</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CO</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Carbon Monoxide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CEM</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Carbon Dioxide Equivalent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Pr>
                <w:rFonts w:cs="Arial"/>
                <w:sz w:val="19"/>
                <w:szCs w:val="19"/>
              </w:rPr>
              <w:t>CEMS</w:t>
            </w:r>
          </w:p>
        </w:tc>
        <w:tc>
          <w:tcPr>
            <w:tcW w:w="1886" w:type="pct"/>
            <w:tcBorders>
              <w:right w:val="single" w:sz="4" w:space="0" w:color="auto"/>
            </w:tcBorders>
          </w:tcPr>
          <w:p w:rsidR="00F53351" w:rsidRPr="000B6AFE" w:rsidRDefault="00F53351" w:rsidP="00242019">
            <w:pPr>
              <w:rPr>
                <w:rFonts w:cs="Arial"/>
                <w:sz w:val="19"/>
                <w:szCs w:val="19"/>
              </w:rPr>
            </w:pPr>
            <w:r>
              <w:rPr>
                <w:rFonts w:cs="Arial"/>
                <w:sz w:val="19"/>
                <w:szCs w:val="19"/>
              </w:rPr>
              <w:t>Continuous Emission Monitoring System</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dscf</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Dry standard cubic foot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CFR</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dscm</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Dry standard cubic meter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COM</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°F</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Degrees Fahrenheit</w:t>
            </w:r>
          </w:p>
        </w:tc>
      </w:tr>
      <w:tr w:rsidR="00F53351" w:rsidRPr="000B6AFE" w:rsidTr="00242019">
        <w:trPr>
          <w:cantSplit/>
          <w:trHeight w:val="218"/>
          <w:jc w:val="center"/>
        </w:trPr>
        <w:tc>
          <w:tcPr>
            <w:tcW w:w="659" w:type="pct"/>
            <w:vMerge w:val="restart"/>
            <w:tcBorders>
              <w:left w:val="double" w:sz="4" w:space="0" w:color="auto"/>
            </w:tcBorders>
          </w:tcPr>
          <w:p w:rsidR="00F53351" w:rsidRPr="000B6AFE" w:rsidRDefault="00F53351" w:rsidP="00242019">
            <w:pPr>
              <w:rPr>
                <w:rFonts w:cs="Arial"/>
                <w:sz w:val="19"/>
                <w:szCs w:val="19"/>
              </w:rPr>
            </w:pPr>
            <w:r w:rsidRPr="000B6AFE">
              <w:rPr>
                <w:rFonts w:cs="Arial"/>
                <w:sz w:val="19"/>
                <w:szCs w:val="19"/>
              </w:rPr>
              <w:t>Department/</w:t>
            </w:r>
          </w:p>
          <w:p w:rsidR="00F53351" w:rsidRPr="000B6AFE" w:rsidRDefault="00F53351" w:rsidP="00242019">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rsidR="00F53351" w:rsidRPr="000B6AFE" w:rsidRDefault="00F53351" w:rsidP="0024201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gr</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Grains</w:t>
            </w:r>
          </w:p>
        </w:tc>
      </w:tr>
      <w:tr w:rsidR="00F53351" w:rsidRPr="000B6AFE" w:rsidTr="00242019">
        <w:trPr>
          <w:cantSplit/>
          <w:trHeight w:val="217"/>
          <w:jc w:val="center"/>
        </w:trPr>
        <w:tc>
          <w:tcPr>
            <w:tcW w:w="659" w:type="pct"/>
            <w:vMerge/>
            <w:tcBorders>
              <w:left w:val="double" w:sz="4" w:space="0" w:color="auto"/>
            </w:tcBorders>
          </w:tcPr>
          <w:p w:rsidR="00F53351" w:rsidRPr="000B6AFE" w:rsidRDefault="00F53351" w:rsidP="00242019">
            <w:pPr>
              <w:rPr>
                <w:rFonts w:cs="Arial"/>
                <w:sz w:val="19"/>
                <w:szCs w:val="19"/>
              </w:rPr>
            </w:pPr>
          </w:p>
        </w:tc>
        <w:tc>
          <w:tcPr>
            <w:tcW w:w="1886" w:type="pct"/>
            <w:vMerge/>
            <w:tcBorders>
              <w:right w:val="single" w:sz="4" w:space="0" w:color="auto"/>
            </w:tcBorders>
          </w:tcPr>
          <w:p w:rsidR="00F53351" w:rsidRPr="000B6AFE" w:rsidRDefault="00F53351" w:rsidP="00242019">
            <w:pPr>
              <w:rPr>
                <w:rFonts w:cs="Arial"/>
                <w:sz w:val="19"/>
                <w:szCs w:val="19"/>
              </w:rPr>
            </w:pP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HAP</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Hazardous Air Pollutant</w:t>
            </w:r>
          </w:p>
        </w:tc>
      </w:tr>
      <w:tr w:rsidR="00F53351" w:rsidRPr="000B6AFE" w:rsidTr="00242019">
        <w:trPr>
          <w:cantSplit/>
          <w:trHeight w:val="245"/>
          <w:jc w:val="center"/>
        </w:trPr>
        <w:tc>
          <w:tcPr>
            <w:tcW w:w="659" w:type="pct"/>
            <w:vMerge w:val="restart"/>
            <w:tcBorders>
              <w:left w:val="double" w:sz="4" w:space="0" w:color="auto"/>
            </w:tcBorders>
          </w:tcPr>
          <w:p w:rsidR="00F53351" w:rsidRPr="000B6AFE" w:rsidRDefault="00F53351" w:rsidP="00242019">
            <w:pPr>
              <w:rPr>
                <w:rFonts w:cs="Arial"/>
                <w:sz w:val="19"/>
                <w:szCs w:val="19"/>
              </w:rPr>
            </w:pPr>
            <w:r>
              <w:rPr>
                <w:rFonts w:cs="Arial"/>
                <w:sz w:val="19"/>
                <w:szCs w:val="19"/>
              </w:rPr>
              <w:t>EGLE</w:t>
            </w:r>
          </w:p>
        </w:tc>
        <w:tc>
          <w:tcPr>
            <w:tcW w:w="1886" w:type="pct"/>
            <w:vMerge w:val="restart"/>
            <w:tcBorders>
              <w:right w:val="single" w:sz="4" w:space="0" w:color="auto"/>
            </w:tcBorders>
          </w:tcPr>
          <w:p w:rsidR="00F53351" w:rsidRPr="000B6AFE" w:rsidRDefault="00F53351" w:rsidP="0024201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Hg</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Mercury</w:t>
            </w:r>
          </w:p>
        </w:tc>
      </w:tr>
      <w:tr w:rsidR="00F53351" w:rsidRPr="000B6AFE" w:rsidTr="00242019">
        <w:trPr>
          <w:cantSplit/>
          <w:trHeight w:val="245"/>
          <w:jc w:val="center"/>
        </w:trPr>
        <w:tc>
          <w:tcPr>
            <w:tcW w:w="659" w:type="pct"/>
            <w:vMerge/>
            <w:tcBorders>
              <w:left w:val="double" w:sz="4" w:space="0" w:color="auto"/>
            </w:tcBorders>
          </w:tcPr>
          <w:p w:rsidR="00F53351" w:rsidRDefault="00F53351" w:rsidP="00242019">
            <w:pPr>
              <w:rPr>
                <w:rFonts w:cs="Arial"/>
                <w:sz w:val="19"/>
                <w:szCs w:val="19"/>
              </w:rPr>
            </w:pPr>
          </w:p>
        </w:tc>
        <w:tc>
          <w:tcPr>
            <w:tcW w:w="1886" w:type="pct"/>
            <w:vMerge/>
            <w:tcBorders>
              <w:right w:val="single" w:sz="4" w:space="0" w:color="auto"/>
            </w:tcBorders>
          </w:tcPr>
          <w:p w:rsidR="00F53351" w:rsidRPr="000B6AFE" w:rsidRDefault="00F53351" w:rsidP="00242019">
            <w:pPr>
              <w:rPr>
                <w:rFonts w:cs="Arial"/>
                <w:sz w:val="19"/>
                <w:szCs w:val="19"/>
              </w:rPr>
            </w:pP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hr</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Hour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EU</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Emission Unit</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HP</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Horsepower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FG</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Flexible Group</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Hydrogen Sulfide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GACS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kW</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Kilowatt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GC</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General Condition</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lb</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Pound</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GHGs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Greenhouse Gases</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m</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Meter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HVLP</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mg</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Milligram</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ID</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mm</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Millimeter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IRSL</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MM</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Million</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ITSL</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MW</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Megawatts</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LAER</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NMOC</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Non-methane Organic Compounds</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MACT</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53351" w:rsidRPr="000B6AFE" w:rsidRDefault="00F53351" w:rsidP="0024201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Oxides of Nitrogen</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MAERS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ng</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Nanogram</w:t>
            </w:r>
          </w:p>
        </w:tc>
      </w:tr>
      <w:tr w:rsidR="00F53351" w:rsidRPr="000B6AFE" w:rsidTr="00242019">
        <w:trPr>
          <w:cantSplit/>
          <w:trHeight w:val="218"/>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MAP</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PM</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Particulate Matter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MSDS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rsidR="00F53351" w:rsidRPr="000B6AFE" w:rsidRDefault="00F53351" w:rsidP="00242019">
            <w:pPr>
              <w:rPr>
                <w:rFonts w:cs="Arial"/>
                <w:sz w:val="19"/>
                <w:szCs w:val="19"/>
              </w:rPr>
            </w:pPr>
            <w:r w:rsidRPr="000B6AFE">
              <w:rPr>
                <w:rFonts w:cs="Arial"/>
                <w:sz w:val="19"/>
                <w:szCs w:val="19"/>
              </w:rPr>
              <w:t>PM10</w:t>
            </w:r>
          </w:p>
        </w:tc>
        <w:tc>
          <w:tcPr>
            <w:tcW w:w="2061" w:type="pct"/>
            <w:vMerge w:val="restart"/>
            <w:tcBorders>
              <w:right w:val="double" w:sz="4" w:space="0" w:color="auto"/>
            </w:tcBorders>
          </w:tcPr>
          <w:p w:rsidR="00F53351" w:rsidRPr="000B6AFE" w:rsidRDefault="00F53351" w:rsidP="00242019">
            <w:pPr>
              <w:rPr>
                <w:rFonts w:cs="Arial"/>
                <w:sz w:val="19"/>
                <w:szCs w:val="19"/>
              </w:rPr>
            </w:pPr>
            <w:r w:rsidRPr="000B6AFE">
              <w:rPr>
                <w:rFonts w:cs="Arial"/>
                <w:sz w:val="19"/>
                <w:szCs w:val="19"/>
              </w:rPr>
              <w:t>Particulate Matter equal to or less than 10 microns in diameter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NA</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Not Applicable</w:t>
            </w:r>
          </w:p>
        </w:tc>
        <w:tc>
          <w:tcPr>
            <w:tcW w:w="394" w:type="pct"/>
            <w:vMerge/>
            <w:tcBorders>
              <w:left w:val="single" w:sz="4" w:space="0" w:color="auto"/>
            </w:tcBorders>
          </w:tcPr>
          <w:p w:rsidR="00F53351" w:rsidRPr="000B6AFE" w:rsidRDefault="00F53351" w:rsidP="00242019">
            <w:pPr>
              <w:rPr>
                <w:rFonts w:cs="Arial"/>
                <w:sz w:val="19"/>
                <w:szCs w:val="19"/>
              </w:rPr>
            </w:pPr>
          </w:p>
        </w:tc>
        <w:tc>
          <w:tcPr>
            <w:tcW w:w="2061" w:type="pct"/>
            <w:vMerge/>
            <w:tcBorders>
              <w:right w:val="double" w:sz="4" w:space="0" w:color="auto"/>
            </w:tcBorders>
          </w:tcPr>
          <w:p w:rsidR="00F53351" w:rsidRPr="000B6AFE" w:rsidRDefault="00F53351" w:rsidP="00242019">
            <w:pPr>
              <w:rPr>
                <w:rFonts w:cs="Arial"/>
                <w:sz w:val="19"/>
                <w:szCs w:val="19"/>
              </w:rPr>
            </w:pPr>
          </w:p>
        </w:tc>
      </w:tr>
      <w:tr w:rsidR="00F53351" w:rsidRPr="000B6AFE" w:rsidTr="00242019">
        <w:trPr>
          <w:cantSplit/>
          <w:trHeight w:val="218"/>
          <w:jc w:val="center"/>
        </w:trPr>
        <w:tc>
          <w:tcPr>
            <w:tcW w:w="659" w:type="pct"/>
            <w:tcBorders>
              <w:left w:val="double" w:sz="4" w:space="0" w:color="auto"/>
              <w:bottom w:val="nil"/>
            </w:tcBorders>
          </w:tcPr>
          <w:p w:rsidR="00F53351" w:rsidRPr="000B6AFE" w:rsidRDefault="00F53351" w:rsidP="00242019">
            <w:pPr>
              <w:rPr>
                <w:rFonts w:cs="Arial"/>
                <w:sz w:val="19"/>
                <w:szCs w:val="19"/>
              </w:rPr>
            </w:pPr>
            <w:r w:rsidRPr="000B6AFE">
              <w:rPr>
                <w:rFonts w:cs="Arial"/>
                <w:sz w:val="19"/>
                <w:szCs w:val="19"/>
              </w:rPr>
              <w:t>NAAQS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PM2.5</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Particulate Matter equal to or less than 2.5</w:t>
            </w:r>
          </w:p>
          <w:p w:rsidR="00F53351" w:rsidRPr="000B6AFE" w:rsidRDefault="00F53351" w:rsidP="00242019">
            <w:pPr>
              <w:rPr>
                <w:rFonts w:cs="Arial"/>
                <w:sz w:val="19"/>
                <w:szCs w:val="19"/>
              </w:rPr>
            </w:pPr>
            <w:r w:rsidRPr="000B6AFE">
              <w:rPr>
                <w:rFonts w:cs="Arial"/>
                <w:sz w:val="19"/>
                <w:szCs w:val="19"/>
              </w:rPr>
              <w:t>microns in diameter</w:t>
            </w:r>
          </w:p>
        </w:tc>
      </w:tr>
      <w:tr w:rsidR="00F53351" w:rsidRPr="000B6AFE" w:rsidTr="00242019">
        <w:trPr>
          <w:cantSplit/>
          <w:trHeight w:val="218"/>
          <w:jc w:val="center"/>
        </w:trPr>
        <w:tc>
          <w:tcPr>
            <w:tcW w:w="659" w:type="pct"/>
            <w:vMerge w:val="restart"/>
            <w:tcBorders>
              <w:left w:val="double" w:sz="4" w:space="0" w:color="auto"/>
            </w:tcBorders>
          </w:tcPr>
          <w:p w:rsidR="00F53351" w:rsidRPr="000B6AFE" w:rsidRDefault="00F53351" w:rsidP="00242019">
            <w:pPr>
              <w:rPr>
                <w:rFonts w:cs="Arial"/>
                <w:sz w:val="19"/>
                <w:szCs w:val="19"/>
              </w:rPr>
            </w:pPr>
            <w:r w:rsidRPr="000B6AFE">
              <w:rPr>
                <w:rFonts w:cs="Arial"/>
                <w:sz w:val="19"/>
                <w:szCs w:val="19"/>
              </w:rPr>
              <w:t>NESHAP</w:t>
            </w:r>
          </w:p>
        </w:tc>
        <w:tc>
          <w:tcPr>
            <w:tcW w:w="1886" w:type="pct"/>
            <w:vMerge w:val="restart"/>
            <w:tcBorders>
              <w:right w:val="single" w:sz="4" w:space="0" w:color="auto"/>
            </w:tcBorders>
          </w:tcPr>
          <w:p w:rsidR="00F53351" w:rsidRPr="000B6AFE" w:rsidRDefault="00F53351" w:rsidP="00242019">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53351" w:rsidRPr="000B6AFE" w:rsidRDefault="00F53351" w:rsidP="00242019">
            <w:pPr>
              <w:rPr>
                <w:rFonts w:cs="Arial"/>
                <w:sz w:val="19"/>
                <w:szCs w:val="19"/>
              </w:rPr>
            </w:pPr>
            <w:r w:rsidRPr="000B6AFE">
              <w:rPr>
                <w:rFonts w:cs="Arial"/>
                <w:sz w:val="19"/>
                <w:szCs w:val="19"/>
              </w:rPr>
              <w:t>pph</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Pounds per hour</w:t>
            </w:r>
          </w:p>
        </w:tc>
      </w:tr>
      <w:tr w:rsidR="00F53351" w:rsidRPr="000B6AFE" w:rsidTr="00242019">
        <w:trPr>
          <w:cantSplit/>
          <w:trHeight w:val="217"/>
          <w:jc w:val="center"/>
        </w:trPr>
        <w:tc>
          <w:tcPr>
            <w:tcW w:w="659" w:type="pct"/>
            <w:vMerge/>
            <w:tcBorders>
              <w:left w:val="double" w:sz="4" w:space="0" w:color="auto"/>
              <w:bottom w:val="nil"/>
            </w:tcBorders>
          </w:tcPr>
          <w:p w:rsidR="00F53351" w:rsidRPr="000B6AFE" w:rsidRDefault="00F53351" w:rsidP="00242019">
            <w:pPr>
              <w:rPr>
                <w:rFonts w:cs="Arial"/>
                <w:sz w:val="19"/>
                <w:szCs w:val="19"/>
              </w:rPr>
            </w:pPr>
          </w:p>
        </w:tc>
        <w:tc>
          <w:tcPr>
            <w:tcW w:w="1886" w:type="pct"/>
            <w:vMerge/>
            <w:tcBorders>
              <w:right w:val="single" w:sz="4" w:space="0" w:color="auto"/>
            </w:tcBorders>
          </w:tcPr>
          <w:p w:rsidR="00F53351" w:rsidRPr="000B6AFE" w:rsidRDefault="00F53351" w:rsidP="00242019">
            <w:pPr>
              <w:rPr>
                <w:rFonts w:cs="Arial"/>
                <w:sz w:val="19"/>
                <w:szCs w:val="19"/>
              </w:rPr>
            </w:pPr>
          </w:p>
        </w:tc>
        <w:tc>
          <w:tcPr>
            <w:tcW w:w="394" w:type="pct"/>
            <w:tcBorders>
              <w:left w:val="single" w:sz="4" w:space="0" w:color="auto"/>
              <w:bottom w:val="nil"/>
            </w:tcBorders>
          </w:tcPr>
          <w:p w:rsidR="00F53351" w:rsidRPr="000B6AFE" w:rsidRDefault="00F53351" w:rsidP="00242019">
            <w:pPr>
              <w:rPr>
                <w:rFonts w:cs="Arial"/>
                <w:sz w:val="19"/>
                <w:szCs w:val="19"/>
              </w:rPr>
            </w:pPr>
            <w:r w:rsidRPr="000B6AFE">
              <w:rPr>
                <w:rFonts w:cs="Arial"/>
                <w:sz w:val="19"/>
                <w:szCs w:val="19"/>
              </w:rPr>
              <w:t>ppm</w:t>
            </w:r>
          </w:p>
        </w:tc>
        <w:tc>
          <w:tcPr>
            <w:tcW w:w="2061" w:type="pct"/>
            <w:tcBorders>
              <w:bottom w:val="nil"/>
              <w:right w:val="double" w:sz="4" w:space="0" w:color="auto"/>
            </w:tcBorders>
          </w:tcPr>
          <w:p w:rsidR="00F53351" w:rsidRPr="000B6AFE" w:rsidRDefault="00F53351" w:rsidP="00242019">
            <w:pPr>
              <w:rPr>
                <w:rFonts w:cs="Arial"/>
                <w:sz w:val="19"/>
                <w:szCs w:val="19"/>
              </w:rPr>
            </w:pPr>
            <w:r w:rsidRPr="000B6AFE">
              <w:rPr>
                <w:rFonts w:cs="Arial"/>
                <w:sz w:val="19"/>
                <w:szCs w:val="19"/>
              </w:rPr>
              <w:t>Parts per million</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NSPS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ppmv</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Parts per million by volume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NSR</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New Source Review</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ppmw</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Parts per million by weight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PS</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53351" w:rsidRPr="000B6AFE" w:rsidRDefault="00F53351" w:rsidP="00242019">
            <w:pPr>
              <w:rPr>
                <w:rFonts w:cs="Arial"/>
                <w:sz w:val="19"/>
                <w:szCs w:val="19"/>
              </w:rPr>
            </w:pPr>
            <w:r>
              <w:rPr>
                <w:rFonts w:cs="Arial"/>
                <w:sz w:val="19"/>
                <w:szCs w:val="19"/>
              </w:rPr>
              <w:t>%</w:t>
            </w:r>
          </w:p>
        </w:tc>
        <w:tc>
          <w:tcPr>
            <w:tcW w:w="2061" w:type="pct"/>
            <w:tcBorders>
              <w:right w:val="double" w:sz="4" w:space="0" w:color="auto"/>
            </w:tcBorders>
          </w:tcPr>
          <w:p w:rsidR="00F53351" w:rsidRPr="000B6AFE" w:rsidRDefault="00F53351" w:rsidP="00242019">
            <w:pPr>
              <w:rPr>
                <w:rFonts w:cs="Arial"/>
                <w:sz w:val="19"/>
                <w:szCs w:val="19"/>
              </w:rPr>
            </w:pPr>
            <w:r>
              <w:rPr>
                <w:rFonts w:cs="Arial"/>
                <w:sz w:val="19"/>
                <w:szCs w:val="19"/>
              </w:rPr>
              <w:t>Percent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PSD</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psia</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Pounds per square inch absolute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PTE</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psig</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Pounds per square inch gauge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PTI</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Permit to Install</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scf</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Standard cubic feet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RACT</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sec</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Seconds</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ROP</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53351" w:rsidRPr="000B6AFE" w:rsidRDefault="00F53351" w:rsidP="00242019">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Sulfur Dioxide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SC</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Special Condition</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TAC</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Toxic Air Contaminant</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SCR</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Temp</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Temperature</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SNCR</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THC</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Total Hydrocarbons</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SRN</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tpy</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Tons per year</w:t>
            </w:r>
          </w:p>
        </w:tc>
      </w:tr>
      <w:tr w:rsidR="00F53351" w:rsidRPr="000B6AFE" w:rsidTr="00242019">
        <w:trPr>
          <w:cantSplit/>
          <w:trHeight w:val="245"/>
          <w:jc w:val="center"/>
        </w:trPr>
        <w:tc>
          <w:tcPr>
            <w:tcW w:w="659" w:type="pct"/>
            <w:tcBorders>
              <w:left w:val="double" w:sz="4" w:space="0" w:color="auto"/>
            </w:tcBorders>
          </w:tcPr>
          <w:p w:rsidR="00F53351" w:rsidRPr="000B6AFE" w:rsidRDefault="00F53351" w:rsidP="00242019">
            <w:pPr>
              <w:rPr>
                <w:rFonts w:cs="Arial"/>
                <w:sz w:val="19"/>
                <w:szCs w:val="19"/>
              </w:rPr>
            </w:pPr>
            <w:r w:rsidRPr="000B6AFE">
              <w:rPr>
                <w:rFonts w:cs="Arial"/>
                <w:sz w:val="19"/>
                <w:szCs w:val="19"/>
              </w:rPr>
              <w:t>TEQ</w:t>
            </w:r>
          </w:p>
        </w:tc>
        <w:tc>
          <w:tcPr>
            <w:tcW w:w="1886" w:type="pct"/>
            <w:tcBorders>
              <w:right w:val="single" w:sz="4" w:space="0" w:color="auto"/>
            </w:tcBorders>
          </w:tcPr>
          <w:p w:rsidR="00F53351" w:rsidRPr="000B6AFE" w:rsidRDefault="00F53351" w:rsidP="00242019">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µg</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Microgram</w:t>
            </w:r>
          </w:p>
        </w:tc>
      </w:tr>
      <w:tr w:rsidR="00F53351" w:rsidRPr="000B6AFE" w:rsidTr="00242019">
        <w:trPr>
          <w:cantSplit/>
          <w:trHeight w:val="245"/>
          <w:jc w:val="center"/>
        </w:trPr>
        <w:tc>
          <w:tcPr>
            <w:tcW w:w="659" w:type="pct"/>
            <w:vMerge w:val="restart"/>
            <w:tcBorders>
              <w:left w:val="double" w:sz="4" w:space="0" w:color="auto"/>
            </w:tcBorders>
          </w:tcPr>
          <w:p w:rsidR="00F53351" w:rsidRPr="000B6AFE" w:rsidRDefault="00F53351" w:rsidP="00242019">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53351" w:rsidRPr="000B6AFE" w:rsidRDefault="00F53351" w:rsidP="00242019">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µm</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Micrometer or Micron</w:t>
            </w:r>
          </w:p>
        </w:tc>
      </w:tr>
      <w:tr w:rsidR="00F53351" w:rsidRPr="000B6AFE" w:rsidTr="00242019">
        <w:trPr>
          <w:cantSplit/>
          <w:trHeight w:val="245"/>
          <w:jc w:val="center"/>
        </w:trPr>
        <w:tc>
          <w:tcPr>
            <w:tcW w:w="659" w:type="pct"/>
            <w:vMerge/>
            <w:tcBorders>
              <w:left w:val="double" w:sz="4" w:space="0" w:color="auto"/>
            </w:tcBorders>
          </w:tcPr>
          <w:p w:rsidR="00F53351" w:rsidRPr="000B6AFE" w:rsidRDefault="00F53351" w:rsidP="00242019">
            <w:pPr>
              <w:rPr>
                <w:rFonts w:cs="Arial"/>
                <w:sz w:val="19"/>
                <w:szCs w:val="19"/>
              </w:rPr>
            </w:pPr>
          </w:p>
        </w:tc>
        <w:tc>
          <w:tcPr>
            <w:tcW w:w="1886" w:type="pct"/>
            <w:vMerge/>
            <w:tcBorders>
              <w:right w:val="single" w:sz="4" w:space="0" w:color="auto"/>
            </w:tcBorders>
          </w:tcPr>
          <w:p w:rsidR="00F53351" w:rsidRPr="000B6AFE" w:rsidRDefault="00F53351" w:rsidP="00242019">
            <w:pPr>
              <w:rPr>
                <w:rFonts w:cs="Arial"/>
                <w:sz w:val="19"/>
                <w:szCs w:val="19"/>
              </w:rPr>
            </w:pPr>
          </w:p>
        </w:tc>
        <w:tc>
          <w:tcPr>
            <w:tcW w:w="394" w:type="pct"/>
            <w:tcBorders>
              <w:left w:val="single" w:sz="4" w:space="0" w:color="auto"/>
            </w:tcBorders>
          </w:tcPr>
          <w:p w:rsidR="00F53351" w:rsidRPr="000B6AFE" w:rsidRDefault="00F53351" w:rsidP="00242019">
            <w:pPr>
              <w:rPr>
                <w:rFonts w:cs="Arial"/>
                <w:sz w:val="19"/>
                <w:szCs w:val="19"/>
              </w:rPr>
            </w:pPr>
            <w:r w:rsidRPr="000B6AFE">
              <w:rPr>
                <w:rFonts w:cs="Arial"/>
                <w:sz w:val="19"/>
                <w:szCs w:val="19"/>
              </w:rPr>
              <w:t>VOC</w:t>
            </w:r>
          </w:p>
        </w:tc>
        <w:tc>
          <w:tcPr>
            <w:tcW w:w="2061" w:type="pct"/>
            <w:tcBorders>
              <w:right w:val="double" w:sz="4" w:space="0" w:color="auto"/>
            </w:tcBorders>
          </w:tcPr>
          <w:p w:rsidR="00F53351" w:rsidRPr="000B6AFE" w:rsidRDefault="00F53351" w:rsidP="00242019">
            <w:pPr>
              <w:rPr>
                <w:rFonts w:cs="Arial"/>
                <w:sz w:val="19"/>
                <w:szCs w:val="19"/>
              </w:rPr>
            </w:pPr>
            <w:r w:rsidRPr="000B6AFE">
              <w:rPr>
                <w:rFonts w:cs="Arial"/>
                <w:sz w:val="19"/>
                <w:szCs w:val="19"/>
              </w:rPr>
              <w:t>Volatile Organic Compounds</w:t>
            </w:r>
          </w:p>
        </w:tc>
      </w:tr>
      <w:tr w:rsidR="00F53351" w:rsidRPr="000B6AFE" w:rsidTr="00242019">
        <w:trPr>
          <w:cantSplit/>
          <w:trHeight w:val="245"/>
          <w:jc w:val="center"/>
        </w:trPr>
        <w:tc>
          <w:tcPr>
            <w:tcW w:w="659" w:type="pct"/>
            <w:tcBorders>
              <w:left w:val="double" w:sz="4" w:space="0" w:color="auto"/>
              <w:bottom w:val="double" w:sz="4" w:space="0" w:color="auto"/>
            </w:tcBorders>
          </w:tcPr>
          <w:p w:rsidR="00F53351" w:rsidRPr="000B6AFE" w:rsidRDefault="00F53351" w:rsidP="00242019">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rsidR="00F53351" w:rsidRPr="000B6AFE" w:rsidRDefault="00F53351" w:rsidP="00242019">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rsidR="00F53351" w:rsidRPr="000B6AFE" w:rsidRDefault="00F53351" w:rsidP="00242019">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rsidR="00F53351" w:rsidRPr="000B6AFE" w:rsidRDefault="00F53351" w:rsidP="00242019">
            <w:pPr>
              <w:rPr>
                <w:rFonts w:cs="Arial"/>
                <w:sz w:val="19"/>
                <w:szCs w:val="19"/>
              </w:rPr>
            </w:pPr>
            <w:r w:rsidRPr="000B6AFE">
              <w:rPr>
                <w:rFonts w:cs="Arial"/>
                <w:sz w:val="19"/>
                <w:szCs w:val="19"/>
              </w:rPr>
              <w:t>Year</w:t>
            </w:r>
          </w:p>
        </w:tc>
      </w:tr>
    </w:tbl>
    <w:p w:rsidR="00F53351" w:rsidRDefault="00F53351" w:rsidP="00F53351">
      <w:pPr>
        <w:rPr>
          <w:sz w:val="20"/>
        </w:rPr>
      </w:pPr>
      <w:r w:rsidRPr="000B6AFE">
        <w:rPr>
          <w:rFonts w:cs="Arial"/>
          <w:sz w:val="19"/>
          <w:szCs w:val="19"/>
        </w:rPr>
        <w:t>*For HVLP applicators, the pressure measured at the gun air cap shall not exceed 10 psig.</w:t>
      </w:r>
    </w:p>
    <w:p w:rsidR="00C60E84" w:rsidRPr="00461D22" w:rsidRDefault="00C60E84" w:rsidP="00461D22">
      <w:pPr>
        <w:pStyle w:val="Heading2"/>
        <w:numPr>
          <w:ilvl w:val="0"/>
          <w:numId w:val="0"/>
        </w:numPr>
        <w:jc w:val="left"/>
        <w:rPr>
          <w:bCs/>
          <w:sz w:val="22"/>
          <w:szCs w:val="22"/>
        </w:rPr>
      </w:pPr>
      <w:bookmarkStart w:id="112" w:name="_Toc10726751"/>
      <w:bookmarkEnd w:id="111"/>
      <w:r w:rsidRPr="00461D22">
        <w:rPr>
          <w:bCs/>
          <w:sz w:val="22"/>
          <w:szCs w:val="22"/>
        </w:rPr>
        <w:lastRenderedPageBreak/>
        <w:t>Appendix 2.  Schedule of Compliance</w:t>
      </w:r>
      <w:bookmarkEnd w:id="112"/>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C60E84" w:rsidRPr="00440957" w:rsidRDefault="00C60E84" w:rsidP="004F09CF">
      <w:pPr>
        <w:pStyle w:val="Heading2"/>
        <w:numPr>
          <w:ilvl w:val="0"/>
          <w:numId w:val="0"/>
        </w:numPr>
        <w:jc w:val="both"/>
        <w:rPr>
          <w:sz w:val="20"/>
        </w:rPr>
      </w:pPr>
      <w:bookmarkStart w:id="113" w:name="_Toc10726752"/>
      <w:r w:rsidRPr="00461D22">
        <w:rPr>
          <w:sz w:val="22"/>
          <w:szCs w:val="22"/>
        </w:rPr>
        <w:t>Appendix 3.  Monitoring Requirements</w:t>
      </w:r>
      <w:bookmarkEnd w:id="113"/>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14" w:name="_Toc10726753"/>
      <w:r w:rsidRPr="00461D22">
        <w:rPr>
          <w:sz w:val="22"/>
          <w:szCs w:val="22"/>
        </w:rPr>
        <w:t>Appendix 4.  Recordkeeping</w:t>
      </w:r>
      <w:bookmarkEnd w:id="114"/>
    </w:p>
    <w:p w:rsidR="00C60E84" w:rsidRPr="00B77C68" w:rsidRDefault="00C60E84" w:rsidP="004F09CF">
      <w:pPr>
        <w:jc w:val="both"/>
        <w:rPr>
          <w:sz w:val="20"/>
        </w:rPr>
      </w:pPr>
    </w:p>
    <w:p w:rsidR="00C60E84" w:rsidRPr="00B77C68"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15" w:name="_Toc10726754"/>
      <w:r w:rsidRPr="00461D22">
        <w:rPr>
          <w:sz w:val="22"/>
          <w:szCs w:val="22"/>
        </w:rPr>
        <w:t>Appendix 5.  Testing Procedures</w:t>
      </w:r>
      <w:bookmarkEnd w:id="115"/>
    </w:p>
    <w:p w:rsidR="00C60E84" w:rsidRPr="00B77C68" w:rsidRDefault="00C60E84" w:rsidP="004F09CF">
      <w:pPr>
        <w:jc w:val="both"/>
        <w:rPr>
          <w:sz w:val="20"/>
        </w:rPr>
      </w:pPr>
    </w:p>
    <w:p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EC07BA" w:rsidRPr="00440957" w:rsidRDefault="00EC07BA" w:rsidP="001838ED">
      <w:pPr>
        <w:pStyle w:val="Heading2"/>
        <w:numPr>
          <w:ilvl w:val="0"/>
          <w:numId w:val="0"/>
        </w:numPr>
        <w:jc w:val="both"/>
        <w:rPr>
          <w:sz w:val="20"/>
        </w:rPr>
      </w:pPr>
      <w:bookmarkStart w:id="116" w:name="_Toc10726755"/>
      <w:r w:rsidRPr="00461D22">
        <w:rPr>
          <w:sz w:val="22"/>
          <w:szCs w:val="22"/>
        </w:rPr>
        <w:t>Appendix 6.  Permits to Install</w:t>
      </w:r>
      <w:bookmarkEnd w:id="116"/>
    </w:p>
    <w:p w:rsidR="005161BF" w:rsidRDefault="005161BF" w:rsidP="001838ED">
      <w:pPr>
        <w:jc w:val="both"/>
        <w:rPr>
          <w:sz w:val="20"/>
        </w:rPr>
      </w:pPr>
    </w:p>
    <w:p w:rsidR="00EC07BA" w:rsidRPr="00B9348B" w:rsidRDefault="00EC07BA" w:rsidP="001838E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w:t>
      </w:r>
      <w:r w:rsidRPr="00EF3A23">
        <w:rPr>
          <w:rFonts w:cs="Arial"/>
          <w:sz w:val="20"/>
        </w:rPr>
        <w:t>ROP-</w:t>
      </w:r>
      <w:bookmarkStart w:id="117" w:name="_Hlk535479893"/>
      <w:r w:rsidR="00EF3A23">
        <w:rPr>
          <w:rFonts w:cs="Arial"/>
          <w:sz w:val="20"/>
        </w:rPr>
        <w:t>B2363</w:t>
      </w:r>
      <w:r w:rsidRPr="00EF3A23">
        <w:rPr>
          <w:rFonts w:cs="Arial"/>
          <w:sz w:val="20"/>
        </w:rPr>
        <w:t>-</w:t>
      </w:r>
      <w:r w:rsidR="00EF3A23">
        <w:rPr>
          <w:rFonts w:cs="Arial"/>
          <w:sz w:val="20"/>
        </w:rPr>
        <w:t>2014</w:t>
      </w:r>
      <w:bookmarkEnd w:id="117"/>
      <w:r w:rsidRPr="00EF3A23">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7713F1" w:rsidRDefault="00EC07BA" w:rsidP="001838ED">
      <w:pPr>
        <w:jc w:val="both"/>
        <w:rPr>
          <w:rFonts w:cs="Arial"/>
          <w:sz w:val="20"/>
        </w:rPr>
      </w:pPr>
    </w:p>
    <w:p w:rsidR="00EC07BA" w:rsidRPr="001751BB" w:rsidRDefault="00EC07BA" w:rsidP="001838ED">
      <w:pPr>
        <w:jc w:val="both"/>
        <w:rPr>
          <w:rFonts w:cs="Arial"/>
          <w:sz w:val="20"/>
        </w:rPr>
      </w:pPr>
      <w:r w:rsidRPr="00903ACF">
        <w:rPr>
          <w:rFonts w:cs="Arial"/>
          <w:sz w:val="20"/>
        </w:rPr>
        <w:t>Source-Wide PTI No MI-PTI-</w:t>
      </w:r>
      <w:r w:rsidR="00EF3A23" w:rsidRPr="00EF3A23">
        <w:rPr>
          <w:rFonts w:cs="Arial"/>
          <w:sz w:val="20"/>
        </w:rPr>
        <w:t xml:space="preserve"> </w:t>
      </w:r>
      <w:r w:rsidR="00EF3A23">
        <w:rPr>
          <w:rFonts w:cs="Arial"/>
          <w:sz w:val="20"/>
        </w:rPr>
        <w:t>B2363</w:t>
      </w:r>
      <w:r w:rsidR="00EF3A23" w:rsidRPr="00EF3A23">
        <w:rPr>
          <w:rFonts w:cs="Arial"/>
          <w:sz w:val="20"/>
        </w:rPr>
        <w:t>-</w:t>
      </w:r>
      <w:r w:rsidR="00EF3A23">
        <w:rPr>
          <w:rFonts w:cs="Arial"/>
          <w:sz w:val="20"/>
        </w:rPr>
        <w:t xml:space="preserve">2014 </w:t>
      </w:r>
      <w:r w:rsidRPr="00903ACF">
        <w:rPr>
          <w:rFonts w:cs="Arial"/>
          <w:sz w:val="20"/>
        </w:rPr>
        <w:t>is being reissued as Source-Wide PTI No. MI-PTI-</w:t>
      </w:r>
      <w:r w:rsidR="00EF3A23" w:rsidRPr="00EF3A23">
        <w:rPr>
          <w:rFonts w:cs="Arial"/>
          <w:sz w:val="20"/>
        </w:rPr>
        <w:t xml:space="preserve"> </w:t>
      </w:r>
      <w:r w:rsidR="00EF3A23">
        <w:rPr>
          <w:rFonts w:cs="Arial"/>
          <w:sz w:val="20"/>
        </w:rPr>
        <w:t>B2363</w:t>
      </w:r>
      <w:r w:rsidR="00EF3A23" w:rsidRPr="00EF3A23">
        <w:rPr>
          <w:rFonts w:cs="Arial"/>
          <w:sz w:val="20"/>
        </w:rPr>
        <w:t>-</w:t>
      </w:r>
      <w:r w:rsidR="00EF3A23" w:rsidRPr="001751BB">
        <w:rPr>
          <w:rFonts w:cs="Arial"/>
          <w:sz w:val="20"/>
        </w:rPr>
        <w:t>20</w:t>
      </w:r>
      <w:r w:rsidR="001751BB">
        <w:rPr>
          <w:rFonts w:cs="Arial"/>
          <w:sz w:val="20"/>
        </w:rPr>
        <w:t>19</w:t>
      </w:r>
      <w:r w:rsidR="00EF3A23" w:rsidRPr="001751BB">
        <w:rPr>
          <w:rFonts w:cs="Arial"/>
          <w:sz w:val="20"/>
        </w:rPr>
        <w:t>.</w:t>
      </w:r>
    </w:p>
    <w:p w:rsidR="00EC07BA" w:rsidRPr="00903ACF" w:rsidRDefault="00EF3A23" w:rsidP="001838ED">
      <w:pPr>
        <w:jc w:val="both"/>
        <w:rPr>
          <w:rFonts w:cs="Arial"/>
          <w:sz w:val="20"/>
        </w:rPr>
      </w:pPr>
      <w:r w:rsidRPr="00903ACF">
        <w:rPr>
          <w:rFonts w:cs="Arial"/>
          <w:sz w:val="20"/>
        </w:rPr>
        <w:t xml:space="preserve"> </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rsidTr="000C3F1E">
        <w:tc>
          <w:tcPr>
            <w:tcW w:w="697"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EC07BA" w:rsidRPr="001D53D9" w:rsidTr="000C3F1E">
        <w:tc>
          <w:tcPr>
            <w:tcW w:w="697" w:type="pct"/>
            <w:tcBorders>
              <w:top w:val="double" w:sz="6" w:space="0" w:color="auto"/>
              <w:left w:val="double" w:sz="6" w:space="0" w:color="auto"/>
            </w:tcBorders>
            <w:shd w:val="clear" w:color="auto" w:fill="auto"/>
          </w:tcPr>
          <w:p w:rsidR="00EC07BA" w:rsidRPr="001D53D9" w:rsidRDefault="00EF3A23" w:rsidP="00BD660F">
            <w:pPr>
              <w:jc w:val="center"/>
              <w:rPr>
                <w:rFonts w:cs="Arial"/>
                <w:sz w:val="20"/>
              </w:rPr>
            </w:pPr>
            <w:r>
              <w:rPr>
                <w:rFonts w:cs="Arial"/>
                <w:sz w:val="20"/>
              </w:rPr>
              <w:t>NA</w:t>
            </w:r>
          </w:p>
        </w:tc>
        <w:tc>
          <w:tcPr>
            <w:tcW w:w="1261" w:type="pct"/>
            <w:tcBorders>
              <w:top w:val="double" w:sz="6" w:space="0" w:color="auto"/>
            </w:tcBorders>
            <w:shd w:val="clear" w:color="auto" w:fill="auto"/>
          </w:tcPr>
          <w:p w:rsidR="00EC07BA" w:rsidRPr="001D53D9" w:rsidRDefault="00447E19" w:rsidP="00BD660F">
            <w:pPr>
              <w:jc w:val="center"/>
              <w:rPr>
                <w:rFonts w:cs="Arial"/>
                <w:sz w:val="20"/>
              </w:rPr>
            </w:pPr>
            <w:r>
              <w:rPr>
                <w:rFonts w:cs="Arial"/>
                <w:sz w:val="20"/>
              </w:rPr>
              <w:t>201800131</w:t>
            </w:r>
            <w:r w:rsidR="00C97E7D">
              <w:rPr>
                <w:rFonts w:cs="Arial"/>
                <w:sz w:val="20"/>
              </w:rPr>
              <w:t>*</w:t>
            </w:r>
          </w:p>
        </w:tc>
        <w:tc>
          <w:tcPr>
            <w:tcW w:w="1955" w:type="pct"/>
            <w:tcBorders>
              <w:top w:val="double" w:sz="6" w:space="0" w:color="auto"/>
            </w:tcBorders>
            <w:shd w:val="clear" w:color="auto" w:fill="auto"/>
          </w:tcPr>
          <w:p w:rsidR="00EC07BA" w:rsidRPr="001D53D9" w:rsidRDefault="00447E19" w:rsidP="00BD660F">
            <w:pPr>
              <w:jc w:val="center"/>
              <w:rPr>
                <w:rFonts w:cs="Arial"/>
                <w:sz w:val="20"/>
              </w:rPr>
            </w:pPr>
            <w:r w:rsidRPr="00447E19">
              <w:rPr>
                <w:rFonts w:cs="Arial"/>
                <w:sz w:val="20"/>
              </w:rPr>
              <w:t>A</w:t>
            </w:r>
            <w:r>
              <w:rPr>
                <w:rFonts w:cs="Arial"/>
                <w:sz w:val="20"/>
              </w:rPr>
              <w:t>dministrative Amendment</w:t>
            </w:r>
            <w:r w:rsidRPr="00447E19">
              <w:rPr>
                <w:rFonts w:cs="Arial"/>
                <w:sz w:val="20"/>
              </w:rPr>
              <w:t xml:space="preserve"> </w:t>
            </w:r>
            <w:r>
              <w:rPr>
                <w:rFonts w:cs="Arial"/>
                <w:sz w:val="20"/>
              </w:rPr>
              <w:t>for</w:t>
            </w:r>
            <w:r w:rsidRPr="00447E19">
              <w:rPr>
                <w:rFonts w:cs="Arial"/>
                <w:sz w:val="20"/>
              </w:rPr>
              <w:t xml:space="preserve"> change in Ownership from Howard Finishing LLC to Standard Coating, Inc.</w:t>
            </w:r>
          </w:p>
        </w:tc>
        <w:tc>
          <w:tcPr>
            <w:tcW w:w="1087" w:type="pct"/>
            <w:tcBorders>
              <w:top w:val="double" w:sz="6" w:space="0" w:color="auto"/>
              <w:right w:val="double" w:sz="6" w:space="0" w:color="auto"/>
            </w:tcBorders>
            <w:shd w:val="clear" w:color="auto" w:fill="auto"/>
          </w:tcPr>
          <w:p w:rsidR="00EC07BA" w:rsidRPr="001D53D9" w:rsidRDefault="00EF3A23" w:rsidP="00BD660F">
            <w:pPr>
              <w:jc w:val="center"/>
              <w:rPr>
                <w:rFonts w:cs="Arial"/>
                <w:sz w:val="20"/>
              </w:rPr>
            </w:pPr>
            <w:r>
              <w:rPr>
                <w:rFonts w:cs="Arial"/>
                <w:sz w:val="20"/>
              </w:rPr>
              <w:t>NA</w:t>
            </w:r>
          </w:p>
        </w:tc>
      </w:tr>
    </w:tbl>
    <w:p w:rsidR="00C60E84" w:rsidRPr="002B7B46" w:rsidRDefault="00C60E84" w:rsidP="002B7B46">
      <w:pPr>
        <w:pStyle w:val="Heading2"/>
        <w:numPr>
          <w:ilvl w:val="0"/>
          <w:numId w:val="0"/>
        </w:numPr>
        <w:jc w:val="both"/>
        <w:rPr>
          <w:sz w:val="20"/>
        </w:rPr>
      </w:pPr>
      <w:bookmarkStart w:id="118" w:name="_Toc10726756"/>
      <w:r w:rsidRPr="00461D22">
        <w:rPr>
          <w:sz w:val="22"/>
          <w:szCs w:val="22"/>
        </w:rPr>
        <w:t>Appendix 7.  Emission Calculations</w:t>
      </w:r>
      <w:bookmarkEnd w:id="118"/>
      <w:r w:rsidRPr="00461D22">
        <w:rPr>
          <w:sz w:val="22"/>
          <w:szCs w:val="22"/>
        </w:rPr>
        <w:t xml:space="preserve"> </w:t>
      </w:r>
    </w:p>
    <w:p w:rsidR="00C60E84" w:rsidRPr="0080590E" w:rsidRDefault="00C60E84" w:rsidP="004F09CF">
      <w:pPr>
        <w:jc w:val="both"/>
        <w:rPr>
          <w:sz w:val="20"/>
        </w:rPr>
      </w:pPr>
    </w:p>
    <w:p w:rsidR="00C60E84"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2B7B46">
        <w:rPr>
          <w:sz w:val="20"/>
        </w:rPr>
        <w:t>EULINE9</w:t>
      </w:r>
      <w:r w:rsidRPr="00B77C68">
        <w:rPr>
          <w:sz w:val="20"/>
        </w:rPr>
        <w:t>.</w:t>
      </w:r>
    </w:p>
    <w:p w:rsidR="00851D29" w:rsidRPr="00B77C68" w:rsidRDefault="00851D29" w:rsidP="004F09CF">
      <w:pPr>
        <w:jc w:val="both"/>
        <w:rPr>
          <w:sz w:val="20"/>
        </w:rPr>
      </w:pPr>
    </w:p>
    <w:p w:rsidR="002B7B46" w:rsidRPr="002B7B46" w:rsidRDefault="002B7B46" w:rsidP="002B7B46">
      <w:pPr>
        <w:jc w:val="both"/>
        <w:rPr>
          <w:rFonts w:ascii="Century Gothic" w:hAnsi="Century Gothic"/>
        </w:rPr>
      </w:pPr>
      <w:bookmarkStart w:id="119" w:name="_Toc377276143"/>
      <w:bookmarkStart w:id="120" w:name="_Toc377877183"/>
      <w:r w:rsidRPr="002B7B46">
        <w:rPr>
          <w:b/>
          <w:szCs w:val="22"/>
        </w:rPr>
        <w:tab/>
      </w:r>
      <w:r w:rsidRPr="002B7B46">
        <w:rPr>
          <w:rFonts w:ascii="Century Gothic" w:hAnsi="Century Gothic"/>
          <w:sz w:val="16"/>
          <w:szCs w:val="16"/>
        </w:rPr>
        <w:tab/>
      </w:r>
      <w:r w:rsidRPr="002B7B46">
        <w:rPr>
          <w:rFonts w:ascii="Century Gothic" w:hAnsi="Century Gothic"/>
          <w:sz w:val="18"/>
          <w:szCs w:val="18"/>
        </w:rPr>
        <w:tab/>
      </w:r>
      <w:r w:rsidRPr="002B7B46">
        <w:rPr>
          <w:rFonts w:ascii="Century Gothic" w:hAnsi="Century Gothic"/>
        </w:rPr>
        <w:tab/>
      </w:r>
      <w:r w:rsidRPr="002B7B46">
        <w:rPr>
          <w:rFonts w:ascii="Century Gothic" w:hAnsi="Century Gothic"/>
        </w:rPr>
        <w:tab/>
      </w:r>
      <w:r w:rsidRPr="002B7B46">
        <w:rPr>
          <w:rFonts w:ascii="Century Gothic" w:hAnsi="Century Gothic"/>
        </w:rPr>
        <w:tab/>
      </w:r>
      <w:r w:rsidRPr="002B7B46">
        <w:rPr>
          <w:rFonts w:ascii="Century Gothic" w:hAnsi="Century Gothic"/>
        </w:rPr>
        <w:tab/>
      </w:r>
      <w:r w:rsidRPr="002B7B46">
        <w:rPr>
          <w:rFonts w:ascii="Century Gothic" w:hAnsi="Century Gothic"/>
        </w:rPr>
        <w:tab/>
      </w:r>
      <w:r w:rsidRPr="002B7B46">
        <w:rPr>
          <w:rFonts w:ascii="Century Gothic" w:hAnsi="Century Gothic"/>
        </w:rPr>
        <w:tab/>
        <w:t>Month/year:</w:t>
      </w:r>
    </w:p>
    <w:tbl>
      <w:tblPr>
        <w:tblW w:w="5000" w:type="pct"/>
        <w:tblLook w:val="04A0" w:firstRow="1" w:lastRow="0" w:firstColumn="1" w:lastColumn="0" w:noHBand="0" w:noVBand="1"/>
      </w:tblPr>
      <w:tblGrid>
        <w:gridCol w:w="752"/>
        <w:gridCol w:w="1114"/>
        <w:gridCol w:w="1024"/>
        <w:gridCol w:w="1186"/>
        <w:gridCol w:w="1295"/>
        <w:gridCol w:w="1295"/>
        <w:gridCol w:w="1295"/>
        <w:gridCol w:w="1186"/>
        <w:gridCol w:w="1293"/>
      </w:tblGrid>
      <w:tr w:rsidR="002B7B46" w:rsidRPr="002B7B46" w:rsidTr="002B7B46">
        <w:tc>
          <w:tcPr>
            <w:tcW w:w="365" w:type="pct"/>
            <w:tcBorders>
              <w:top w:val="nil"/>
              <w:left w:val="nil"/>
              <w:bottom w:val="single" w:sz="6" w:space="0" w:color="auto"/>
              <w:right w:val="nil"/>
            </w:tcBorders>
          </w:tcPr>
          <w:p w:rsidR="002B7B46" w:rsidRPr="002B7B46" w:rsidRDefault="002B7B46" w:rsidP="002B7B46">
            <w:pPr>
              <w:jc w:val="center"/>
              <w:rPr>
                <w:rFonts w:ascii="Century Gothic" w:hAnsi="Century Gothic"/>
                <w:sz w:val="18"/>
              </w:rPr>
            </w:pPr>
          </w:p>
        </w:tc>
        <w:tc>
          <w:tcPr>
            <w:tcW w:w="495" w:type="pct"/>
            <w:tcBorders>
              <w:top w:val="nil"/>
              <w:left w:val="nil"/>
              <w:bottom w:val="single" w:sz="6" w:space="0" w:color="auto"/>
              <w:right w:val="nil"/>
            </w:tcBorders>
          </w:tcPr>
          <w:p w:rsidR="002B7B46" w:rsidRPr="002B7B46" w:rsidRDefault="002B7B46" w:rsidP="002B7B46">
            <w:pPr>
              <w:rPr>
                <w:rFonts w:ascii="Century Gothic" w:hAnsi="Century Gothic"/>
                <w:sz w:val="18"/>
              </w:rPr>
            </w:pPr>
          </w:p>
        </w:tc>
        <w:tc>
          <w:tcPr>
            <w:tcW w:w="495" w:type="pct"/>
            <w:tcBorders>
              <w:top w:val="nil"/>
              <w:left w:val="nil"/>
              <w:bottom w:val="single" w:sz="6" w:space="0" w:color="auto"/>
              <w:right w:val="nil"/>
            </w:tcBorders>
          </w:tcPr>
          <w:p w:rsidR="002B7B46" w:rsidRPr="002B7B46" w:rsidRDefault="002B7B46" w:rsidP="002B7B46">
            <w:pPr>
              <w:rPr>
                <w:rFonts w:ascii="Century Gothic" w:hAnsi="Century Gothic"/>
                <w:sz w:val="18"/>
              </w:rPr>
            </w:pPr>
          </w:p>
        </w:tc>
        <w:tc>
          <w:tcPr>
            <w:tcW w:w="573" w:type="pct"/>
            <w:tcBorders>
              <w:top w:val="single" w:sz="6" w:space="0" w:color="auto"/>
              <w:left w:val="single" w:sz="6" w:space="0" w:color="auto"/>
              <w:bottom w:val="single" w:sz="6" w:space="0" w:color="auto"/>
              <w:right w:val="single" w:sz="6" w:space="0" w:color="auto"/>
            </w:tcBorders>
            <w:hideMark/>
          </w:tcPr>
          <w:p w:rsidR="002B7B46" w:rsidRPr="002B7B46" w:rsidRDefault="002B7B46" w:rsidP="002B7B46">
            <w:pPr>
              <w:jc w:val="center"/>
              <w:rPr>
                <w:rFonts w:ascii="Century Gothic" w:hAnsi="Century Gothic"/>
                <w:sz w:val="18"/>
              </w:rPr>
            </w:pPr>
            <w:r w:rsidRPr="002B7B46">
              <w:rPr>
                <w:rFonts w:ascii="Century Gothic" w:hAnsi="Century Gothic"/>
                <w:sz w:val="18"/>
              </w:rPr>
              <w:t>A</w:t>
            </w:r>
          </w:p>
        </w:tc>
        <w:tc>
          <w:tcPr>
            <w:tcW w:w="625" w:type="pct"/>
            <w:tcBorders>
              <w:top w:val="single" w:sz="6" w:space="0" w:color="auto"/>
              <w:left w:val="single" w:sz="6" w:space="0" w:color="auto"/>
              <w:bottom w:val="single" w:sz="6" w:space="0" w:color="auto"/>
              <w:right w:val="single" w:sz="6" w:space="0" w:color="auto"/>
            </w:tcBorders>
            <w:hideMark/>
          </w:tcPr>
          <w:p w:rsidR="002B7B46" w:rsidRPr="002B7B46" w:rsidRDefault="002B7B46" w:rsidP="002B7B46">
            <w:pPr>
              <w:jc w:val="center"/>
              <w:rPr>
                <w:rFonts w:ascii="Century Gothic" w:hAnsi="Century Gothic"/>
                <w:sz w:val="18"/>
              </w:rPr>
            </w:pPr>
            <w:r w:rsidRPr="002B7B46">
              <w:rPr>
                <w:rFonts w:ascii="Century Gothic" w:hAnsi="Century Gothic"/>
                <w:sz w:val="18"/>
              </w:rPr>
              <w:t>B</w:t>
            </w:r>
          </w:p>
        </w:tc>
        <w:tc>
          <w:tcPr>
            <w:tcW w:w="625" w:type="pct"/>
            <w:tcBorders>
              <w:top w:val="single" w:sz="6" w:space="0" w:color="auto"/>
              <w:left w:val="single" w:sz="6" w:space="0" w:color="auto"/>
              <w:bottom w:val="single" w:sz="6" w:space="0" w:color="auto"/>
              <w:right w:val="single" w:sz="6" w:space="0" w:color="auto"/>
            </w:tcBorders>
            <w:hideMark/>
          </w:tcPr>
          <w:p w:rsidR="002B7B46" w:rsidRPr="002B7B46" w:rsidRDefault="002B7B46" w:rsidP="002B7B46">
            <w:pPr>
              <w:jc w:val="center"/>
              <w:rPr>
                <w:rFonts w:ascii="Century Gothic" w:hAnsi="Century Gothic"/>
                <w:sz w:val="18"/>
              </w:rPr>
            </w:pPr>
            <w:r w:rsidRPr="002B7B46">
              <w:rPr>
                <w:rFonts w:ascii="Century Gothic" w:hAnsi="Century Gothic"/>
                <w:sz w:val="18"/>
              </w:rPr>
              <w:t>C</w:t>
            </w:r>
          </w:p>
        </w:tc>
        <w:tc>
          <w:tcPr>
            <w:tcW w:w="625" w:type="pct"/>
            <w:tcBorders>
              <w:top w:val="single" w:sz="6" w:space="0" w:color="auto"/>
              <w:left w:val="single" w:sz="6" w:space="0" w:color="auto"/>
              <w:bottom w:val="single" w:sz="6" w:space="0" w:color="auto"/>
              <w:right w:val="single" w:sz="6" w:space="0" w:color="auto"/>
            </w:tcBorders>
            <w:hideMark/>
          </w:tcPr>
          <w:p w:rsidR="002B7B46" w:rsidRPr="002B7B46" w:rsidRDefault="002B7B46" w:rsidP="002B7B46">
            <w:pPr>
              <w:jc w:val="center"/>
              <w:rPr>
                <w:rFonts w:ascii="Century Gothic" w:hAnsi="Century Gothic"/>
                <w:sz w:val="18"/>
              </w:rPr>
            </w:pPr>
            <w:r w:rsidRPr="002B7B46">
              <w:rPr>
                <w:rFonts w:ascii="Century Gothic" w:hAnsi="Century Gothic"/>
                <w:sz w:val="18"/>
              </w:rPr>
              <w:t>D = B x C/100</w:t>
            </w:r>
          </w:p>
        </w:tc>
        <w:tc>
          <w:tcPr>
            <w:tcW w:w="573" w:type="pct"/>
            <w:tcBorders>
              <w:top w:val="single" w:sz="6" w:space="0" w:color="auto"/>
              <w:left w:val="single" w:sz="6" w:space="0" w:color="auto"/>
              <w:bottom w:val="single" w:sz="6" w:space="0" w:color="auto"/>
              <w:right w:val="single" w:sz="6" w:space="0" w:color="auto"/>
            </w:tcBorders>
            <w:hideMark/>
          </w:tcPr>
          <w:p w:rsidR="002B7B46" w:rsidRPr="002B7B46" w:rsidRDefault="002B7B46" w:rsidP="002B7B46">
            <w:pPr>
              <w:jc w:val="center"/>
              <w:rPr>
                <w:rFonts w:ascii="Century Gothic" w:hAnsi="Century Gothic"/>
                <w:sz w:val="18"/>
              </w:rPr>
            </w:pPr>
            <w:r w:rsidRPr="002B7B46">
              <w:rPr>
                <w:rFonts w:ascii="Century Gothic" w:hAnsi="Century Gothic"/>
                <w:sz w:val="18"/>
              </w:rPr>
              <w:t>E=AxD</w:t>
            </w:r>
          </w:p>
        </w:tc>
        <w:tc>
          <w:tcPr>
            <w:tcW w:w="625" w:type="pct"/>
            <w:tcBorders>
              <w:top w:val="single" w:sz="6" w:space="0" w:color="auto"/>
              <w:left w:val="single" w:sz="6" w:space="0" w:color="auto"/>
              <w:bottom w:val="single" w:sz="6" w:space="0" w:color="auto"/>
              <w:right w:val="single" w:sz="6" w:space="0" w:color="auto"/>
            </w:tcBorders>
            <w:hideMark/>
          </w:tcPr>
          <w:p w:rsidR="002B7B46" w:rsidRPr="002B7B46" w:rsidRDefault="002B7B46" w:rsidP="002B7B46">
            <w:pPr>
              <w:jc w:val="center"/>
              <w:rPr>
                <w:rFonts w:ascii="Century Gothic" w:hAnsi="Century Gothic"/>
                <w:sz w:val="18"/>
              </w:rPr>
            </w:pPr>
            <w:r w:rsidRPr="002B7B46">
              <w:rPr>
                <w:rFonts w:ascii="Century Gothic" w:hAnsi="Century Gothic"/>
                <w:sz w:val="18"/>
              </w:rPr>
              <w:t>F=See note</w:t>
            </w:r>
          </w:p>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Date</w:t>
            </w:r>
          </w:p>
        </w:tc>
        <w:tc>
          <w:tcPr>
            <w:tcW w:w="495"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Hours of Operation</w:t>
            </w:r>
          </w:p>
        </w:tc>
        <w:tc>
          <w:tcPr>
            <w:tcW w:w="495"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Coating ID</w:t>
            </w:r>
          </w:p>
        </w:tc>
        <w:tc>
          <w:tcPr>
            <w:tcW w:w="573"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Gallons used (with water)</w:t>
            </w:r>
          </w:p>
        </w:tc>
        <w:tc>
          <w:tcPr>
            <w:tcW w:w="625"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Coating density,</w:t>
            </w:r>
          </w:p>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lbs per gallon (with water)</w:t>
            </w:r>
          </w:p>
        </w:tc>
        <w:tc>
          <w:tcPr>
            <w:tcW w:w="625"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Percent VOC,</w:t>
            </w:r>
          </w:p>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lbs VOC per 100 lbs coating (with water)</w:t>
            </w:r>
          </w:p>
        </w:tc>
        <w:tc>
          <w:tcPr>
            <w:tcW w:w="625"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Lbs VOC per gallon (with water)</w:t>
            </w:r>
          </w:p>
        </w:tc>
        <w:tc>
          <w:tcPr>
            <w:tcW w:w="573"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Lbs of VOC</w:t>
            </w:r>
          </w:p>
        </w:tc>
        <w:tc>
          <w:tcPr>
            <w:tcW w:w="625" w:type="pct"/>
            <w:tcBorders>
              <w:top w:val="single" w:sz="6" w:space="0" w:color="auto"/>
              <w:left w:val="single" w:sz="6" w:space="0" w:color="auto"/>
              <w:bottom w:val="single" w:sz="6" w:space="0" w:color="auto"/>
              <w:right w:val="single" w:sz="6" w:space="0" w:color="auto"/>
            </w:tcBorders>
            <w:hideMark/>
          </w:tcPr>
          <w:p w:rsidR="002B7B46" w:rsidRPr="003C230B" w:rsidRDefault="002B7B46" w:rsidP="002B7B46">
            <w:pPr>
              <w:jc w:val="center"/>
              <w:rPr>
                <w:rFonts w:ascii="Century Gothic" w:hAnsi="Century Gothic"/>
                <w:sz w:val="18"/>
                <w:szCs w:val="18"/>
              </w:rPr>
            </w:pPr>
            <w:r w:rsidRPr="003C230B">
              <w:rPr>
                <w:rFonts w:ascii="Century Gothic" w:hAnsi="Century Gothic"/>
                <w:sz w:val="18"/>
                <w:szCs w:val="18"/>
              </w:rPr>
              <w:t>Lbs VOC per gallon (minus water)</w:t>
            </w:r>
          </w:p>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6" w:space="0" w:color="auto"/>
              <w:right w:val="single" w:sz="6" w:space="0" w:color="auto"/>
            </w:tcBorders>
          </w:tcPr>
          <w:p w:rsidR="002B7B46" w:rsidRPr="002B7B46" w:rsidRDefault="002B7B46" w:rsidP="002B7B46"/>
        </w:tc>
      </w:tr>
      <w:tr w:rsidR="002B7B46" w:rsidRPr="002B7B46" w:rsidTr="002B7B46">
        <w:tc>
          <w:tcPr>
            <w:tcW w:w="365" w:type="pct"/>
            <w:tcBorders>
              <w:top w:val="single" w:sz="6" w:space="0" w:color="auto"/>
              <w:left w:val="single" w:sz="12" w:space="0" w:color="auto"/>
              <w:bottom w:val="single" w:sz="12"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495"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573"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c>
          <w:tcPr>
            <w:tcW w:w="625" w:type="pct"/>
            <w:tcBorders>
              <w:top w:val="single" w:sz="6" w:space="0" w:color="auto"/>
              <w:left w:val="single" w:sz="6" w:space="0" w:color="auto"/>
              <w:bottom w:val="single" w:sz="12" w:space="0" w:color="auto"/>
              <w:right w:val="single" w:sz="6" w:space="0" w:color="auto"/>
            </w:tcBorders>
          </w:tcPr>
          <w:p w:rsidR="002B7B46" w:rsidRPr="002B7B46" w:rsidRDefault="002B7B46" w:rsidP="002B7B46"/>
        </w:tc>
      </w:tr>
    </w:tbl>
    <w:p w:rsidR="002B7B46" w:rsidRPr="002B7B46" w:rsidRDefault="002B7B46" w:rsidP="002B7B46">
      <w:pPr>
        <w:spacing w:line="80" w:lineRule="exact"/>
        <w:rPr>
          <w:sz w:val="24"/>
        </w:rPr>
      </w:pPr>
    </w:p>
    <w:p w:rsidR="002B7B46" w:rsidRPr="002B7B46" w:rsidRDefault="002B7B46" w:rsidP="002B7B46">
      <w:pPr>
        <w:spacing w:line="80" w:lineRule="exact"/>
      </w:pPr>
    </w:p>
    <w:tbl>
      <w:tblPr>
        <w:tblW w:w="5000" w:type="pct"/>
        <w:tblLook w:val="04A0" w:firstRow="1" w:lastRow="0" w:firstColumn="1" w:lastColumn="0" w:noHBand="0" w:noVBand="1"/>
      </w:tblPr>
      <w:tblGrid>
        <w:gridCol w:w="8680"/>
        <w:gridCol w:w="414"/>
        <w:gridCol w:w="1346"/>
      </w:tblGrid>
      <w:tr w:rsidR="002B7B46" w:rsidRPr="002B7B46" w:rsidTr="002B7B46">
        <w:tc>
          <w:tcPr>
            <w:tcW w:w="4167" w:type="pct"/>
            <w:hideMark/>
          </w:tcPr>
          <w:p w:rsidR="002B7B46" w:rsidRPr="002B7B46" w:rsidRDefault="002B7B46" w:rsidP="002B7B46">
            <w:pPr>
              <w:rPr>
                <w:rFonts w:ascii="Century Gothic" w:hAnsi="Century Gothic"/>
              </w:rPr>
            </w:pPr>
            <w:r w:rsidRPr="002B7B46">
              <w:rPr>
                <w:rFonts w:ascii="Century Gothic" w:hAnsi="Century Gothic"/>
              </w:rPr>
              <w:t xml:space="preserve">Total pounds emitted this month = G =Sum of all E’s         </w:t>
            </w:r>
          </w:p>
        </w:tc>
        <w:tc>
          <w:tcPr>
            <w:tcW w:w="179" w:type="pct"/>
            <w:tcBorders>
              <w:top w:val="single" w:sz="12" w:space="0" w:color="auto"/>
              <w:left w:val="single" w:sz="12" w:space="0" w:color="auto"/>
              <w:bottom w:val="single" w:sz="12" w:space="0" w:color="auto"/>
              <w:right w:val="single" w:sz="6"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G</w:t>
            </w:r>
          </w:p>
        </w:tc>
        <w:tc>
          <w:tcPr>
            <w:tcW w:w="655" w:type="pct"/>
            <w:tcBorders>
              <w:top w:val="single" w:sz="12" w:space="0" w:color="auto"/>
              <w:left w:val="single" w:sz="6" w:space="0" w:color="auto"/>
              <w:bottom w:val="single" w:sz="12" w:space="0" w:color="auto"/>
              <w:right w:val="single" w:sz="12" w:space="0" w:color="auto"/>
            </w:tcBorders>
          </w:tcPr>
          <w:p w:rsidR="002B7B46" w:rsidRPr="002B7B46" w:rsidRDefault="002B7B46" w:rsidP="002B7B46">
            <w:pPr>
              <w:rPr>
                <w:rFonts w:ascii="Century Gothic" w:hAnsi="Century Gothic"/>
              </w:rPr>
            </w:pPr>
          </w:p>
        </w:tc>
      </w:tr>
      <w:tr w:rsidR="002B7B46" w:rsidRPr="002B7B46" w:rsidTr="002B7B46">
        <w:trPr>
          <w:trHeight w:hRule="exact" w:val="80"/>
        </w:trPr>
        <w:tc>
          <w:tcPr>
            <w:tcW w:w="4167" w:type="pct"/>
          </w:tcPr>
          <w:p w:rsidR="002B7B46" w:rsidRPr="002B7B46" w:rsidRDefault="002B7B46" w:rsidP="002B7B46">
            <w:pPr>
              <w:rPr>
                <w:rFonts w:ascii="Century Gothic" w:hAnsi="Century Gothic"/>
              </w:rPr>
            </w:pPr>
          </w:p>
        </w:tc>
        <w:tc>
          <w:tcPr>
            <w:tcW w:w="179" w:type="pct"/>
          </w:tcPr>
          <w:p w:rsidR="002B7B46" w:rsidRPr="002B7B46" w:rsidRDefault="002B7B46" w:rsidP="002B7B46">
            <w:pPr>
              <w:jc w:val="center"/>
              <w:rPr>
                <w:rFonts w:ascii="Century Gothic" w:hAnsi="Century Gothic"/>
                <w:b/>
              </w:rPr>
            </w:pPr>
          </w:p>
        </w:tc>
        <w:tc>
          <w:tcPr>
            <w:tcW w:w="655" w:type="pct"/>
          </w:tcPr>
          <w:p w:rsidR="002B7B46" w:rsidRPr="002B7B46" w:rsidRDefault="002B7B46" w:rsidP="002B7B46">
            <w:pPr>
              <w:rPr>
                <w:rFonts w:ascii="Century Gothic" w:hAnsi="Century Gothic"/>
              </w:rPr>
            </w:pPr>
          </w:p>
        </w:tc>
      </w:tr>
      <w:tr w:rsidR="002B7B46" w:rsidRPr="002B7B46" w:rsidTr="002B7B46">
        <w:tc>
          <w:tcPr>
            <w:tcW w:w="4167" w:type="pct"/>
            <w:hideMark/>
          </w:tcPr>
          <w:p w:rsidR="002B7B46" w:rsidRPr="002B7B46" w:rsidRDefault="002B7B46" w:rsidP="002B7B46">
            <w:pPr>
              <w:rPr>
                <w:rFonts w:ascii="Century Gothic" w:hAnsi="Century Gothic"/>
              </w:rPr>
            </w:pPr>
            <w:r w:rsidRPr="002B7B46">
              <w:rPr>
                <w:rFonts w:ascii="Century Gothic" w:hAnsi="Century Gothic"/>
              </w:rPr>
              <w:t xml:space="preserve">Average hourly emissions in pound per hour = H = G / total hours         </w:t>
            </w:r>
          </w:p>
        </w:tc>
        <w:tc>
          <w:tcPr>
            <w:tcW w:w="179" w:type="pct"/>
            <w:tcBorders>
              <w:top w:val="single" w:sz="12" w:space="0" w:color="auto"/>
              <w:left w:val="single" w:sz="12" w:space="0" w:color="auto"/>
              <w:bottom w:val="single" w:sz="12" w:space="0" w:color="auto"/>
              <w:right w:val="single" w:sz="6"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H</w:t>
            </w:r>
          </w:p>
        </w:tc>
        <w:tc>
          <w:tcPr>
            <w:tcW w:w="655" w:type="pct"/>
            <w:tcBorders>
              <w:top w:val="single" w:sz="12" w:space="0" w:color="auto"/>
              <w:left w:val="single" w:sz="6" w:space="0" w:color="auto"/>
              <w:bottom w:val="single" w:sz="12" w:space="0" w:color="auto"/>
              <w:right w:val="single" w:sz="12" w:space="0" w:color="auto"/>
            </w:tcBorders>
          </w:tcPr>
          <w:p w:rsidR="002B7B46" w:rsidRPr="002B7B46" w:rsidRDefault="002B7B46" w:rsidP="002B7B46">
            <w:pPr>
              <w:rPr>
                <w:rFonts w:ascii="Century Gothic" w:hAnsi="Century Gothic"/>
              </w:rPr>
            </w:pPr>
          </w:p>
        </w:tc>
      </w:tr>
      <w:tr w:rsidR="002B7B46" w:rsidRPr="002B7B46" w:rsidTr="002B7B46">
        <w:trPr>
          <w:trHeight w:hRule="exact" w:val="80"/>
        </w:trPr>
        <w:tc>
          <w:tcPr>
            <w:tcW w:w="4167" w:type="pct"/>
          </w:tcPr>
          <w:p w:rsidR="002B7B46" w:rsidRPr="002B7B46" w:rsidRDefault="002B7B46" w:rsidP="002B7B46">
            <w:pPr>
              <w:rPr>
                <w:rFonts w:ascii="Century Gothic" w:hAnsi="Century Gothic"/>
              </w:rPr>
            </w:pPr>
          </w:p>
        </w:tc>
        <w:tc>
          <w:tcPr>
            <w:tcW w:w="179" w:type="pct"/>
          </w:tcPr>
          <w:p w:rsidR="002B7B46" w:rsidRPr="002B7B46" w:rsidRDefault="002B7B46" w:rsidP="002B7B46">
            <w:pPr>
              <w:jc w:val="center"/>
              <w:rPr>
                <w:rFonts w:ascii="Century Gothic" w:hAnsi="Century Gothic"/>
                <w:b/>
              </w:rPr>
            </w:pPr>
          </w:p>
        </w:tc>
        <w:tc>
          <w:tcPr>
            <w:tcW w:w="655" w:type="pct"/>
          </w:tcPr>
          <w:p w:rsidR="002B7B46" w:rsidRPr="002B7B46" w:rsidRDefault="002B7B46" w:rsidP="002B7B46">
            <w:pPr>
              <w:rPr>
                <w:rFonts w:ascii="Century Gothic" w:hAnsi="Century Gothic"/>
              </w:rPr>
            </w:pPr>
          </w:p>
        </w:tc>
      </w:tr>
      <w:tr w:rsidR="002B7B46" w:rsidRPr="002B7B46" w:rsidTr="002B7B46">
        <w:tc>
          <w:tcPr>
            <w:tcW w:w="4167" w:type="pct"/>
            <w:hideMark/>
          </w:tcPr>
          <w:p w:rsidR="002B7B46" w:rsidRPr="002B7B46" w:rsidRDefault="002B7B46" w:rsidP="002B7B46">
            <w:pPr>
              <w:rPr>
                <w:rFonts w:ascii="Century Gothic" w:hAnsi="Century Gothic"/>
              </w:rPr>
            </w:pPr>
            <w:r w:rsidRPr="002B7B46">
              <w:rPr>
                <w:rFonts w:ascii="Century Gothic" w:hAnsi="Century Gothic"/>
              </w:rPr>
              <w:t xml:space="preserve">Total tons VOC’s emitted this month = J = G/2000        </w:t>
            </w:r>
          </w:p>
        </w:tc>
        <w:tc>
          <w:tcPr>
            <w:tcW w:w="179" w:type="pct"/>
            <w:tcBorders>
              <w:top w:val="single" w:sz="12" w:space="0" w:color="auto"/>
              <w:left w:val="single" w:sz="12" w:space="0" w:color="auto"/>
              <w:bottom w:val="single" w:sz="12" w:space="0" w:color="auto"/>
              <w:right w:val="single" w:sz="6"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J</w:t>
            </w:r>
          </w:p>
        </w:tc>
        <w:tc>
          <w:tcPr>
            <w:tcW w:w="655" w:type="pct"/>
            <w:tcBorders>
              <w:top w:val="single" w:sz="12" w:space="0" w:color="auto"/>
              <w:left w:val="single" w:sz="6" w:space="0" w:color="auto"/>
              <w:bottom w:val="single" w:sz="12" w:space="0" w:color="auto"/>
              <w:right w:val="single" w:sz="12" w:space="0" w:color="auto"/>
            </w:tcBorders>
          </w:tcPr>
          <w:p w:rsidR="002B7B46" w:rsidRPr="002B7B46" w:rsidRDefault="002B7B46" w:rsidP="002B7B46">
            <w:pPr>
              <w:rPr>
                <w:rFonts w:ascii="Century Gothic" w:hAnsi="Century Gothic"/>
              </w:rPr>
            </w:pPr>
          </w:p>
        </w:tc>
      </w:tr>
      <w:tr w:rsidR="002B7B46" w:rsidRPr="002B7B46" w:rsidTr="002B7B46">
        <w:trPr>
          <w:trHeight w:hRule="exact" w:val="80"/>
        </w:trPr>
        <w:tc>
          <w:tcPr>
            <w:tcW w:w="4167" w:type="pct"/>
          </w:tcPr>
          <w:p w:rsidR="002B7B46" w:rsidRPr="002B7B46" w:rsidRDefault="002B7B46" w:rsidP="002B7B46">
            <w:pPr>
              <w:rPr>
                <w:rFonts w:ascii="Century Gothic" w:hAnsi="Century Gothic"/>
              </w:rPr>
            </w:pPr>
          </w:p>
        </w:tc>
        <w:tc>
          <w:tcPr>
            <w:tcW w:w="179" w:type="pct"/>
            <w:hideMark/>
          </w:tcPr>
          <w:p w:rsidR="002B7B46" w:rsidRPr="002B7B46" w:rsidRDefault="002B7B46" w:rsidP="002B7B46">
            <w:pPr>
              <w:jc w:val="center"/>
              <w:rPr>
                <w:rFonts w:ascii="Century Gothic" w:hAnsi="Century Gothic"/>
                <w:b/>
              </w:rPr>
            </w:pPr>
            <w:r w:rsidRPr="002B7B46">
              <w:rPr>
                <w:rFonts w:ascii="Century Gothic" w:hAnsi="Century Gothic"/>
                <w:b/>
              </w:rPr>
              <w:t>J</w:t>
            </w:r>
          </w:p>
        </w:tc>
        <w:tc>
          <w:tcPr>
            <w:tcW w:w="655" w:type="pct"/>
          </w:tcPr>
          <w:p w:rsidR="002B7B46" w:rsidRPr="002B7B46" w:rsidRDefault="002B7B46" w:rsidP="002B7B46">
            <w:pPr>
              <w:rPr>
                <w:rFonts w:ascii="Century Gothic" w:hAnsi="Century Gothic"/>
              </w:rPr>
            </w:pPr>
          </w:p>
        </w:tc>
      </w:tr>
      <w:tr w:rsidR="002B7B46" w:rsidRPr="002B7B46" w:rsidTr="002B7B46">
        <w:tc>
          <w:tcPr>
            <w:tcW w:w="4167" w:type="pct"/>
            <w:hideMark/>
          </w:tcPr>
          <w:p w:rsidR="002B7B46" w:rsidRPr="002B7B46" w:rsidRDefault="002B7B46" w:rsidP="002B7B46">
            <w:pPr>
              <w:rPr>
                <w:rFonts w:ascii="Century Gothic" w:hAnsi="Century Gothic"/>
              </w:rPr>
            </w:pPr>
            <w:r w:rsidRPr="002B7B46">
              <w:rPr>
                <w:rFonts w:ascii="Century Gothic" w:hAnsi="Century Gothic"/>
              </w:rPr>
              <w:t xml:space="preserve">Total tons emitted 11 previous months = K           </w:t>
            </w:r>
          </w:p>
        </w:tc>
        <w:tc>
          <w:tcPr>
            <w:tcW w:w="179" w:type="pct"/>
            <w:tcBorders>
              <w:top w:val="single" w:sz="12" w:space="0" w:color="auto"/>
              <w:left w:val="single" w:sz="12" w:space="0" w:color="auto"/>
              <w:bottom w:val="single" w:sz="12" w:space="0" w:color="auto"/>
              <w:right w:val="single" w:sz="6"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K</w:t>
            </w:r>
          </w:p>
        </w:tc>
        <w:tc>
          <w:tcPr>
            <w:tcW w:w="655" w:type="pct"/>
            <w:tcBorders>
              <w:top w:val="single" w:sz="12" w:space="0" w:color="auto"/>
              <w:left w:val="single" w:sz="6" w:space="0" w:color="auto"/>
              <w:bottom w:val="single" w:sz="12" w:space="0" w:color="auto"/>
              <w:right w:val="single" w:sz="12" w:space="0" w:color="auto"/>
            </w:tcBorders>
          </w:tcPr>
          <w:p w:rsidR="002B7B46" w:rsidRPr="002B7B46" w:rsidRDefault="002B7B46" w:rsidP="002B7B46">
            <w:pPr>
              <w:rPr>
                <w:rFonts w:ascii="Century Gothic" w:hAnsi="Century Gothic"/>
              </w:rPr>
            </w:pPr>
          </w:p>
        </w:tc>
      </w:tr>
      <w:tr w:rsidR="002B7B46" w:rsidRPr="002B7B46" w:rsidTr="002B7B46">
        <w:trPr>
          <w:trHeight w:hRule="exact" w:val="80"/>
        </w:trPr>
        <w:tc>
          <w:tcPr>
            <w:tcW w:w="4167" w:type="pct"/>
          </w:tcPr>
          <w:p w:rsidR="002B7B46" w:rsidRPr="002B7B46" w:rsidRDefault="002B7B46" w:rsidP="002B7B46">
            <w:pPr>
              <w:rPr>
                <w:rFonts w:ascii="Century Gothic" w:hAnsi="Century Gothic"/>
              </w:rPr>
            </w:pPr>
          </w:p>
        </w:tc>
        <w:tc>
          <w:tcPr>
            <w:tcW w:w="179" w:type="pct"/>
          </w:tcPr>
          <w:p w:rsidR="002B7B46" w:rsidRPr="002B7B46" w:rsidRDefault="002B7B46" w:rsidP="002B7B46">
            <w:pPr>
              <w:jc w:val="center"/>
              <w:rPr>
                <w:rFonts w:ascii="Century Gothic" w:hAnsi="Century Gothic"/>
                <w:b/>
              </w:rPr>
            </w:pPr>
          </w:p>
        </w:tc>
        <w:tc>
          <w:tcPr>
            <w:tcW w:w="655" w:type="pct"/>
          </w:tcPr>
          <w:p w:rsidR="002B7B46" w:rsidRPr="002B7B46" w:rsidRDefault="002B7B46" w:rsidP="002B7B46">
            <w:pPr>
              <w:rPr>
                <w:rFonts w:ascii="Century Gothic" w:hAnsi="Century Gothic"/>
              </w:rPr>
            </w:pPr>
          </w:p>
        </w:tc>
      </w:tr>
      <w:tr w:rsidR="002B7B46" w:rsidRPr="002B7B46" w:rsidTr="002B7B46">
        <w:tc>
          <w:tcPr>
            <w:tcW w:w="4167" w:type="pct"/>
            <w:hideMark/>
          </w:tcPr>
          <w:p w:rsidR="002B7B46" w:rsidRPr="002B7B46" w:rsidRDefault="002B7B46" w:rsidP="002B7B46">
            <w:pPr>
              <w:rPr>
                <w:rFonts w:ascii="Century Gothic" w:hAnsi="Century Gothic"/>
              </w:rPr>
            </w:pPr>
            <w:r w:rsidRPr="002B7B46">
              <w:rPr>
                <w:rFonts w:ascii="Century Gothic" w:hAnsi="Century Gothic"/>
              </w:rPr>
              <w:t>Total tons emitted 12-month rolling period = L = J+K</w:t>
            </w:r>
          </w:p>
        </w:tc>
        <w:tc>
          <w:tcPr>
            <w:tcW w:w="179" w:type="pct"/>
            <w:tcBorders>
              <w:top w:val="single" w:sz="12" w:space="0" w:color="auto"/>
              <w:left w:val="single" w:sz="12" w:space="0" w:color="auto"/>
              <w:bottom w:val="nil"/>
              <w:right w:val="single" w:sz="6"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L</w:t>
            </w:r>
          </w:p>
        </w:tc>
        <w:tc>
          <w:tcPr>
            <w:tcW w:w="655" w:type="pct"/>
            <w:tcBorders>
              <w:top w:val="single" w:sz="12" w:space="0" w:color="auto"/>
              <w:left w:val="single" w:sz="6" w:space="0" w:color="auto"/>
              <w:bottom w:val="nil"/>
              <w:right w:val="single" w:sz="12" w:space="0" w:color="auto"/>
            </w:tcBorders>
          </w:tcPr>
          <w:p w:rsidR="002B7B46" w:rsidRPr="002B7B46" w:rsidRDefault="002B7B46" w:rsidP="002B7B46">
            <w:pPr>
              <w:rPr>
                <w:rFonts w:ascii="Century Gothic" w:hAnsi="Century Gothic"/>
              </w:rPr>
            </w:pPr>
          </w:p>
        </w:tc>
      </w:tr>
      <w:tr w:rsidR="002B7B46" w:rsidRPr="002B7B46" w:rsidTr="002B7B46">
        <w:trPr>
          <w:trHeight w:hRule="exact" w:val="80"/>
        </w:trPr>
        <w:tc>
          <w:tcPr>
            <w:tcW w:w="4167" w:type="pct"/>
          </w:tcPr>
          <w:p w:rsidR="002B7B46" w:rsidRPr="002B7B46" w:rsidRDefault="002B7B46" w:rsidP="002B7B46">
            <w:pPr>
              <w:rPr>
                <w:rFonts w:ascii="Century Gothic" w:hAnsi="Century Gothic"/>
              </w:rPr>
            </w:pPr>
          </w:p>
        </w:tc>
        <w:tc>
          <w:tcPr>
            <w:tcW w:w="179" w:type="pct"/>
            <w:tcBorders>
              <w:top w:val="single" w:sz="6" w:space="0" w:color="auto"/>
              <w:left w:val="nil"/>
              <w:bottom w:val="single" w:sz="12" w:space="0" w:color="auto"/>
              <w:right w:val="nil"/>
            </w:tcBorders>
          </w:tcPr>
          <w:p w:rsidR="002B7B46" w:rsidRPr="002B7B46" w:rsidRDefault="002B7B46" w:rsidP="002B7B46">
            <w:pPr>
              <w:jc w:val="center"/>
              <w:rPr>
                <w:rFonts w:ascii="Century Gothic" w:hAnsi="Century Gothic"/>
                <w:b/>
              </w:rPr>
            </w:pPr>
          </w:p>
        </w:tc>
        <w:tc>
          <w:tcPr>
            <w:tcW w:w="655" w:type="pct"/>
            <w:tcBorders>
              <w:top w:val="single" w:sz="6" w:space="0" w:color="auto"/>
              <w:left w:val="nil"/>
              <w:bottom w:val="single" w:sz="12" w:space="0" w:color="auto"/>
              <w:right w:val="nil"/>
            </w:tcBorders>
          </w:tcPr>
          <w:p w:rsidR="002B7B46" w:rsidRPr="002B7B46" w:rsidRDefault="002B7B46" w:rsidP="002B7B46">
            <w:pPr>
              <w:jc w:val="center"/>
              <w:rPr>
                <w:rFonts w:ascii="Century Gothic" w:hAnsi="Century Gothic"/>
                <w:b/>
              </w:rPr>
            </w:pPr>
          </w:p>
        </w:tc>
      </w:tr>
      <w:tr w:rsidR="002B7B46" w:rsidRPr="002B7B46" w:rsidTr="002B7B46">
        <w:tc>
          <w:tcPr>
            <w:tcW w:w="4167" w:type="pct"/>
            <w:hideMark/>
          </w:tcPr>
          <w:p w:rsidR="002B7B46" w:rsidRPr="002B7B46" w:rsidRDefault="002B7B46" w:rsidP="002B7B46">
            <w:pPr>
              <w:rPr>
                <w:rFonts w:ascii="Century Gothic" w:hAnsi="Century Gothic"/>
              </w:rPr>
            </w:pPr>
            <w:r w:rsidRPr="002B7B46">
              <w:rPr>
                <w:rFonts w:ascii="Century Gothic" w:hAnsi="Century Gothic"/>
              </w:rPr>
              <w:t xml:space="preserve">Limit 12 month rolling period, tons/yr = M </w:t>
            </w:r>
            <w:r w:rsidRPr="002B7B46">
              <w:rPr>
                <w:rFonts w:ascii="Century Gothic" w:hAnsi="Century Gothic"/>
                <w:b/>
              </w:rPr>
              <w:t xml:space="preserve"> L may = M or &lt; M</w:t>
            </w:r>
          </w:p>
        </w:tc>
        <w:tc>
          <w:tcPr>
            <w:tcW w:w="179" w:type="pct"/>
            <w:tcBorders>
              <w:top w:val="single" w:sz="6" w:space="0" w:color="auto"/>
              <w:left w:val="single" w:sz="12" w:space="0" w:color="auto"/>
              <w:bottom w:val="single" w:sz="12" w:space="0" w:color="auto"/>
              <w:right w:val="single" w:sz="6"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M</w:t>
            </w:r>
          </w:p>
        </w:tc>
        <w:tc>
          <w:tcPr>
            <w:tcW w:w="655" w:type="pct"/>
            <w:tcBorders>
              <w:top w:val="single" w:sz="6" w:space="0" w:color="auto"/>
              <w:left w:val="single" w:sz="6" w:space="0" w:color="auto"/>
              <w:bottom w:val="single" w:sz="12" w:space="0" w:color="auto"/>
              <w:right w:val="single" w:sz="12" w:space="0" w:color="auto"/>
            </w:tcBorders>
            <w:hideMark/>
          </w:tcPr>
          <w:p w:rsidR="002B7B46" w:rsidRPr="002B7B46" w:rsidRDefault="002B7B46" w:rsidP="002B7B46">
            <w:pPr>
              <w:jc w:val="center"/>
              <w:rPr>
                <w:rFonts w:ascii="Century Gothic" w:hAnsi="Century Gothic"/>
                <w:b/>
              </w:rPr>
            </w:pPr>
            <w:r w:rsidRPr="002B7B46">
              <w:rPr>
                <w:rFonts w:ascii="Century Gothic" w:hAnsi="Century Gothic"/>
                <w:b/>
              </w:rPr>
              <w:t>34.9</w:t>
            </w:r>
          </w:p>
        </w:tc>
      </w:tr>
    </w:tbl>
    <w:p w:rsidR="002B7B46" w:rsidRPr="002B7B46" w:rsidRDefault="002B7B46" w:rsidP="002B7B46">
      <w:pPr>
        <w:tabs>
          <w:tab w:val="left" w:pos="450"/>
        </w:tabs>
        <w:rPr>
          <w:rFonts w:ascii="Century Gothic" w:hAnsi="Century Gothic"/>
        </w:rPr>
      </w:pPr>
    </w:p>
    <w:p w:rsidR="002B7B46" w:rsidRPr="002B7B46" w:rsidRDefault="002B7B46" w:rsidP="002B7B46">
      <w:pPr>
        <w:tabs>
          <w:tab w:val="left" w:pos="450"/>
        </w:tabs>
        <w:rPr>
          <w:rFonts w:ascii="Century Gothic" w:hAnsi="Century Gothic"/>
        </w:rPr>
      </w:pPr>
      <w:r w:rsidRPr="002B7B46">
        <w:rPr>
          <w:rFonts w:ascii="Century Gothic" w:hAnsi="Century Gothic"/>
        </w:rPr>
        <w:t xml:space="preserve">NOTES:           F = </w:t>
      </w:r>
      <w:r w:rsidR="00E43074">
        <w:rPr>
          <w:rFonts w:ascii="Century Gothic" w:hAnsi="Century Gothic"/>
          <w:position w:val="-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69.6pt" fillcolor="window">
            <v:imagedata r:id="rId8" o:title=""/>
          </v:shape>
        </w:pict>
      </w:r>
      <w:r w:rsidRPr="002B7B46">
        <w:rPr>
          <w:rFonts w:ascii="Century Gothic" w:hAnsi="Century Gothic"/>
        </w:rPr>
        <w:t xml:space="preserve"> </w:t>
      </w:r>
    </w:p>
    <w:p w:rsidR="00A935B0" w:rsidRPr="00B77C68" w:rsidRDefault="00A935B0" w:rsidP="004F09CF">
      <w:pPr>
        <w:jc w:val="both"/>
        <w:rPr>
          <w:sz w:val="20"/>
        </w:rPr>
      </w:pPr>
    </w:p>
    <w:p w:rsidR="00C60E84" w:rsidRPr="00461D22" w:rsidRDefault="00C60E84" w:rsidP="004F09CF">
      <w:pPr>
        <w:pStyle w:val="Heading2"/>
        <w:numPr>
          <w:ilvl w:val="0"/>
          <w:numId w:val="0"/>
        </w:numPr>
        <w:jc w:val="both"/>
        <w:rPr>
          <w:sz w:val="22"/>
          <w:szCs w:val="22"/>
        </w:rPr>
      </w:pPr>
      <w:bookmarkStart w:id="121" w:name="_Toc382035381"/>
      <w:bookmarkStart w:id="122" w:name="_Toc382726630"/>
      <w:bookmarkStart w:id="123" w:name="_Toc382726705"/>
      <w:bookmarkStart w:id="124" w:name="_Toc382726784"/>
      <w:bookmarkStart w:id="125" w:name="_Toc387818190"/>
      <w:bookmarkStart w:id="126" w:name="_Toc390499900"/>
      <w:bookmarkStart w:id="127" w:name="_Toc390500329"/>
      <w:bookmarkStart w:id="128" w:name="_Toc390504382"/>
      <w:bookmarkStart w:id="129" w:name="_Toc390570172"/>
      <w:bookmarkStart w:id="130" w:name="_Toc391182906"/>
      <w:bookmarkStart w:id="131" w:name="_Toc437238970"/>
      <w:bookmarkStart w:id="132" w:name="_Toc451333047"/>
      <w:bookmarkStart w:id="133" w:name="_Toc10726757"/>
      <w:r w:rsidRPr="00461D22">
        <w:rPr>
          <w:sz w:val="22"/>
          <w:szCs w:val="22"/>
        </w:rPr>
        <w:t>Appendix 8.  Reporting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6F1870" w:rsidRPr="00B77C68" w:rsidRDefault="006F1870" w:rsidP="006F1870">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rsidR="00C60E84" w:rsidRPr="0080590E"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80590E"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8"/>
      <w:bookmarkEnd w:id="99"/>
      <w:bookmarkEnd w:id="100"/>
      <w:bookmarkEnd w:id="101"/>
      <w:bookmarkEnd w:id="102"/>
      <w:bookmarkEnd w:id="103"/>
      <w:bookmarkEnd w:id="104"/>
      <w:bookmarkEnd w:id="105"/>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9"/>
      <w:footerReference w:type="even" r:id="rId10"/>
      <w:footerReference w:type="defaul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FA" w:rsidRDefault="005E27FA">
      <w:r>
        <w:separator/>
      </w:r>
    </w:p>
  </w:endnote>
  <w:endnote w:type="continuationSeparator" w:id="0">
    <w:p w:rsidR="005E27FA" w:rsidRDefault="005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FA" w:rsidRDefault="005E27F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7FA" w:rsidRDefault="005E27F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FA" w:rsidRPr="001F649E" w:rsidRDefault="005E27F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FA" w:rsidRDefault="005E27FA">
      <w:r>
        <w:separator/>
      </w:r>
    </w:p>
  </w:footnote>
  <w:footnote w:type="continuationSeparator" w:id="0">
    <w:p w:rsidR="005E27FA" w:rsidRDefault="005E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FA" w:rsidRPr="002339A7" w:rsidRDefault="005E27FA" w:rsidP="0098592C">
    <w:pPr>
      <w:pStyle w:val="Header"/>
      <w:tabs>
        <w:tab w:val="left" w:pos="2340"/>
        <w:tab w:val="left" w:pos="3060"/>
        <w:tab w:val="left" w:pos="720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Pr="002339A7">
      <w:rPr>
        <w:rFonts w:cs="Arial"/>
        <w:sz w:val="20"/>
      </w:rPr>
      <w:t>ROP No:  MI-ROP-</w:t>
    </w:r>
    <w:bookmarkStart w:id="134" w:name="bSRN4"/>
    <w:bookmarkEnd w:id="134"/>
    <w:r>
      <w:rPr>
        <w:rFonts w:cs="Arial"/>
        <w:sz w:val="20"/>
      </w:rPr>
      <w:t>B2363-</w:t>
    </w:r>
    <w:bookmarkStart w:id="135" w:name="bIssueYear3"/>
    <w:bookmarkEnd w:id="135"/>
    <w:r w:rsidR="005B20A3">
      <w:rPr>
        <w:rFonts w:cs="Arial"/>
        <w:sz w:val="20"/>
      </w:rPr>
      <w:t>2019</w:t>
    </w:r>
  </w:p>
  <w:p w:rsidR="005E27FA" w:rsidRPr="005C1928" w:rsidRDefault="005E27FA" w:rsidP="009C0A7A">
    <w:pPr>
      <w:pStyle w:val="Header"/>
      <w:tabs>
        <w:tab w:val="clear" w:pos="4320"/>
        <w:tab w:val="clear" w:pos="8640"/>
        <w:tab w:val="left" w:pos="6660"/>
        <w:tab w:val="left" w:pos="7200"/>
      </w:tabs>
      <w:rPr>
        <w:rFonts w:cs="Arial"/>
        <w:sz w:val="20"/>
      </w:rPr>
    </w:pPr>
    <w:r>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6" w:name="bExpireDate2"/>
    <w:bookmarkEnd w:id="136"/>
    <w:r w:rsidR="005B20A3">
      <w:rPr>
        <w:rFonts w:cs="Arial"/>
        <w:sz w:val="20"/>
      </w:rPr>
      <w:t>June 7, 2024</w:t>
    </w:r>
  </w:p>
  <w:p w:rsidR="005E27FA" w:rsidRDefault="005E27FA" w:rsidP="009C0A7A">
    <w:pPr>
      <w:pStyle w:val="Header"/>
      <w:tabs>
        <w:tab w:val="left" w:pos="666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7" w:name="bSRN5"/>
    <w:bookmarkEnd w:id="137"/>
    <w:r>
      <w:rPr>
        <w:sz w:val="20"/>
      </w:rPr>
      <w:t>B2363-</w:t>
    </w:r>
    <w:bookmarkStart w:id="138" w:name="bIssueYear4"/>
    <w:bookmarkEnd w:id="138"/>
    <w:r w:rsidR="005B20A3">
      <w:rPr>
        <w:sz w:val="20"/>
      </w:rPr>
      <w:t>2019</w:t>
    </w:r>
  </w:p>
  <w:p w:rsidR="005E27FA" w:rsidRDefault="005E27FA" w:rsidP="009C0A7A">
    <w:pPr>
      <w:pStyle w:val="Header"/>
      <w:tabs>
        <w:tab w:val="left" w:pos="6660"/>
        <w:tab w:val="left" w:pos="72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2672AC"/>
    <w:multiLevelType w:val="hybridMultilevel"/>
    <w:tmpl w:val="FFD63BD8"/>
    <w:lvl w:ilvl="0" w:tplc="71089AF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821578"/>
    <w:multiLevelType w:val="hybridMultilevel"/>
    <w:tmpl w:val="B874D95C"/>
    <w:lvl w:ilvl="0" w:tplc="72E077CC">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87A30"/>
    <w:multiLevelType w:val="hybridMultilevel"/>
    <w:tmpl w:val="4AEA6CAE"/>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04E87"/>
    <w:multiLevelType w:val="multilevel"/>
    <w:tmpl w:val="D8F268D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A96072"/>
    <w:multiLevelType w:val="hybridMultilevel"/>
    <w:tmpl w:val="C160270C"/>
    <w:lvl w:ilvl="0" w:tplc="7EAE3BD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74F4F"/>
    <w:multiLevelType w:val="hybridMultilevel"/>
    <w:tmpl w:val="9126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3C03"/>
    <w:multiLevelType w:val="hybridMultilevel"/>
    <w:tmpl w:val="3404FC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918B9"/>
    <w:multiLevelType w:val="hybridMultilevel"/>
    <w:tmpl w:val="628C071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D8790A"/>
    <w:multiLevelType w:val="hybridMultilevel"/>
    <w:tmpl w:val="A32C4A96"/>
    <w:lvl w:ilvl="0" w:tplc="47D2A3E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856D39"/>
    <w:multiLevelType w:val="hybridMultilevel"/>
    <w:tmpl w:val="F7E81F38"/>
    <w:lvl w:ilvl="0" w:tplc="0322A578">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90E3A"/>
    <w:multiLevelType w:val="hybridMultilevel"/>
    <w:tmpl w:val="63F89E02"/>
    <w:lvl w:ilvl="0" w:tplc="D908C29C">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95111"/>
    <w:multiLevelType w:val="hybridMultilevel"/>
    <w:tmpl w:val="80967E6C"/>
    <w:lvl w:ilvl="0" w:tplc="14CC131C">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545A58"/>
    <w:multiLevelType w:val="hybridMultilevel"/>
    <w:tmpl w:val="896200B2"/>
    <w:lvl w:ilvl="0" w:tplc="0064695C">
      <w:start w:val="1"/>
      <w:numFmt w:val="lowerRoman"/>
      <w:lvlText w:val="%1."/>
      <w:lvlJc w:val="right"/>
      <w:pPr>
        <w:ind w:left="108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A40C9"/>
    <w:multiLevelType w:val="hybridMultilevel"/>
    <w:tmpl w:val="4D0E9084"/>
    <w:lvl w:ilvl="0" w:tplc="8F10F378">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7367A"/>
    <w:multiLevelType w:val="hybridMultilevel"/>
    <w:tmpl w:val="DAB27FC8"/>
    <w:lvl w:ilvl="0" w:tplc="9A4A85C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2"/>
  </w:num>
  <w:num w:numId="3">
    <w:abstractNumId w:val="10"/>
  </w:num>
  <w:num w:numId="4">
    <w:abstractNumId w:val="34"/>
  </w:num>
  <w:num w:numId="5">
    <w:abstractNumId w:val="2"/>
  </w:num>
  <w:num w:numId="6">
    <w:abstractNumId w:val="54"/>
  </w:num>
  <w:num w:numId="7">
    <w:abstractNumId w:val="31"/>
  </w:num>
  <w:num w:numId="8">
    <w:abstractNumId w:val="46"/>
  </w:num>
  <w:num w:numId="9">
    <w:abstractNumId w:val="9"/>
  </w:num>
  <w:num w:numId="10">
    <w:abstractNumId w:val="22"/>
  </w:num>
  <w:num w:numId="11">
    <w:abstractNumId w:val="35"/>
  </w:num>
  <w:num w:numId="12">
    <w:abstractNumId w:val="50"/>
  </w:num>
  <w:num w:numId="13">
    <w:abstractNumId w:val="45"/>
  </w:num>
  <w:num w:numId="14">
    <w:abstractNumId w:val="5"/>
  </w:num>
  <w:num w:numId="15">
    <w:abstractNumId w:val="53"/>
  </w:num>
  <w:num w:numId="16">
    <w:abstractNumId w:val="48"/>
  </w:num>
  <w:num w:numId="17">
    <w:abstractNumId w:val="17"/>
  </w:num>
  <w:num w:numId="18">
    <w:abstractNumId w:val="41"/>
  </w:num>
  <w:num w:numId="19">
    <w:abstractNumId w:val="38"/>
  </w:num>
  <w:num w:numId="20">
    <w:abstractNumId w:val="8"/>
  </w:num>
  <w:num w:numId="21">
    <w:abstractNumId w:val="18"/>
  </w:num>
  <w:num w:numId="22">
    <w:abstractNumId w:val="25"/>
  </w:num>
  <w:num w:numId="23">
    <w:abstractNumId w:val="0"/>
  </w:num>
  <w:num w:numId="24">
    <w:abstractNumId w:val="33"/>
  </w:num>
  <w:num w:numId="25">
    <w:abstractNumId w:val="28"/>
  </w:num>
  <w:num w:numId="26">
    <w:abstractNumId w:val="32"/>
  </w:num>
  <w:num w:numId="27">
    <w:abstractNumId w:val="47"/>
  </w:num>
  <w:num w:numId="28">
    <w:abstractNumId w:val="37"/>
  </w:num>
  <w:num w:numId="29">
    <w:abstractNumId w:val="27"/>
  </w:num>
  <w:num w:numId="30">
    <w:abstractNumId w:val="14"/>
  </w:num>
  <w:num w:numId="31">
    <w:abstractNumId w:val="51"/>
  </w:num>
  <w:num w:numId="32">
    <w:abstractNumId w:val="36"/>
  </w:num>
  <w:num w:numId="33">
    <w:abstractNumId w:val="40"/>
  </w:num>
  <w:num w:numId="34">
    <w:abstractNumId w:val="7"/>
  </w:num>
  <w:num w:numId="35">
    <w:abstractNumId w:val="26"/>
  </w:num>
  <w:num w:numId="36">
    <w:abstractNumId w:val="12"/>
  </w:num>
  <w:num w:numId="37">
    <w:abstractNumId w:val="44"/>
  </w:num>
  <w:num w:numId="38">
    <w:abstractNumId w:val="20"/>
  </w:num>
  <w:num w:numId="39">
    <w:abstractNumId w:val="15"/>
  </w:num>
  <w:num w:numId="40">
    <w:abstractNumId w:val="43"/>
  </w:num>
  <w:num w:numId="41">
    <w:abstractNumId w:val="6"/>
  </w:num>
  <w:num w:numId="42">
    <w:abstractNumId w:val="42"/>
  </w:num>
  <w:num w:numId="43">
    <w:abstractNumId w:val="11"/>
  </w:num>
  <w:num w:numId="44">
    <w:abstractNumId w:val="29"/>
  </w:num>
  <w:num w:numId="45">
    <w:abstractNumId w:val="4"/>
  </w:num>
  <w:num w:numId="46">
    <w:abstractNumId w:val="49"/>
  </w:num>
  <w:num w:numId="47">
    <w:abstractNumId w:val="13"/>
  </w:num>
  <w:num w:numId="48">
    <w:abstractNumId w:val="21"/>
  </w:num>
  <w:num w:numId="49">
    <w:abstractNumId w:val="16"/>
  </w:num>
  <w:num w:numId="50">
    <w:abstractNumId w:val="23"/>
  </w:num>
  <w:num w:numId="51">
    <w:abstractNumId w:val="1"/>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4"/>
  </w:num>
  <w:num w:numId="56">
    <w:abstractNumId w:val="39"/>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xMUF1+aWo62z705+sli0s+Yobdx39y0VBb/ftjXUZko+JitwiRHtdQjZOD5MIBXXML2yyetP6Ao0u0fMAPUP1A==" w:salt="OC1/grI5YAgMZSxk9O2km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E19"/>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0A84"/>
    <w:rsid w:val="0004217B"/>
    <w:rsid w:val="00044CCA"/>
    <w:rsid w:val="0005050C"/>
    <w:rsid w:val="000507AD"/>
    <w:rsid w:val="000509C6"/>
    <w:rsid w:val="00054BBF"/>
    <w:rsid w:val="00055028"/>
    <w:rsid w:val="00057701"/>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5EF4"/>
    <w:rsid w:val="00076070"/>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168"/>
    <w:rsid w:val="000C1DDB"/>
    <w:rsid w:val="000C30AC"/>
    <w:rsid w:val="000C3C52"/>
    <w:rsid w:val="000C3F1E"/>
    <w:rsid w:val="000C414F"/>
    <w:rsid w:val="000C550F"/>
    <w:rsid w:val="000D24F8"/>
    <w:rsid w:val="000D27AE"/>
    <w:rsid w:val="000D3201"/>
    <w:rsid w:val="000D49F1"/>
    <w:rsid w:val="000D4F6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1E4"/>
    <w:rsid w:val="00114C6F"/>
    <w:rsid w:val="001152DA"/>
    <w:rsid w:val="00116158"/>
    <w:rsid w:val="00117BC4"/>
    <w:rsid w:val="00117BC6"/>
    <w:rsid w:val="0012240D"/>
    <w:rsid w:val="0012743F"/>
    <w:rsid w:val="00127459"/>
    <w:rsid w:val="0013346B"/>
    <w:rsid w:val="00133F34"/>
    <w:rsid w:val="001375CA"/>
    <w:rsid w:val="00146AA5"/>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F81"/>
    <w:rsid w:val="00171611"/>
    <w:rsid w:val="00171CB6"/>
    <w:rsid w:val="0017221D"/>
    <w:rsid w:val="0017445C"/>
    <w:rsid w:val="001751BB"/>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0FB3"/>
    <w:rsid w:val="001E1249"/>
    <w:rsid w:val="001E1B5E"/>
    <w:rsid w:val="001E2AF2"/>
    <w:rsid w:val="001E5069"/>
    <w:rsid w:val="001E714D"/>
    <w:rsid w:val="001F02BE"/>
    <w:rsid w:val="001F15C6"/>
    <w:rsid w:val="001F25A4"/>
    <w:rsid w:val="001F2F2C"/>
    <w:rsid w:val="001F3E8E"/>
    <w:rsid w:val="001F649E"/>
    <w:rsid w:val="001F7DDD"/>
    <w:rsid w:val="00201DE4"/>
    <w:rsid w:val="002149BA"/>
    <w:rsid w:val="00216128"/>
    <w:rsid w:val="0022115A"/>
    <w:rsid w:val="00221386"/>
    <w:rsid w:val="0022171F"/>
    <w:rsid w:val="00226013"/>
    <w:rsid w:val="002266D2"/>
    <w:rsid w:val="00226C56"/>
    <w:rsid w:val="00227CD6"/>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100"/>
    <w:rsid w:val="00255675"/>
    <w:rsid w:val="0025601A"/>
    <w:rsid w:val="00256C88"/>
    <w:rsid w:val="0026033F"/>
    <w:rsid w:val="002635B0"/>
    <w:rsid w:val="00267C45"/>
    <w:rsid w:val="00270B7C"/>
    <w:rsid w:val="0027166E"/>
    <w:rsid w:val="00272560"/>
    <w:rsid w:val="002745AE"/>
    <w:rsid w:val="0027572B"/>
    <w:rsid w:val="00276651"/>
    <w:rsid w:val="00277397"/>
    <w:rsid w:val="002779A5"/>
    <w:rsid w:val="002806DC"/>
    <w:rsid w:val="0028234D"/>
    <w:rsid w:val="00285F21"/>
    <w:rsid w:val="00287FE1"/>
    <w:rsid w:val="002916F7"/>
    <w:rsid w:val="002917CF"/>
    <w:rsid w:val="002974B8"/>
    <w:rsid w:val="00297DB0"/>
    <w:rsid w:val="002A4D24"/>
    <w:rsid w:val="002A4E09"/>
    <w:rsid w:val="002B2132"/>
    <w:rsid w:val="002B29E9"/>
    <w:rsid w:val="002B5A0D"/>
    <w:rsid w:val="002B5ED5"/>
    <w:rsid w:val="002B5F18"/>
    <w:rsid w:val="002B790A"/>
    <w:rsid w:val="002B7B46"/>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346C"/>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564D0"/>
    <w:rsid w:val="003613B8"/>
    <w:rsid w:val="003625C7"/>
    <w:rsid w:val="003633AD"/>
    <w:rsid w:val="003647B9"/>
    <w:rsid w:val="00371AEB"/>
    <w:rsid w:val="00372E7C"/>
    <w:rsid w:val="00374A95"/>
    <w:rsid w:val="00375AE2"/>
    <w:rsid w:val="0038082B"/>
    <w:rsid w:val="00380BB9"/>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6B80"/>
    <w:rsid w:val="003B3AB8"/>
    <w:rsid w:val="003B4A42"/>
    <w:rsid w:val="003B7665"/>
    <w:rsid w:val="003C19DE"/>
    <w:rsid w:val="003C230B"/>
    <w:rsid w:val="003C2679"/>
    <w:rsid w:val="003C4678"/>
    <w:rsid w:val="003C6E52"/>
    <w:rsid w:val="003C71D8"/>
    <w:rsid w:val="003D1052"/>
    <w:rsid w:val="003D1761"/>
    <w:rsid w:val="003D35F5"/>
    <w:rsid w:val="003D3E97"/>
    <w:rsid w:val="003D4984"/>
    <w:rsid w:val="003D4B0C"/>
    <w:rsid w:val="003D6E3F"/>
    <w:rsid w:val="003D74E7"/>
    <w:rsid w:val="003D753E"/>
    <w:rsid w:val="003E2836"/>
    <w:rsid w:val="003F4905"/>
    <w:rsid w:val="003F5BE8"/>
    <w:rsid w:val="00402F46"/>
    <w:rsid w:val="004032B7"/>
    <w:rsid w:val="004037A2"/>
    <w:rsid w:val="00404827"/>
    <w:rsid w:val="00405462"/>
    <w:rsid w:val="00405CB3"/>
    <w:rsid w:val="00406466"/>
    <w:rsid w:val="00407EFE"/>
    <w:rsid w:val="0041064E"/>
    <w:rsid w:val="00412D35"/>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47E19"/>
    <w:rsid w:val="00450590"/>
    <w:rsid w:val="004507AD"/>
    <w:rsid w:val="004544ED"/>
    <w:rsid w:val="00454814"/>
    <w:rsid w:val="004568E6"/>
    <w:rsid w:val="00456F47"/>
    <w:rsid w:val="004614AC"/>
    <w:rsid w:val="00461D22"/>
    <w:rsid w:val="00461E40"/>
    <w:rsid w:val="00462A82"/>
    <w:rsid w:val="004649EF"/>
    <w:rsid w:val="004651D3"/>
    <w:rsid w:val="00465779"/>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C4F"/>
    <w:rsid w:val="004C1D64"/>
    <w:rsid w:val="004C3288"/>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4DB8"/>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4877"/>
    <w:rsid w:val="005557AD"/>
    <w:rsid w:val="005562A9"/>
    <w:rsid w:val="005638CA"/>
    <w:rsid w:val="00563986"/>
    <w:rsid w:val="00565415"/>
    <w:rsid w:val="00570FD5"/>
    <w:rsid w:val="0057321C"/>
    <w:rsid w:val="00573DEA"/>
    <w:rsid w:val="00575F86"/>
    <w:rsid w:val="00577783"/>
    <w:rsid w:val="00580207"/>
    <w:rsid w:val="00583532"/>
    <w:rsid w:val="00583A5D"/>
    <w:rsid w:val="0058429B"/>
    <w:rsid w:val="005870F3"/>
    <w:rsid w:val="005949B0"/>
    <w:rsid w:val="005963EC"/>
    <w:rsid w:val="00597563"/>
    <w:rsid w:val="005A0E16"/>
    <w:rsid w:val="005A2F5C"/>
    <w:rsid w:val="005A310E"/>
    <w:rsid w:val="005A402E"/>
    <w:rsid w:val="005A494F"/>
    <w:rsid w:val="005A53BF"/>
    <w:rsid w:val="005A6329"/>
    <w:rsid w:val="005A7899"/>
    <w:rsid w:val="005B1526"/>
    <w:rsid w:val="005B1DED"/>
    <w:rsid w:val="005B20A3"/>
    <w:rsid w:val="005B2E64"/>
    <w:rsid w:val="005B508D"/>
    <w:rsid w:val="005B60CF"/>
    <w:rsid w:val="005B7DF0"/>
    <w:rsid w:val="005B7DF9"/>
    <w:rsid w:val="005C07D8"/>
    <w:rsid w:val="005C1928"/>
    <w:rsid w:val="005C5D89"/>
    <w:rsid w:val="005C6844"/>
    <w:rsid w:val="005C6E7E"/>
    <w:rsid w:val="005D1D39"/>
    <w:rsid w:val="005D236B"/>
    <w:rsid w:val="005D2B82"/>
    <w:rsid w:val="005D41CA"/>
    <w:rsid w:val="005D48FB"/>
    <w:rsid w:val="005D5FBE"/>
    <w:rsid w:val="005E0EE9"/>
    <w:rsid w:val="005E27FA"/>
    <w:rsid w:val="005E2E5E"/>
    <w:rsid w:val="005E3E6D"/>
    <w:rsid w:val="005E40D0"/>
    <w:rsid w:val="005E5399"/>
    <w:rsid w:val="005E53AB"/>
    <w:rsid w:val="005E6377"/>
    <w:rsid w:val="005E71AE"/>
    <w:rsid w:val="005F071A"/>
    <w:rsid w:val="005F1071"/>
    <w:rsid w:val="005F2CC2"/>
    <w:rsid w:val="005F3060"/>
    <w:rsid w:val="005F5D68"/>
    <w:rsid w:val="005F70F5"/>
    <w:rsid w:val="00600524"/>
    <w:rsid w:val="006065E2"/>
    <w:rsid w:val="00606A98"/>
    <w:rsid w:val="0060772E"/>
    <w:rsid w:val="00611AD4"/>
    <w:rsid w:val="00611D4F"/>
    <w:rsid w:val="0061412A"/>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56C3"/>
    <w:rsid w:val="00646B80"/>
    <w:rsid w:val="00646EB0"/>
    <w:rsid w:val="00650A8F"/>
    <w:rsid w:val="00651081"/>
    <w:rsid w:val="0065116B"/>
    <w:rsid w:val="00652842"/>
    <w:rsid w:val="00655DC0"/>
    <w:rsid w:val="00656AC0"/>
    <w:rsid w:val="006573D8"/>
    <w:rsid w:val="006615E2"/>
    <w:rsid w:val="00665417"/>
    <w:rsid w:val="00665478"/>
    <w:rsid w:val="0066595D"/>
    <w:rsid w:val="0067176C"/>
    <w:rsid w:val="00671FED"/>
    <w:rsid w:val="00672E09"/>
    <w:rsid w:val="00673358"/>
    <w:rsid w:val="00673BC8"/>
    <w:rsid w:val="00674FBC"/>
    <w:rsid w:val="00675ACA"/>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485"/>
    <w:rsid w:val="006B2072"/>
    <w:rsid w:val="006B20AC"/>
    <w:rsid w:val="006B2890"/>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88D"/>
    <w:rsid w:val="006D7B66"/>
    <w:rsid w:val="006E30A7"/>
    <w:rsid w:val="006E3639"/>
    <w:rsid w:val="006E3F82"/>
    <w:rsid w:val="006E53B4"/>
    <w:rsid w:val="006E7E8E"/>
    <w:rsid w:val="006F0E96"/>
    <w:rsid w:val="006F1870"/>
    <w:rsid w:val="006F1CF6"/>
    <w:rsid w:val="006F2C46"/>
    <w:rsid w:val="006F37A6"/>
    <w:rsid w:val="006F4A84"/>
    <w:rsid w:val="006F555B"/>
    <w:rsid w:val="006F5D35"/>
    <w:rsid w:val="007014BE"/>
    <w:rsid w:val="007017D5"/>
    <w:rsid w:val="007045E6"/>
    <w:rsid w:val="00704653"/>
    <w:rsid w:val="00705C70"/>
    <w:rsid w:val="00707254"/>
    <w:rsid w:val="0071499D"/>
    <w:rsid w:val="007149DE"/>
    <w:rsid w:val="007235AE"/>
    <w:rsid w:val="00723774"/>
    <w:rsid w:val="00723C92"/>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7720D"/>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6731"/>
    <w:rsid w:val="007E091E"/>
    <w:rsid w:val="007E0EE4"/>
    <w:rsid w:val="007E22D3"/>
    <w:rsid w:val="007E32BB"/>
    <w:rsid w:val="007E4030"/>
    <w:rsid w:val="007E490C"/>
    <w:rsid w:val="007F320C"/>
    <w:rsid w:val="007F3965"/>
    <w:rsid w:val="007F7347"/>
    <w:rsid w:val="00800D49"/>
    <w:rsid w:val="00800F24"/>
    <w:rsid w:val="00804A4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2270F"/>
    <w:rsid w:val="00822D05"/>
    <w:rsid w:val="0082405D"/>
    <w:rsid w:val="00824AC9"/>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1D29"/>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9A4"/>
    <w:rsid w:val="00871287"/>
    <w:rsid w:val="00875F04"/>
    <w:rsid w:val="00876F3F"/>
    <w:rsid w:val="008772A6"/>
    <w:rsid w:val="0088132D"/>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D145E"/>
    <w:rsid w:val="008D1C1B"/>
    <w:rsid w:val="008D6E4D"/>
    <w:rsid w:val="008E0110"/>
    <w:rsid w:val="008E0D82"/>
    <w:rsid w:val="008E1254"/>
    <w:rsid w:val="008E13FC"/>
    <w:rsid w:val="008E1ED5"/>
    <w:rsid w:val="008E270F"/>
    <w:rsid w:val="008E2DCE"/>
    <w:rsid w:val="008E2F3D"/>
    <w:rsid w:val="008E5144"/>
    <w:rsid w:val="008E62BE"/>
    <w:rsid w:val="008E64C9"/>
    <w:rsid w:val="008F1E54"/>
    <w:rsid w:val="008F20E9"/>
    <w:rsid w:val="008F23BE"/>
    <w:rsid w:val="008F24B5"/>
    <w:rsid w:val="008F2768"/>
    <w:rsid w:val="008F345A"/>
    <w:rsid w:val="008F6D06"/>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A2F"/>
    <w:rsid w:val="009628BB"/>
    <w:rsid w:val="0096474C"/>
    <w:rsid w:val="009668B9"/>
    <w:rsid w:val="00967CFC"/>
    <w:rsid w:val="009706CF"/>
    <w:rsid w:val="00972C29"/>
    <w:rsid w:val="00974763"/>
    <w:rsid w:val="0097608C"/>
    <w:rsid w:val="0097673C"/>
    <w:rsid w:val="00977DC9"/>
    <w:rsid w:val="00977FBE"/>
    <w:rsid w:val="00982C4B"/>
    <w:rsid w:val="0098346A"/>
    <w:rsid w:val="009839AC"/>
    <w:rsid w:val="00984DE6"/>
    <w:rsid w:val="0098592C"/>
    <w:rsid w:val="00987CB3"/>
    <w:rsid w:val="009902AF"/>
    <w:rsid w:val="00991194"/>
    <w:rsid w:val="00994CA1"/>
    <w:rsid w:val="0099525C"/>
    <w:rsid w:val="00995CA2"/>
    <w:rsid w:val="00997D5B"/>
    <w:rsid w:val="009A0A07"/>
    <w:rsid w:val="009A1E0F"/>
    <w:rsid w:val="009A2C08"/>
    <w:rsid w:val="009A6426"/>
    <w:rsid w:val="009B0F4B"/>
    <w:rsid w:val="009B1994"/>
    <w:rsid w:val="009B213B"/>
    <w:rsid w:val="009B2FEE"/>
    <w:rsid w:val="009B70A7"/>
    <w:rsid w:val="009B716E"/>
    <w:rsid w:val="009C023E"/>
    <w:rsid w:val="009C0A7A"/>
    <w:rsid w:val="009D2AF0"/>
    <w:rsid w:val="009D2D4F"/>
    <w:rsid w:val="009D4360"/>
    <w:rsid w:val="009D52E8"/>
    <w:rsid w:val="009D5D8D"/>
    <w:rsid w:val="009D68B3"/>
    <w:rsid w:val="009D6C93"/>
    <w:rsid w:val="009E0535"/>
    <w:rsid w:val="009E1CCA"/>
    <w:rsid w:val="009E201C"/>
    <w:rsid w:val="009E4068"/>
    <w:rsid w:val="009E4465"/>
    <w:rsid w:val="009E5B64"/>
    <w:rsid w:val="009F43AB"/>
    <w:rsid w:val="009F5282"/>
    <w:rsid w:val="009F64FE"/>
    <w:rsid w:val="00A00686"/>
    <w:rsid w:val="00A0106D"/>
    <w:rsid w:val="00A018D7"/>
    <w:rsid w:val="00A037B2"/>
    <w:rsid w:val="00A038CE"/>
    <w:rsid w:val="00A0408D"/>
    <w:rsid w:val="00A07516"/>
    <w:rsid w:val="00A07DF9"/>
    <w:rsid w:val="00A1123E"/>
    <w:rsid w:val="00A1146D"/>
    <w:rsid w:val="00A13378"/>
    <w:rsid w:val="00A13EF6"/>
    <w:rsid w:val="00A1415D"/>
    <w:rsid w:val="00A15295"/>
    <w:rsid w:val="00A15BD1"/>
    <w:rsid w:val="00A1768D"/>
    <w:rsid w:val="00A2087B"/>
    <w:rsid w:val="00A213E0"/>
    <w:rsid w:val="00A21FA1"/>
    <w:rsid w:val="00A23F19"/>
    <w:rsid w:val="00A23F64"/>
    <w:rsid w:val="00A24EF1"/>
    <w:rsid w:val="00A27EF8"/>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43F"/>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1F10"/>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2D54"/>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81E"/>
    <w:rsid w:val="00B73E47"/>
    <w:rsid w:val="00B7494A"/>
    <w:rsid w:val="00B7523C"/>
    <w:rsid w:val="00B7613C"/>
    <w:rsid w:val="00B77C68"/>
    <w:rsid w:val="00B82221"/>
    <w:rsid w:val="00B83D81"/>
    <w:rsid w:val="00B8407C"/>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A0B"/>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60F"/>
    <w:rsid w:val="00BD6AF5"/>
    <w:rsid w:val="00BD6C4A"/>
    <w:rsid w:val="00BD6F22"/>
    <w:rsid w:val="00BE0766"/>
    <w:rsid w:val="00BE42B9"/>
    <w:rsid w:val="00BE535F"/>
    <w:rsid w:val="00BF20AA"/>
    <w:rsid w:val="00BF3332"/>
    <w:rsid w:val="00BF440A"/>
    <w:rsid w:val="00BF63B0"/>
    <w:rsid w:val="00BF7CB0"/>
    <w:rsid w:val="00BF7F72"/>
    <w:rsid w:val="00C011AB"/>
    <w:rsid w:val="00C05C56"/>
    <w:rsid w:val="00C063C0"/>
    <w:rsid w:val="00C06ED7"/>
    <w:rsid w:val="00C1113C"/>
    <w:rsid w:val="00C12A10"/>
    <w:rsid w:val="00C16668"/>
    <w:rsid w:val="00C17B92"/>
    <w:rsid w:val="00C2134D"/>
    <w:rsid w:val="00C21AEE"/>
    <w:rsid w:val="00C21D15"/>
    <w:rsid w:val="00C22B41"/>
    <w:rsid w:val="00C24A37"/>
    <w:rsid w:val="00C250A9"/>
    <w:rsid w:val="00C26134"/>
    <w:rsid w:val="00C2618F"/>
    <w:rsid w:val="00C31A89"/>
    <w:rsid w:val="00C35218"/>
    <w:rsid w:val="00C3571F"/>
    <w:rsid w:val="00C36162"/>
    <w:rsid w:val="00C363B3"/>
    <w:rsid w:val="00C36F31"/>
    <w:rsid w:val="00C37067"/>
    <w:rsid w:val="00C401DE"/>
    <w:rsid w:val="00C416C1"/>
    <w:rsid w:val="00C423D8"/>
    <w:rsid w:val="00C4243C"/>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0258"/>
    <w:rsid w:val="00C711F7"/>
    <w:rsid w:val="00C7163E"/>
    <w:rsid w:val="00C73FB0"/>
    <w:rsid w:val="00C74DAA"/>
    <w:rsid w:val="00C74DEC"/>
    <w:rsid w:val="00C75F47"/>
    <w:rsid w:val="00C76003"/>
    <w:rsid w:val="00C7684F"/>
    <w:rsid w:val="00C7692A"/>
    <w:rsid w:val="00C77296"/>
    <w:rsid w:val="00C80B80"/>
    <w:rsid w:val="00C82718"/>
    <w:rsid w:val="00C8324B"/>
    <w:rsid w:val="00C83483"/>
    <w:rsid w:val="00C90601"/>
    <w:rsid w:val="00C951DB"/>
    <w:rsid w:val="00C95816"/>
    <w:rsid w:val="00C96CDF"/>
    <w:rsid w:val="00C97E7D"/>
    <w:rsid w:val="00CA6307"/>
    <w:rsid w:val="00CA665E"/>
    <w:rsid w:val="00CB06AA"/>
    <w:rsid w:val="00CB4328"/>
    <w:rsid w:val="00CB7260"/>
    <w:rsid w:val="00CC02A3"/>
    <w:rsid w:val="00CC0536"/>
    <w:rsid w:val="00CC13E5"/>
    <w:rsid w:val="00CC4FD4"/>
    <w:rsid w:val="00CC57F2"/>
    <w:rsid w:val="00CC5C04"/>
    <w:rsid w:val="00CC6BC5"/>
    <w:rsid w:val="00CD068F"/>
    <w:rsid w:val="00CD2497"/>
    <w:rsid w:val="00CD7846"/>
    <w:rsid w:val="00CD7EA8"/>
    <w:rsid w:val="00CE0571"/>
    <w:rsid w:val="00CE1923"/>
    <w:rsid w:val="00CE1925"/>
    <w:rsid w:val="00CE2DDF"/>
    <w:rsid w:val="00CE40E3"/>
    <w:rsid w:val="00CE44D8"/>
    <w:rsid w:val="00CE4628"/>
    <w:rsid w:val="00CE4E4A"/>
    <w:rsid w:val="00CE4F2C"/>
    <w:rsid w:val="00CE5C49"/>
    <w:rsid w:val="00CF07B9"/>
    <w:rsid w:val="00CF1A5E"/>
    <w:rsid w:val="00CF3C14"/>
    <w:rsid w:val="00CF443E"/>
    <w:rsid w:val="00CF6A73"/>
    <w:rsid w:val="00CF6FF0"/>
    <w:rsid w:val="00CF7A04"/>
    <w:rsid w:val="00D00B1A"/>
    <w:rsid w:val="00D0206D"/>
    <w:rsid w:val="00D06C0C"/>
    <w:rsid w:val="00D06DA9"/>
    <w:rsid w:val="00D10803"/>
    <w:rsid w:val="00D11620"/>
    <w:rsid w:val="00D13A34"/>
    <w:rsid w:val="00D140CE"/>
    <w:rsid w:val="00D160DB"/>
    <w:rsid w:val="00D16CA9"/>
    <w:rsid w:val="00D249E4"/>
    <w:rsid w:val="00D251E7"/>
    <w:rsid w:val="00D27EAA"/>
    <w:rsid w:val="00D33824"/>
    <w:rsid w:val="00D33DD8"/>
    <w:rsid w:val="00D343C1"/>
    <w:rsid w:val="00D3582A"/>
    <w:rsid w:val="00D359C7"/>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0A44"/>
    <w:rsid w:val="00D82604"/>
    <w:rsid w:val="00D8429D"/>
    <w:rsid w:val="00D8564A"/>
    <w:rsid w:val="00D86B5E"/>
    <w:rsid w:val="00D91B0D"/>
    <w:rsid w:val="00D92592"/>
    <w:rsid w:val="00D935B1"/>
    <w:rsid w:val="00D93691"/>
    <w:rsid w:val="00D93901"/>
    <w:rsid w:val="00D93AAD"/>
    <w:rsid w:val="00D96F22"/>
    <w:rsid w:val="00D97218"/>
    <w:rsid w:val="00D97437"/>
    <w:rsid w:val="00DA0222"/>
    <w:rsid w:val="00DA20DA"/>
    <w:rsid w:val="00DA3682"/>
    <w:rsid w:val="00DA6C16"/>
    <w:rsid w:val="00DB1513"/>
    <w:rsid w:val="00DB2A79"/>
    <w:rsid w:val="00DB3605"/>
    <w:rsid w:val="00DB4BB4"/>
    <w:rsid w:val="00DB5EB0"/>
    <w:rsid w:val="00DC22AE"/>
    <w:rsid w:val="00DC3A29"/>
    <w:rsid w:val="00DC3CDB"/>
    <w:rsid w:val="00DC44C7"/>
    <w:rsid w:val="00DC5758"/>
    <w:rsid w:val="00DD09C1"/>
    <w:rsid w:val="00DD1B48"/>
    <w:rsid w:val="00DD2EFA"/>
    <w:rsid w:val="00DD3183"/>
    <w:rsid w:val="00DD3E9B"/>
    <w:rsid w:val="00DD4C73"/>
    <w:rsid w:val="00DE0229"/>
    <w:rsid w:val="00DE02EC"/>
    <w:rsid w:val="00DE144B"/>
    <w:rsid w:val="00DE1AD7"/>
    <w:rsid w:val="00DE297F"/>
    <w:rsid w:val="00DE3E0D"/>
    <w:rsid w:val="00DE62B0"/>
    <w:rsid w:val="00DF0348"/>
    <w:rsid w:val="00DF42B7"/>
    <w:rsid w:val="00DF47A8"/>
    <w:rsid w:val="00DF5FD6"/>
    <w:rsid w:val="00DF61EE"/>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43074"/>
    <w:rsid w:val="00E4393D"/>
    <w:rsid w:val="00E45E0A"/>
    <w:rsid w:val="00E51630"/>
    <w:rsid w:val="00E52AB7"/>
    <w:rsid w:val="00E53654"/>
    <w:rsid w:val="00E54E18"/>
    <w:rsid w:val="00E55356"/>
    <w:rsid w:val="00E61A10"/>
    <w:rsid w:val="00E64BE3"/>
    <w:rsid w:val="00E652C3"/>
    <w:rsid w:val="00E6685E"/>
    <w:rsid w:val="00E66A6E"/>
    <w:rsid w:val="00E716C1"/>
    <w:rsid w:val="00E71DBD"/>
    <w:rsid w:val="00E7223C"/>
    <w:rsid w:val="00E735E6"/>
    <w:rsid w:val="00E77875"/>
    <w:rsid w:val="00E8021E"/>
    <w:rsid w:val="00E8104C"/>
    <w:rsid w:val="00E82D5E"/>
    <w:rsid w:val="00E854AF"/>
    <w:rsid w:val="00E86D67"/>
    <w:rsid w:val="00E8750C"/>
    <w:rsid w:val="00E908E1"/>
    <w:rsid w:val="00E91170"/>
    <w:rsid w:val="00E91673"/>
    <w:rsid w:val="00E93E7B"/>
    <w:rsid w:val="00E9403E"/>
    <w:rsid w:val="00E96293"/>
    <w:rsid w:val="00E96657"/>
    <w:rsid w:val="00E9713D"/>
    <w:rsid w:val="00EA119B"/>
    <w:rsid w:val="00EA3673"/>
    <w:rsid w:val="00EA5104"/>
    <w:rsid w:val="00EA7D5B"/>
    <w:rsid w:val="00EB07C5"/>
    <w:rsid w:val="00EB1238"/>
    <w:rsid w:val="00EB2721"/>
    <w:rsid w:val="00EB4D10"/>
    <w:rsid w:val="00EB528C"/>
    <w:rsid w:val="00EB71BA"/>
    <w:rsid w:val="00EC07BA"/>
    <w:rsid w:val="00EC0D12"/>
    <w:rsid w:val="00EC0DF3"/>
    <w:rsid w:val="00EC0E43"/>
    <w:rsid w:val="00EC13EB"/>
    <w:rsid w:val="00EC2722"/>
    <w:rsid w:val="00EC2AC8"/>
    <w:rsid w:val="00EC33D6"/>
    <w:rsid w:val="00EC5C6F"/>
    <w:rsid w:val="00EC6F89"/>
    <w:rsid w:val="00EC707E"/>
    <w:rsid w:val="00ED0849"/>
    <w:rsid w:val="00ED0AFD"/>
    <w:rsid w:val="00ED23B5"/>
    <w:rsid w:val="00ED3803"/>
    <w:rsid w:val="00ED3A23"/>
    <w:rsid w:val="00ED4DC6"/>
    <w:rsid w:val="00ED551C"/>
    <w:rsid w:val="00ED5563"/>
    <w:rsid w:val="00ED5DFA"/>
    <w:rsid w:val="00ED74CC"/>
    <w:rsid w:val="00ED7FCD"/>
    <w:rsid w:val="00EE02F9"/>
    <w:rsid w:val="00EE0A91"/>
    <w:rsid w:val="00EE2588"/>
    <w:rsid w:val="00EE57C0"/>
    <w:rsid w:val="00EE6065"/>
    <w:rsid w:val="00EE62DF"/>
    <w:rsid w:val="00EE6970"/>
    <w:rsid w:val="00EE7B45"/>
    <w:rsid w:val="00EE7F2E"/>
    <w:rsid w:val="00EF1674"/>
    <w:rsid w:val="00EF394B"/>
    <w:rsid w:val="00EF3A23"/>
    <w:rsid w:val="00EF3E6B"/>
    <w:rsid w:val="00EF4242"/>
    <w:rsid w:val="00F00341"/>
    <w:rsid w:val="00F00CCC"/>
    <w:rsid w:val="00F033A6"/>
    <w:rsid w:val="00F04327"/>
    <w:rsid w:val="00F049D4"/>
    <w:rsid w:val="00F04B01"/>
    <w:rsid w:val="00F056D0"/>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3351"/>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3937"/>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285"/>
    <w:rsid w:val="00FB7DFA"/>
    <w:rsid w:val="00FC2052"/>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E3CC4"/>
    <w:rsid w:val="00FE551D"/>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7D01F89-3577-43F6-93CF-CE41F624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554877"/>
    <w:pPr>
      <w:spacing w:before="100" w:beforeAutospacing="1" w:after="100" w:afterAutospacing="1"/>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7501421">
      <w:bodyDiv w:val="1"/>
      <w:marLeft w:val="0"/>
      <w:marRight w:val="0"/>
      <w:marTop w:val="0"/>
      <w:marBottom w:val="0"/>
      <w:divBdr>
        <w:top w:val="none" w:sz="0" w:space="0" w:color="auto"/>
        <w:left w:val="none" w:sz="0" w:space="0" w:color="auto"/>
        <w:bottom w:val="none" w:sz="0" w:space="0" w:color="auto"/>
        <w:right w:val="none" w:sz="0" w:space="0" w:color="auto"/>
      </w:divBdr>
    </w:div>
    <w:div w:id="938029517">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k6\Desktop\ROP\B2363%20Standard%20Coatings\B2363%20Working%20Draft%2001-30-2019\B2363%20Working%20Draft%2001-3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88D8-8C50-45DB-86A0-3CCD26E6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B2363 Working Draft 01-30-19</Template>
  <TotalTime>149</TotalTime>
  <Pages>26</Pages>
  <Words>9821</Words>
  <Characters>55982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 Air Quality Division</Company>
  <LinksUpToDate>false</LinksUpToDate>
  <CharactersWithSpaces>65672</CharactersWithSpaces>
  <SharedDoc>false</SharedDoc>
  <HyperlinkBase>484014</HyperlinkBase>
  <HLinks>
    <vt:vector size="204" baseType="variant">
      <vt:variant>
        <vt:i4>1441853</vt:i4>
      </vt:variant>
      <vt:variant>
        <vt:i4>200</vt:i4>
      </vt:variant>
      <vt:variant>
        <vt:i4>0</vt:i4>
      </vt:variant>
      <vt:variant>
        <vt:i4>5</vt:i4>
      </vt:variant>
      <vt:variant>
        <vt:lpwstr/>
      </vt:variant>
      <vt:variant>
        <vt:lpwstr>_Toc536193707</vt:lpwstr>
      </vt:variant>
      <vt:variant>
        <vt:i4>1441853</vt:i4>
      </vt:variant>
      <vt:variant>
        <vt:i4>194</vt:i4>
      </vt:variant>
      <vt:variant>
        <vt:i4>0</vt:i4>
      </vt:variant>
      <vt:variant>
        <vt:i4>5</vt:i4>
      </vt:variant>
      <vt:variant>
        <vt:lpwstr/>
      </vt:variant>
      <vt:variant>
        <vt:lpwstr>_Toc536193706</vt:lpwstr>
      </vt:variant>
      <vt:variant>
        <vt:i4>1441853</vt:i4>
      </vt:variant>
      <vt:variant>
        <vt:i4>188</vt:i4>
      </vt:variant>
      <vt:variant>
        <vt:i4>0</vt:i4>
      </vt:variant>
      <vt:variant>
        <vt:i4>5</vt:i4>
      </vt:variant>
      <vt:variant>
        <vt:lpwstr/>
      </vt:variant>
      <vt:variant>
        <vt:lpwstr>_Toc536193705</vt:lpwstr>
      </vt:variant>
      <vt:variant>
        <vt:i4>1441853</vt:i4>
      </vt:variant>
      <vt:variant>
        <vt:i4>182</vt:i4>
      </vt:variant>
      <vt:variant>
        <vt:i4>0</vt:i4>
      </vt:variant>
      <vt:variant>
        <vt:i4>5</vt:i4>
      </vt:variant>
      <vt:variant>
        <vt:lpwstr/>
      </vt:variant>
      <vt:variant>
        <vt:lpwstr>_Toc536193704</vt:lpwstr>
      </vt:variant>
      <vt:variant>
        <vt:i4>1441853</vt:i4>
      </vt:variant>
      <vt:variant>
        <vt:i4>176</vt:i4>
      </vt:variant>
      <vt:variant>
        <vt:i4>0</vt:i4>
      </vt:variant>
      <vt:variant>
        <vt:i4>5</vt:i4>
      </vt:variant>
      <vt:variant>
        <vt:lpwstr/>
      </vt:variant>
      <vt:variant>
        <vt:lpwstr>_Toc536193703</vt:lpwstr>
      </vt:variant>
      <vt:variant>
        <vt:i4>1441853</vt:i4>
      </vt:variant>
      <vt:variant>
        <vt:i4>170</vt:i4>
      </vt:variant>
      <vt:variant>
        <vt:i4>0</vt:i4>
      </vt:variant>
      <vt:variant>
        <vt:i4>5</vt:i4>
      </vt:variant>
      <vt:variant>
        <vt:lpwstr/>
      </vt:variant>
      <vt:variant>
        <vt:lpwstr>_Toc536193702</vt:lpwstr>
      </vt:variant>
      <vt:variant>
        <vt:i4>1441853</vt:i4>
      </vt:variant>
      <vt:variant>
        <vt:i4>164</vt:i4>
      </vt:variant>
      <vt:variant>
        <vt:i4>0</vt:i4>
      </vt:variant>
      <vt:variant>
        <vt:i4>5</vt:i4>
      </vt:variant>
      <vt:variant>
        <vt:lpwstr/>
      </vt:variant>
      <vt:variant>
        <vt:lpwstr>_Toc536193701</vt:lpwstr>
      </vt:variant>
      <vt:variant>
        <vt:i4>1441853</vt:i4>
      </vt:variant>
      <vt:variant>
        <vt:i4>158</vt:i4>
      </vt:variant>
      <vt:variant>
        <vt:i4>0</vt:i4>
      </vt:variant>
      <vt:variant>
        <vt:i4>5</vt:i4>
      </vt:variant>
      <vt:variant>
        <vt:lpwstr/>
      </vt:variant>
      <vt:variant>
        <vt:lpwstr>_Toc536193700</vt:lpwstr>
      </vt:variant>
      <vt:variant>
        <vt:i4>2031676</vt:i4>
      </vt:variant>
      <vt:variant>
        <vt:i4>152</vt:i4>
      </vt:variant>
      <vt:variant>
        <vt:i4>0</vt:i4>
      </vt:variant>
      <vt:variant>
        <vt:i4>5</vt:i4>
      </vt:variant>
      <vt:variant>
        <vt:lpwstr/>
      </vt:variant>
      <vt:variant>
        <vt:lpwstr>_Toc536193699</vt:lpwstr>
      </vt:variant>
      <vt:variant>
        <vt:i4>2031676</vt:i4>
      </vt:variant>
      <vt:variant>
        <vt:i4>146</vt:i4>
      </vt:variant>
      <vt:variant>
        <vt:i4>0</vt:i4>
      </vt:variant>
      <vt:variant>
        <vt:i4>5</vt:i4>
      </vt:variant>
      <vt:variant>
        <vt:lpwstr/>
      </vt:variant>
      <vt:variant>
        <vt:lpwstr>_Toc536193698</vt:lpwstr>
      </vt:variant>
      <vt:variant>
        <vt:i4>2031676</vt:i4>
      </vt:variant>
      <vt:variant>
        <vt:i4>140</vt:i4>
      </vt:variant>
      <vt:variant>
        <vt:i4>0</vt:i4>
      </vt:variant>
      <vt:variant>
        <vt:i4>5</vt:i4>
      </vt:variant>
      <vt:variant>
        <vt:lpwstr/>
      </vt:variant>
      <vt:variant>
        <vt:lpwstr>_Toc536193697</vt:lpwstr>
      </vt:variant>
      <vt:variant>
        <vt:i4>2031676</vt:i4>
      </vt:variant>
      <vt:variant>
        <vt:i4>134</vt:i4>
      </vt:variant>
      <vt:variant>
        <vt:i4>0</vt:i4>
      </vt:variant>
      <vt:variant>
        <vt:i4>5</vt:i4>
      </vt:variant>
      <vt:variant>
        <vt:lpwstr/>
      </vt:variant>
      <vt:variant>
        <vt:lpwstr>_Toc536193696</vt:lpwstr>
      </vt:variant>
      <vt:variant>
        <vt:i4>2031676</vt:i4>
      </vt:variant>
      <vt:variant>
        <vt:i4>128</vt:i4>
      </vt:variant>
      <vt:variant>
        <vt:i4>0</vt:i4>
      </vt:variant>
      <vt:variant>
        <vt:i4>5</vt:i4>
      </vt:variant>
      <vt:variant>
        <vt:lpwstr/>
      </vt:variant>
      <vt:variant>
        <vt:lpwstr>_Toc536193695</vt:lpwstr>
      </vt:variant>
      <vt:variant>
        <vt:i4>2031676</vt:i4>
      </vt:variant>
      <vt:variant>
        <vt:i4>122</vt:i4>
      </vt:variant>
      <vt:variant>
        <vt:i4>0</vt:i4>
      </vt:variant>
      <vt:variant>
        <vt:i4>5</vt:i4>
      </vt:variant>
      <vt:variant>
        <vt:lpwstr/>
      </vt:variant>
      <vt:variant>
        <vt:lpwstr>_Toc536193694</vt:lpwstr>
      </vt:variant>
      <vt:variant>
        <vt:i4>2031676</vt:i4>
      </vt:variant>
      <vt:variant>
        <vt:i4>116</vt:i4>
      </vt:variant>
      <vt:variant>
        <vt:i4>0</vt:i4>
      </vt:variant>
      <vt:variant>
        <vt:i4>5</vt:i4>
      </vt:variant>
      <vt:variant>
        <vt:lpwstr/>
      </vt:variant>
      <vt:variant>
        <vt:lpwstr>_Toc536193693</vt:lpwstr>
      </vt:variant>
      <vt:variant>
        <vt:i4>2031676</vt:i4>
      </vt:variant>
      <vt:variant>
        <vt:i4>110</vt:i4>
      </vt:variant>
      <vt:variant>
        <vt:i4>0</vt:i4>
      </vt:variant>
      <vt:variant>
        <vt:i4>5</vt:i4>
      </vt:variant>
      <vt:variant>
        <vt:lpwstr/>
      </vt:variant>
      <vt:variant>
        <vt:lpwstr>_Toc536193692</vt:lpwstr>
      </vt:variant>
      <vt:variant>
        <vt:i4>2031676</vt:i4>
      </vt:variant>
      <vt:variant>
        <vt:i4>104</vt:i4>
      </vt:variant>
      <vt:variant>
        <vt:i4>0</vt:i4>
      </vt:variant>
      <vt:variant>
        <vt:i4>5</vt:i4>
      </vt:variant>
      <vt:variant>
        <vt:lpwstr/>
      </vt:variant>
      <vt:variant>
        <vt:lpwstr>_Toc536193691</vt:lpwstr>
      </vt:variant>
      <vt:variant>
        <vt:i4>2031676</vt:i4>
      </vt:variant>
      <vt:variant>
        <vt:i4>98</vt:i4>
      </vt:variant>
      <vt:variant>
        <vt:i4>0</vt:i4>
      </vt:variant>
      <vt:variant>
        <vt:i4>5</vt:i4>
      </vt:variant>
      <vt:variant>
        <vt:lpwstr/>
      </vt:variant>
      <vt:variant>
        <vt:lpwstr>_Toc536193690</vt:lpwstr>
      </vt:variant>
      <vt:variant>
        <vt:i4>1966140</vt:i4>
      </vt:variant>
      <vt:variant>
        <vt:i4>92</vt:i4>
      </vt:variant>
      <vt:variant>
        <vt:i4>0</vt:i4>
      </vt:variant>
      <vt:variant>
        <vt:i4>5</vt:i4>
      </vt:variant>
      <vt:variant>
        <vt:lpwstr/>
      </vt:variant>
      <vt:variant>
        <vt:lpwstr>_Toc536193689</vt:lpwstr>
      </vt:variant>
      <vt:variant>
        <vt:i4>1966140</vt:i4>
      </vt:variant>
      <vt:variant>
        <vt:i4>86</vt:i4>
      </vt:variant>
      <vt:variant>
        <vt:i4>0</vt:i4>
      </vt:variant>
      <vt:variant>
        <vt:i4>5</vt:i4>
      </vt:variant>
      <vt:variant>
        <vt:lpwstr/>
      </vt:variant>
      <vt:variant>
        <vt:lpwstr>_Toc536193688</vt:lpwstr>
      </vt:variant>
      <vt:variant>
        <vt:i4>1966140</vt:i4>
      </vt:variant>
      <vt:variant>
        <vt:i4>80</vt:i4>
      </vt:variant>
      <vt:variant>
        <vt:i4>0</vt:i4>
      </vt:variant>
      <vt:variant>
        <vt:i4>5</vt:i4>
      </vt:variant>
      <vt:variant>
        <vt:lpwstr/>
      </vt:variant>
      <vt:variant>
        <vt:lpwstr>_Toc536193687</vt:lpwstr>
      </vt:variant>
      <vt:variant>
        <vt:i4>1966140</vt:i4>
      </vt:variant>
      <vt:variant>
        <vt:i4>74</vt:i4>
      </vt:variant>
      <vt:variant>
        <vt:i4>0</vt:i4>
      </vt:variant>
      <vt:variant>
        <vt:i4>5</vt:i4>
      </vt:variant>
      <vt:variant>
        <vt:lpwstr/>
      </vt:variant>
      <vt:variant>
        <vt:lpwstr>_Toc536193686</vt:lpwstr>
      </vt:variant>
      <vt:variant>
        <vt:i4>1966140</vt:i4>
      </vt:variant>
      <vt:variant>
        <vt:i4>68</vt:i4>
      </vt:variant>
      <vt:variant>
        <vt:i4>0</vt:i4>
      </vt:variant>
      <vt:variant>
        <vt:i4>5</vt:i4>
      </vt:variant>
      <vt:variant>
        <vt:lpwstr/>
      </vt:variant>
      <vt:variant>
        <vt:lpwstr>_Toc536193685</vt:lpwstr>
      </vt:variant>
      <vt:variant>
        <vt:i4>1966140</vt:i4>
      </vt:variant>
      <vt:variant>
        <vt:i4>62</vt:i4>
      </vt:variant>
      <vt:variant>
        <vt:i4>0</vt:i4>
      </vt:variant>
      <vt:variant>
        <vt:i4>5</vt:i4>
      </vt:variant>
      <vt:variant>
        <vt:lpwstr/>
      </vt:variant>
      <vt:variant>
        <vt:lpwstr>_Toc536193684</vt:lpwstr>
      </vt:variant>
      <vt:variant>
        <vt:i4>1966140</vt:i4>
      </vt:variant>
      <vt:variant>
        <vt:i4>56</vt:i4>
      </vt:variant>
      <vt:variant>
        <vt:i4>0</vt:i4>
      </vt:variant>
      <vt:variant>
        <vt:i4>5</vt:i4>
      </vt:variant>
      <vt:variant>
        <vt:lpwstr/>
      </vt:variant>
      <vt:variant>
        <vt:lpwstr>_Toc536193683</vt:lpwstr>
      </vt:variant>
      <vt:variant>
        <vt:i4>1966140</vt:i4>
      </vt:variant>
      <vt:variant>
        <vt:i4>50</vt:i4>
      </vt:variant>
      <vt:variant>
        <vt:i4>0</vt:i4>
      </vt:variant>
      <vt:variant>
        <vt:i4>5</vt:i4>
      </vt:variant>
      <vt:variant>
        <vt:lpwstr/>
      </vt:variant>
      <vt:variant>
        <vt:lpwstr>_Toc536193682</vt:lpwstr>
      </vt:variant>
      <vt:variant>
        <vt:i4>1966140</vt:i4>
      </vt:variant>
      <vt:variant>
        <vt:i4>44</vt:i4>
      </vt:variant>
      <vt:variant>
        <vt:i4>0</vt:i4>
      </vt:variant>
      <vt:variant>
        <vt:i4>5</vt:i4>
      </vt:variant>
      <vt:variant>
        <vt:lpwstr/>
      </vt:variant>
      <vt:variant>
        <vt:lpwstr>_Toc536193681</vt:lpwstr>
      </vt:variant>
      <vt:variant>
        <vt:i4>1966140</vt:i4>
      </vt:variant>
      <vt:variant>
        <vt:i4>38</vt:i4>
      </vt:variant>
      <vt:variant>
        <vt:i4>0</vt:i4>
      </vt:variant>
      <vt:variant>
        <vt:i4>5</vt:i4>
      </vt:variant>
      <vt:variant>
        <vt:lpwstr/>
      </vt:variant>
      <vt:variant>
        <vt:lpwstr>_Toc536193680</vt:lpwstr>
      </vt:variant>
      <vt:variant>
        <vt:i4>1114172</vt:i4>
      </vt:variant>
      <vt:variant>
        <vt:i4>32</vt:i4>
      </vt:variant>
      <vt:variant>
        <vt:i4>0</vt:i4>
      </vt:variant>
      <vt:variant>
        <vt:i4>5</vt:i4>
      </vt:variant>
      <vt:variant>
        <vt:lpwstr/>
      </vt:variant>
      <vt:variant>
        <vt:lpwstr>_Toc536193679</vt:lpwstr>
      </vt:variant>
      <vt:variant>
        <vt:i4>1114172</vt:i4>
      </vt:variant>
      <vt:variant>
        <vt:i4>26</vt:i4>
      </vt:variant>
      <vt:variant>
        <vt:i4>0</vt:i4>
      </vt:variant>
      <vt:variant>
        <vt:i4>5</vt:i4>
      </vt:variant>
      <vt:variant>
        <vt:lpwstr/>
      </vt:variant>
      <vt:variant>
        <vt:lpwstr>_Toc536193678</vt:lpwstr>
      </vt:variant>
      <vt:variant>
        <vt:i4>1114172</vt:i4>
      </vt:variant>
      <vt:variant>
        <vt:i4>20</vt:i4>
      </vt:variant>
      <vt:variant>
        <vt:i4>0</vt:i4>
      </vt:variant>
      <vt:variant>
        <vt:i4>5</vt:i4>
      </vt:variant>
      <vt:variant>
        <vt:lpwstr/>
      </vt:variant>
      <vt:variant>
        <vt:lpwstr>_Toc536193677</vt:lpwstr>
      </vt:variant>
      <vt:variant>
        <vt:i4>1114172</vt:i4>
      </vt:variant>
      <vt:variant>
        <vt:i4>14</vt:i4>
      </vt:variant>
      <vt:variant>
        <vt:i4>0</vt:i4>
      </vt:variant>
      <vt:variant>
        <vt:i4>5</vt:i4>
      </vt:variant>
      <vt:variant>
        <vt:lpwstr/>
      </vt:variant>
      <vt:variant>
        <vt:lpwstr>_Toc536193676</vt:lpwstr>
      </vt:variant>
      <vt:variant>
        <vt:i4>1114172</vt:i4>
      </vt:variant>
      <vt:variant>
        <vt:i4>8</vt:i4>
      </vt:variant>
      <vt:variant>
        <vt:i4>0</vt:i4>
      </vt:variant>
      <vt:variant>
        <vt:i4>5</vt:i4>
      </vt:variant>
      <vt:variant>
        <vt:lpwstr/>
      </vt:variant>
      <vt:variant>
        <vt:lpwstr>_Toc536193675</vt:lpwstr>
      </vt:variant>
      <vt:variant>
        <vt:i4>1114172</vt:i4>
      </vt:variant>
      <vt:variant>
        <vt:i4>2</vt:i4>
      </vt:variant>
      <vt:variant>
        <vt:i4>0</vt:i4>
      </vt:variant>
      <vt:variant>
        <vt:i4>5</vt:i4>
      </vt:variant>
      <vt:variant>
        <vt:lpwstr/>
      </vt:variant>
      <vt:variant>
        <vt:lpwstr>_Toc536193674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Kelly, Kerry (DEQ)</dc:creator>
  <cp:keywords>AQD, air, ROP, Title V, Template Shell</cp:keywords>
  <dc:description>SharePoint Program Category: ROP Related Templates</dc:description>
  <cp:lastModifiedBy>Ciavattone, Deborah (EGLE)</cp:lastModifiedBy>
  <cp:revision>16</cp:revision>
  <cp:lastPrinted>2019-06-06T19:19:00Z</cp:lastPrinted>
  <dcterms:created xsi:type="dcterms:W3CDTF">2019-02-25T15:13:00Z</dcterms:created>
  <dcterms:modified xsi:type="dcterms:W3CDTF">2019-06-06T20:51:00Z</dcterms:modified>
  <cp:category>Permits</cp:category>
</cp:coreProperties>
</file>