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D8ACA" w14:textId="165943A7" w:rsidR="004D476A" w:rsidRPr="00CB64A9" w:rsidRDefault="004D476A" w:rsidP="004D476A">
      <w:pPr>
        <w:suppressLineNumbers/>
        <w:suppressAutoHyphens/>
        <w:spacing w:after="0" w:line="240" w:lineRule="auto"/>
        <w:jc w:val="center"/>
        <w:rPr>
          <w:rFonts w:ascii="Arial" w:eastAsia="Times New Roman" w:hAnsi="Arial" w:cs="Arial"/>
          <w:b/>
          <w:sz w:val="20"/>
          <w:szCs w:val="20"/>
        </w:rPr>
      </w:pPr>
      <w:bookmarkStart w:id="0" w:name="_GoBack"/>
      <w:bookmarkEnd w:id="0"/>
      <w:r w:rsidRPr="00CB64A9">
        <w:rPr>
          <w:rFonts w:ascii="Arial" w:eastAsia="Times New Roman" w:hAnsi="Arial" w:cs="Arial"/>
          <w:b/>
          <w:noProof/>
          <w:sz w:val="20"/>
          <w:szCs w:val="20"/>
        </w:rPr>
        <mc:AlternateContent>
          <mc:Choice Requires="wps">
            <w:drawing>
              <wp:anchor distT="45720" distB="45720" distL="114300" distR="114300" simplePos="0" relativeHeight="251665920" behindDoc="0" locked="1" layoutInCell="1" allowOverlap="1" wp14:anchorId="1728C7D7" wp14:editId="6189E8FE">
                <wp:simplePos x="0" y="0"/>
                <wp:positionH relativeFrom="margin">
                  <wp:posOffset>5161280</wp:posOffset>
                </wp:positionH>
                <wp:positionV relativeFrom="margin">
                  <wp:posOffset>-635</wp:posOffset>
                </wp:positionV>
                <wp:extent cx="778510" cy="269240"/>
                <wp:effectExtent l="0" t="0" r="2540" b="0"/>
                <wp:wrapSquare wrapText="left"/>
                <wp:docPr id="217" name="Text Box 2" descr="Revision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269240"/>
                        </a:xfrm>
                        <a:prstGeom prst="rect">
                          <a:avLst/>
                        </a:prstGeom>
                        <a:solidFill>
                          <a:srgbClr val="FFFFFF"/>
                        </a:solidFill>
                        <a:ln w="9525">
                          <a:noFill/>
                          <a:miter lim="800000"/>
                          <a:headEnd/>
                          <a:tailEnd/>
                        </a:ln>
                      </wps:spPr>
                      <wps:txbx>
                        <w:txbxContent>
                          <w:p w14:paraId="371C23D3" w14:textId="4BFC5D18" w:rsidR="004D476A" w:rsidRPr="004D476A" w:rsidRDefault="004D476A" w:rsidP="004D476A">
                            <w:pPr>
                              <w:jc w:val="right"/>
                              <w:rPr>
                                <w:rFonts w:ascii="Arial" w:hAnsi="Arial" w:cs="Arial"/>
                                <w:sz w:val="20"/>
                                <w:szCs w:val="20"/>
                              </w:rPr>
                            </w:pPr>
                            <w:r w:rsidRPr="004D476A">
                              <w:rPr>
                                <w:rFonts w:ascii="Arial" w:hAnsi="Arial" w:cs="Arial"/>
                                <w:sz w:val="20"/>
                                <w:szCs w:val="20"/>
                              </w:rPr>
                              <w:t>4/22/2019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28C7D7" id="_x0000_t202" coordsize="21600,21600" o:spt="202" path="m,l,21600r21600,l21600,xe">
                <v:stroke joinstyle="miter"/>
                <v:path gradientshapeok="t" o:connecttype="rect"/>
              </v:shapetype>
              <v:shape id="Text Box 2" o:spid="_x0000_s1026" type="#_x0000_t202" alt="Revision Date" style="position:absolute;left:0;text-align:left;margin-left:406.4pt;margin-top:-.05pt;width:61.3pt;height:21.2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" stroked="f">
                <v:textbox>
                  <w:txbxContent>
                    <w:p w14:paraId="371C23D3" w14:textId="4BFC5D18" w:rsidR="004D476A" w:rsidRPr="004D476A" w:rsidRDefault="004D476A" w:rsidP="004D476A">
                      <w:pPr>
                        <w:jc w:val="right"/>
                        <w:rPr>
                          <w:rFonts w:ascii="Arial" w:hAnsi="Arial" w:cs="Arial"/>
                          <w:sz w:val="20"/>
                          <w:szCs w:val="20"/>
                        </w:rPr>
                      </w:pPr>
                      <w:r w:rsidRPr="004D476A">
                        <w:rPr>
                          <w:rFonts w:ascii="Arial" w:hAnsi="Arial" w:cs="Arial"/>
                          <w:sz w:val="20"/>
                          <w:szCs w:val="20"/>
                        </w:rPr>
                        <w:t>4/22/2019</w:t>
                      </w:r>
                    </w:p>
                  </w:txbxContent>
                </v:textbox>
                <w10:wrap type="square" side="left" anchorx="margin" anchory="margin"/>
                <w10:anchorlock/>
              </v:shape>
            </w:pict>
          </mc:Fallback>
        </mc:AlternateContent>
      </w:r>
      <w:r w:rsidRPr="00CB64A9">
        <w:rPr>
          <w:rFonts w:ascii="Arial" w:eastAsia="Times New Roman" w:hAnsi="Arial" w:cs="Arial"/>
          <w:b/>
          <w:sz w:val="20"/>
          <w:szCs w:val="20"/>
        </w:rPr>
        <w:t>Michigan Department of Environment, Great Lakes, and Energy</w:t>
      </w:r>
    </w:p>
    <w:p w14:paraId="6B8EFF25" w14:textId="16D3D2FD" w:rsidR="004D476A" w:rsidRPr="00CB64A9" w:rsidRDefault="004D476A" w:rsidP="004D476A">
      <w:pPr>
        <w:suppressLineNumbers/>
        <w:suppressAutoHyphens/>
        <w:spacing w:after="0" w:line="240" w:lineRule="auto"/>
        <w:jc w:val="center"/>
        <w:rPr>
          <w:rFonts w:ascii="Arial" w:hAnsi="Arial" w:cs="Arial"/>
          <w:b/>
          <w:sz w:val="20"/>
          <w:szCs w:val="20"/>
        </w:rPr>
      </w:pPr>
      <w:r w:rsidRPr="00CB64A9">
        <w:rPr>
          <w:rFonts w:ascii="Arial" w:eastAsia="Times New Roman" w:hAnsi="Arial" w:cs="Arial"/>
          <w:b/>
          <w:sz w:val="20"/>
          <w:szCs w:val="20"/>
        </w:rPr>
        <w:t>Air Quality Division</w:t>
      </w:r>
      <w:r w:rsidRPr="00CB64A9">
        <w:rPr>
          <w:rFonts w:ascii="Arial" w:hAnsi="Arial" w:cs="Arial"/>
          <w:b/>
          <w:noProof/>
          <w:sz w:val="20"/>
          <w:szCs w:val="20"/>
        </w:rPr>
        <w:drawing>
          <wp:anchor distT="0" distB="0" distL="114300" distR="114300" simplePos="0" relativeHeight="251659776" behindDoc="0" locked="0" layoutInCell="1" allowOverlap="1" wp14:anchorId="028E62FB" wp14:editId="1BCC4B7E">
            <wp:simplePos x="0" y="0"/>
            <wp:positionH relativeFrom="margin">
              <wp:align>left</wp:align>
            </wp:positionH>
            <wp:positionV relativeFrom="margin">
              <wp:align>top</wp:align>
            </wp:positionV>
            <wp:extent cx="457200" cy="137160"/>
            <wp:effectExtent l="0" t="0" r="0" b="0"/>
            <wp:wrapSquare wrapText="right"/>
            <wp:docPr id="3" name="Picture 3" descr="EG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EGLE_Logo_Mark_Color-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 cy="137160"/>
                    </a:xfrm>
                    <a:prstGeom prst="rect">
                      <a:avLst/>
                    </a:prstGeom>
                  </pic:spPr>
                </pic:pic>
              </a:graphicData>
            </a:graphic>
            <wp14:sizeRelH relativeFrom="page">
              <wp14:pctWidth>0</wp14:pctWidth>
            </wp14:sizeRelH>
            <wp14:sizeRelV relativeFrom="page">
              <wp14:pctHeight>0</wp14:pctHeight>
            </wp14:sizeRelV>
          </wp:anchor>
        </w:drawing>
      </w:r>
    </w:p>
    <w:p w14:paraId="512CD720" w14:textId="77777777" w:rsidR="004D476A" w:rsidRPr="004D476A" w:rsidRDefault="004D476A" w:rsidP="004D476A">
      <w:pPr>
        <w:suppressLineNumbers/>
        <w:suppressAutoHyphens/>
        <w:spacing w:after="0" w:line="240" w:lineRule="auto"/>
        <w:jc w:val="center"/>
        <w:rPr>
          <w:rFonts w:ascii="Arial" w:eastAsia="Times New Roman" w:hAnsi="Arial" w:cs="Arial"/>
          <w:b/>
        </w:rPr>
      </w:pPr>
    </w:p>
    <w:p w14:paraId="28D624DE" w14:textId="7B8FA7FF" w:rsidR="00DD2794" w:rsidRPr="004D476A" w:rsidRDefault="004D476A" w:rsidP="004D476A">
      <w:pPr>
        <w:pStyle w:val="Heading1"/>
      </w:pPr>
      <w:r w:rsidRPr="004D476A">
        <w:t>KEY TO WEEKLY ROP STATISTICS</w:t>
      </w:r>
    </w:p>
    <w:p w14:paraId="3A511112" w14:textId="77777777" w:rsidR="00953450" w:rsidRPr="004D476A" w:rsidRDefault="00953450" w:rsidP="004D476A">
      <w:pPr>
        <w:suppressLineNumbers/>
        <w:suppressAutoHyphens/>
        <w:spacing w:after="0" w:line="240" w:lineRule="auto"/>
        <w:rPr>
          <w:rFonts w:ascii="Arial" w:hAnsi="Arial" w:cs="Arial"/>
        </w:rPr>
      </w:pPr>
    </w:p>
    <w:p w14:paraId="5308B0C3" w14:textId="77777777" w:rsidR="00F37DC0" w:rsidRPr="004D476A" w:rsidRDefault="00F37DC0" w:rsidP="004D476A">
      <w:pPr>
        <w:suppressLineNumbers/>
        <w:suppressAutoHyphens/>
        <w:spacing w:after="0" w:line="240" w:lineRule="auto"/>
        <w:rPr>
          <w:rFonts w:ascii="Arial" w:hAnsi="Arial" w:cs="Arial"/>
        </w:rPr>
      </w:pPr>
      <w:r w:rsidRPr="004D476A">
        <w:rPr>
          <w:rFonts w:ascii="Arial" w:hAnsi="Arial" w:cs="Arial"/>
        </w:rPr>
        <w:t xml:space="preserve">The data represented in the weekly report is for all </w:t>
      </w:r>
      <w:hyperlink r:id="rId5" w:tgtFrame="_blank" w:history="1">
        <w:r w:rsidRPr="004D476A">
          <w:rPr>
            <w:rStyle w:val="Hyperlink"/>
            <w:rFonts w:ascii="Arial" w:hAnsi="Arial" w:cs="Arial"/>
          </w:rPr>
          <w:t>Renewable Operating Permit</w:t>
        </w:r>
      </w:hyperlink>
      <w:r w:rsidRPr="004D476A">
        <w:rPr>
          <w:rFonts w:ascii="Arial" w:hAnsi="Arial" w:cs="Arial"/>
        </w:rPr>
        <w:t xml:space="preserve"> </w:t>
      </w:r>
      <w:r w:rsidR="00E5255C" w:rsidRPr="004D476A">
        <w:rPr>
          <w:rFonts w:ascii="Arial" w:hAnsi="Arial" w:cs="Arial"/>
        </w:rPr>
        <w:t xml:space="preserve">(ROP) </w:t>
      </w:r>
      <w:r w:rsidRPr="004D476A">
        <w:rPr>
          <w:rFonts w:ascii="Arial" w:hAnsi="Arial" w:cs="Arial"/>
        </w:rPr>
        <w:t>applications (those required under Title V of the Clean Air Act) processed by the State of Michigan.  The spreadsheet includes all source applications including those that are active and those that have been voided.  Some data elements may not be populated due to database limitations and/or data entry business requirements.  In addition, the information contained in the spreadsheet may or may not be quality assured.</w:t>
      </w:r>
    </w:p>
    <w:p w14:paraId="0F71FEC9" w14:textId="77777777" w:rsidR="00E5255C" w:rsidRPr="004D476A" w:rsidRDefault="00E5255C" w:rsidP="004D476A">
      <w:pPr>
        <w:suppressLineNumbers/>
        <w:suppressAutoHyphens/>
        <w:spacing w:after="0" w:line="240" w:lineRule="auto"/>
        <w:rPr>
          <w:rFonts w:ascii="Arial" w:hAnsi="Arial" w:cs="Arial"/>
        </w:rPr>
      </w:pPr>
    </w:p>
    <w:p w14:paraId="2348259C" w14:textId="77777777" w:rsidR="00F37DC0" w:rsidRPr="004D476A" w:rsidRDefault="00F37DC0" w:rsidP="004D476A">
      <w:pPr>
        <w:suppressLineNumbers/>
        <w:suppressAutoHyphens/>
        <w:spacing w:after="0" w:line="240" w:lineRule="auto"/>
        <w:rPr>
          <w:rFonts w:ascii="Arial" w:hAnsi="Arial" w:cs="Arial"/>
        </w:rPr>
      </w:pPr>
      <w:r w:rsidRPr="004D476A">
        <w:rPr>
          <w:rFonts w:ascii="Arial" w:hAnsi="Arial" w:cs="Arial"/>
        </w:rPr>
        <w:t xml:space="preserve">Specific permit information can also be found at </w:t>
      </w:r>
      <w:r w:rsidR="0072166B" w:rsidRPr="004D476A">
        <w:rPr>
          <w:rFonts w:ascii="Arial" w:hAnsi="Arial" w:cs="Arial"/>
        </w:rPr>
        <w:t xml:space="preserve">the Title V Renewable Operating Permit (ROP) </w:t>
      </w:r>
      <w:hyperlink r:id="rId6" w:history="1">
        <w:r w:rsidR="0072166B" w:rsidRPr="004D476A">
          <w:rPr>
            <w:rStyle w:val="Hyperlink"/>
            <w:rFonts w:ascii="Arial" w:hAnsi="Arial" w:cs="Arial"/>
          </w:rPr>
          <w:t>Public Notice Documents list</w:t>
        </w:r>
      </w:hyperlink>
      <w:r w:rsidR="0072166B" w:rsidRPr="004D476A">
        <w:rPr>
          <w:rFonts w:ascii="Arial" w:hAnsi="Arial" w:cs="Arial"/>
        </w:rPr>
        <w:t>.</w:t>
      </w:r>
    </w:p>
    <w:p w14:paraId="21D79B2E" w14:textId="77777777" w:rsidR="00F37DC0" w:rsidRPr="004D476A" w:rsidRDefault="00F37DC0" w:rsidP="004D476A">
      <w:pPr>
        <w:suppressLineNumbers/>
        <w:suppressAutoHyphens/>
        <w:spacing w:after="0" w:line="240" w:lineRule="auto"/>
        <w:rPr>
          <w:rFonts w:ascii="Arial" w:hAnsi="Arial" w:cs="Arial"/>
          <w:b/>
        </w:rPr>
      </w:pPr>
    </w:p>
    <w:p w14:paraId="6768EE74" w14:textId="77777777" w:rsidR="00F37DC0" w:rsidRPr="004D476A" w:rsidRDefault="00E5255C" w:rsidP="004D476A">
      <w:pPr>
        <w:suppressLineNumbers/>
        <w:suppressAutoHyphens/>
        <w:spacing w:after="0" w:line="240" w:lineRule="auto"/>
        <w:rPr>
          <w:rFonts w:ascii="Arial" w:hAnsi="Arial" w:cs="Arial"/>
          <w:b/>
        </w:rPr>
      </w:pPr>
      <w:r w:rsidRPr="004D476A">
        <w:rPr>
          <w:rFonts w:ascii="Arial" w:hAnsi="Arial" w:cs="Arial"/>
          <w:b/>
        </w:rPr>
        <w:t>Abbreviations</w:t>
      </w:r>
    </w:p>
    <w:p w14:paraId="3F90C191" w14:textId="77777777" w:rsidR="00F37DC0" w:rsidRPr="004D476A" w:rsidRDefault="00F37DC0" w:rsidP="004D476A">
      <w:pPr>
        <w:suppressLineNumbers/>
        <w:suppressAutoHyphens/>
        <w:spacing w:after="0" w:line="240" w:lineRule="auto"/>
        <w:rPr>
          <w:rFonts w:ascii="Arial" w:hAnsi="Arial" w:cs="Arial"/>
          <w:b/>
        </w:rPr>
      </w:pPr>
    </w:p>
    <w:p w14:paraId="2F5EA0F5" w14:textId="77777777" w:rsidR="00F37DC0" w:rsidRPr="004D476A" w:rsidRDefault="00F37DC0" w:rsidP="004D476A">
      <w:pPr>
        <w:suppressLineNumbers/>
        <w:suppressAutoHyphens/>
        <w:spacing w:after="0" w:line="240" w:lineRule="auto"/>
        <w:rPr>
          <w:rFonts w:ascii="Arial" w:hAnsi="Arial" w:cs="Arial"/>
        </w:rPr>
      </w:pPr>
      <w:r w:rsidRPr="004D476A">
        <w:rPr>
          <w:rFonts w:ascii="Arial" w:hAnsi="Arial" w:cs="Arial"/>
        </w:rPr>
        <w:t>AA1</w:t>
      </w:r>
      <w:r w:rsidRPr="004D476A">
        <w:rPr>
          <w:rFonts w:ascii="Arial" w:hAnsi="Arial" w:cs="Arial"/>
        </w:rPr>
        <w:tab/>
        <w:t>Administrative Amendment (Rule 336.1216(1)(a)(i)-(iv))</w:t>
      </w:r>
    </w:p>
    <w:p w14:paraId="5C51A334" w14:textId="77777777" w:rsidR="00F37DC0" w:rsidRPr="004D476A" w:rsidRDefault="00F37DC0" w:rsidP="004D476A">
      <w:pPr>
        <w:suppressLineNumbers/>
        <w:suppressAutoHyphens/>
        <w:spacing w:after="0" w:line="240" w:lineRule="auto"/>
        <w:rPr>
          <w:rFonts w:ascii="Arial" w:hAnsi="Arial" w:cs="Arial"/>
        </w:rPr>
      </w:pPr>
      <w:r w:rsidRPr="004D476A">
        <w:rPr>
          <w:rFonts w:ascii="Arial" w:hAnsi="Arial" w:cs="Arial"/>
        </w:rPr>
        <w:t>AA5</w:t>
      </w:r>
      <w:r w:rsidRPr="004D476A">
        <w:rPr>
          <w:rFonts w:ascii="Arial" w:hAnsi="Arial" w:cs="Arial"/>
        </w:rPr>
        <w:tab/>
        <w:t>Administrative Amendment (Rule 336.1216(1)(a)(v))</w:t>
      </w:r>
    </w:p>
    <w:p w14:paraId="42EEF7AE" w14:textId="77777777" w:rsidR="00F37DC0" w:rsidRPr="004D476A" w:rsidRDefault="00F37DC0" w:rsidP="004D476A">
      <w:pPr>
        <w:suppressLineNumbers/>
        <w:suppressAutoHyphens/>
        <w:spacing w:after="0" w:line="240" w:lineRule="auto"/>
        <w:rPr>
          <w:rFonts w:ascii="Arial" w:hAnsi="Arial" w:cs="Arial"/>
        </w:rPr>
      </w:pPr>
      <w:r w:rsidRPr="004D476A">
        <w:rPr>
          <w:rFonts w:ascii="Arial" w:hAnsi="Arial" w:cs="Arial"/>
        </w:rPr>
        <w:t>INI</w:t>
      </w:r>
      <w:r w:rsidRPr="004D476A">
        <w:rPr>
          <w:rFonts w:ascii="Arial" w:hAnsi="Arial" w:cs="Arial"/>
        </w:rPr>
        <w:tab/>
        <w:t>Initial Application</w:t>
      </w:r>
    </w:p>
    <w:p w14:paraId="64A0965D" w14:textId="77777777" w:rsidR="00F37DC0" w:rsidRPr="004D476A" w:rsidRDefault="00F37DC0" w:rsidP="004D476A">
      <w:pPr>
        <w:suppressLineNumbers/>
        <w:suppressAutoHyphens/>
        <w:spacing w:after="0" w:line="240" w:lineRule="auto"/>
        <w:rPr>
          <w:rFonts w:ascii="Arial" w:hAnsi="Arial" w:cs="Arial"/>
        </w:rPr>
      </w:pPr>
      <w:r w:rsidRPr="004D476A">
        <w:rPr>
          <w:rFonts w:ascii="Arial" w:hAnsi="Arial" w:cs="Arial"/>
        </w:rPr>
        <w:t>MM</w:t>
      </w:r>
      <w:r w:rsidRPr="004D476A">
        <w:rPr>
          <w:rFonts w:ascii="Arial" w:hAnsi="Arial" w:cs="Arial"/>
        </w:rPr>
        <w:tab/>
        <w:t>Minor Modification (Rule 336.1216(2))</w:t>
      </w:r>
    </w:p>
    <w:p w14:paraId="7FB56AE9" w14:textId="77777777" w:rsidR="00F37DC0" w:rsidRPr="004D476A" w:rsidRDefault="00F37DC0" w:rsidP="004D476A">
      <w:pPr>
        <w:suppressLineNumbers/>
        <w:suppressAutoHyphens/>
        <w:spacing w:after="0" w:line="240" w:lineRule="auto"/>
        <w:rPr>
          <w:rFonts w:ascii="Arial" w:hAnsi="Arial" w:cs="Arial"/>
        </w:rPr>
      </w:pPr>
      <w:r w:rsidRPr="004D476A">
        <w:rPr>
          <w:rFonts w:ascii="Arial" w:hAnsi="Arial" w:cs="Arial"/>
        </w:rPr>
        <w:t>NOC</w:t>
      </w:r>
      <w:r w:rsidRPr="004D476A">
        <w:rPr>
          <w:rFonts w:ascii="Arial" w:hAnsi="Arial" w:cs="Arial"/>
        </w:rPr>
        <w:tab/>
        <w:t>Notice of Change</w:t>
      </w:r>
    </w:p>
    <w:p w14:paraId="6DD379E2" w14:textId="77777777" w:rsidR="00F37DC0" w:rsidRPr="004D476A" w:rsidRDefault="00F37DC0" w:rsidP="004D476A">
      <w:pPr>
        <w:suppressLineNumbers/>
        <w:suppressAutoHyphens/>
        <w:spacing w:after="0" w:line="240" w:lineRule="auto"/>
        <w:rPr>
          <w:rFonts w:ascii="Arial" w:hAnsi="Arial" w:cs="Arial"/>
        </w:rPr>
      </w:pPr>
      <w:r w:rsidRPr="004D476A">
        <w:rPr>
          <w:rFonts w:ascii="Arial" w:hAnsi="Arial" w:cs="Arial"/>
        </w:rPr>
        <w:t>REN</w:t>
      </w:r>
      <w:r w:rsidRPr="004D476A">
        <w:rPr>
          <w:rFonts w:ascii="Arial" w:hAnsi="Arial" w:cs="Arial"/>
        </w:rPr>
        <w:tab/>
        <w:t>Renewal Application</w:t>
      </w:r>
    </w:p>
    <w:p w14:paraId="64F7BC13" w14:textId="77777777" w:rsidR="00F37DC0" w:rsidRPr="004D476A" w:rsidRDefault="00F37DC0" w:rsidP="004D476A">
      <w:pPr>
        <w:suppressLineNumbers/>
        <w:suppressAutoHyphens/>
        <w:spacing w:after="0" w:line="240" w:lineRule="auto"/>
        <w:rPr>
          <w:rFonts w:ascii="Arial" w:hAnsi="Arial" w:cs="Arial"/>
        </w:rPr>
      </w:pPr>
      <w:r w:rsidRPr="004D476A">
        <w:rPr>
          <w:rFonts w:ascii="Arial" w:hAnsi="Arial" w:cs="Arial"/>
        </w:rPr>
        <w:t>REO</w:t>
      </w:r>
      <w:r w:rsidRPr="004D476A">
        <w:rPr>
          <w:rFonts w:ascii="Arial" w:hAnsi="Arial" w:cs="Arial"/>
        </w:rPr>
        <w:tab/>
        <w:t>Reopening</w:t>
      </w:r>
    </w:p>
    <w:p w14:paraId="0EF7112D" w14:textId="77777777" w:rsidR="00F37DC0" w:rsidRPr="004D476A" w:rsidRDefault="00F37DC0" w:rsidP="004D476A">
      <w:pPr>
        <w:suppressLineNumbers/>
        <w:suppressAutoHyphens/>
        <w:spacing w:after="0" w:line="240" w:lineRule="auto"/>
        <w:rPr>
          <w:rFonts w:ascii="Arial" w:hAnsi="Arial" w:cs="Arial"/>
        </w:rPr>
      </w:pPr>
      <w:r w:rsidRPr="004D476A">
        <w:rPr>
          <w:rFonts w:ascii="Arial" w:hAnsi="Arial" w:cs="Arial"/>
        </w:rPr>
        <w:t>SM</w:t>
      </w:r>
      <w:r w:rsidRPr="004D476A">
        <w:rPr>
          <w:rFonts w:ascii="Arial" w:hAnsi="Arial" w:cs="Arial"/>
        </w:rPr>
        <w:tab/>
        <w:t>Significant Modification (Rule 336.1216(3))</w:t>
      </w:r>
    </w:p>
    <w:p w14:paraId="375AB0E2" w14:textId="77777777" w:rsidR="00F37DC0" w:rsidRPr="004D476A" w:rsidRDefault="00F37DC0" w:rsidP="004D476A">
      <w:pPr>
        <w:suppressLineNumbers/>
        <w:suppressAutoHyphens/>
        <w:spacing w:after="0" w:line="240" w:lineRule="auto"/>
        <w:rPr>
          <w:rFonts w:ascii="Arial" w:hAnsi="Arial" w:cs="Arial"/>
        </w:rPr>
      </w:pPr>
      <w:r w:rsidRPr="004D476A">
        <w:rPr>
          <w:rFonts w:ascii="Arial" w:hAnsi="Arial" w:cs="Arial"/>
        </w:rPr>
        <w:t>SOM</w:t>
      </w:r>
      <w:r w:rsidRPr="004D476A">
        <w:rPr>
          <w:rFonts w:ascii="Arial" w:hAnsi="Arial" w:cs="Arial"/>
        </w:rPr>
        <w:tab/>
        <w:t>State-Only Modification (Rule 336.1216(4))</w:t>
      </w:r>
    </w:p>
    <w:p w14:paraId="2D409728" w14:textId="77777777" w:rsidR="00F37DC0" w:rsidRPr="004D476A" w:rsidRDefault="00F37DC0" w:rsidP="004D476A">
      <w:pPr>
        <w:suppressLineNumbers/>
        <w:suppressAutoHyphens/>
        <w:spacing w:after="0" w:line="240" w:lineRule="auto"/>
        <w:rPr>
          <w:rFonts w:ascii="Arial" w:hAnsi="Arial" w:cs="Arial"/>
        </w:rPr>
      </w:pPr>
    </w:p>
    <w:p w14:paraId="21F3B732" w14:textId="77777777" w:rsidR="00E5255C" w:rsidRPr="004D476A" w:rsidRDefault="00F37DC0" w:rsidP="004D476A">
      <w:pPr>
        <w:suppressLineNumbers/>
        <w:suppressAutoHyphens/>
        <w:spacing w:after="0" w:line="240" w:lineRule="auto"/>
        <w:rPr>
          <w:rFonts w:ascii="Arial" w:hAnsi="Arial" w:cs="Arial"/>
        </w:rPr>
      </w:pPr>
      <w:r w:rsidRPr="004D476A">
        <w:rPr>
          <w:rFonts w:ascii="Arial" w:hAnsi="Arial" w:cs="Arial"/>
        </w:rPr>
        <w:t>For more information regarding modifications (Rule 336.1216(1) – (4)) can be found on</w:t>
      </w:r>
      <w:r w:rsidR="00E5255C" w:rsidRPr="004D476A">
        <w:rPr>
          <w:rFonts w:ascii="Arial" w:hAnsi="Arial" w:cs="Arial"/>
        </w:rPr>
        <w:t>-</w:t>
      </w:r>
      <w:r w:rsidRPr="004D476A">
        <w:rPr>
          <w:rFonts w:ascii="Arial" w:hAnsi="Arial" w:cs="Arial"/>
        </w:rPr>
        <w:t xml:space="preserve">line </w:t>
      </w:r>
      <w:r w:rsidR="008957E3" w:rsidRPr="004D476A">
        <w:rPr>
          <w:rFonts w:ascii="Arial" w:hAnsi="Arial" w:cs="Arial"/>
        </w:rPr>
        <w:t>on our workbook entitled “</w:t>
      </w:r>
      <w:hyperlink r:id="rId7" w:history="1">
        <w:r w:rsidR="008957E3" w:rsidRPr="004D476A">
          <w:rPr>
            <w:rStyle w:val="Hyperlink"/>
            <w:rFonts w:ascii="Arial" w:hAnsi="Arial" w:cs="Arial"/>
          </w:rPr>
          <w:t>Life After ROP</w:t>
        </w:r>
      </w:hyperlink>
      <w:r w:rsidR="008957E3" w:rsidRPr="004D476A">
        <w:rPr>
          <w:rFonts w:ascii="Arial" w:hAnsi="Arial" w:cs="Arial"/>
        </w:rPr>
        <w:t>.”</w:t>
      </w:r>
    </w:p>
    <w:p w14:paraId="1DC7AE97" w14:textId="77777777" w:rsidR="00E5255C" w:rsidRPr="004D476A" w:rsidRDefault="00E5255C" w:rsidP="004D476A">
      <w:pPr>
        <w:suppressLineNumbers/>
        <w:suppressAutoHyphens/>
        <w:spacing w:after="0" w:line="240" w:lineRule="auto"/>
        <w:rPr>
          <w:rFonts w:ascii="Arial" w:hAnsi="Arial" w:cs="Arial"/>
        </w:rPr>
      </w:pPr>
    </w:p>
    <w:sectPr w:rsidR="00E5255C" w:rsidRPr="004D476A" w:rsidSect="008C52BD">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104"/>
    <w:rsid w:val="001B7A99"/>
    <w:rsid w:val="002D6495"/>
    <w:rsid w:val="004D476A"/>
    <w:rsid w:val="005D6104"/>
    <w:rsid w:val="006A06FD"/>
    <w:rsid w:val="0072166B"/>
    <w:rsid w:val="0085631C"/>
    <w:rsid w:val="008957E3"/>
    <w:rsid w:val="008C52BD"/>
    <w:rsid w:val="00953450"/>
    <w:rsid w:val="009A5C6B"/>
    <w:rsid w:val="00A90A98"/>
    <w:rsid w:val="00B34CC2"/>
    <w:rsid w:val="00CB64A9"/>
    <w:rsid w:val="00D51C9E"/>
    <w:rsid w:val="00DD2794"/>
    <w:rsid w:val="00E5255C"/>
    <w:rsid w:val="00E56857"/>
    <w:rsid w:val="00F3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FE013"/>
  <w15:docId w15:val="{02D000A7-6512-4C85-AA2D-D2DAEF73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D476A"/>
    <w:pPr>
      <w:suppressLineNumbers/>
      <w:suppressAutoHyphens/>
      <w:spacing w:after="0" w:line="240" w:lineRule="auto"/>
      <w:jc w:val="center"/>
      <w:outlineLvl w:val="0"/>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7DC0"/>
    <w:rPr>
      <w:color w:val="0000FF"/>
      <w:u w:val="single"/>
    </w:rPr>
  </w:style>
  <w:style w:type="paragraph" w:styleId="BalloonText">
    <w:name w:val="Balloon Text"/>
    <w:basedOn w:val="Normal"/>
    <w:link w:val="BalloonTextChar"/>
    <w:uiPriority w:val="99"/>
    <w:semiHidden/>
    <w:unhideWhenUsed/>
    <w:rsid w:val="00E5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857"/>
    <w:rPr>
      <w:rFonts w:ascii="Segoe UI" w:hAnsi="Segoe UI" w:cs="Segoe UI"/>
      <w:sz w:val="18"/>
      <w:szCs w:val="18"/>
    </w:rPr>
  </w:style>
  <w:style w:type="character" w:customStyle="1" w:styleId="Heading1Char">
    <w:name w:val="Heading 1 Char"/>
    <w:basedOn w:val="DefaultParagraphFont"/>
    <w:link w:val="Heading1"/>
    <w:uiPriority w:val="9"/>
    <w:rsid w:val="004D476A"/>
    <w:rPr>
      <w:rFonts w:ascii="Arial" w:eastAsia="Times New Roman"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chigan.gov/documents/deq/deq-ead-caap-rop-LifeAfterROPWorkbook_312634_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q.state.mi.us/aps/downloads/rop/pub_ntce/ROP_Public_Notice.pdf" TargetMode="External"/><Relationship Id="rId5" Type="http://schemas.openxmlformats.org/officeDocument/2006/relationships/hyperlink" Target="http://www.michigan.gov/deq/0,4561,7-135-3310_70487_6975-389493--,00.htm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Key to Weekly Renewable Operating Permit Statistics</vt:lpstr>
    </vt:vector>
  </TitlesOfParts>
  <Manager>Christopher Ethridge</Manager>
  <Company>EGLE Air Quality Division</Company>
  <LinksUpToDate>false</LinksUpToDate>
  <CharactersWithSpaces>1524</CharactersWithSpaces>
  <SharedDoc>false</SharedDoc>
  <HLinks>
    <vt:vector size="12" baseType="variant">
      <vt:variant>
        <vt:i4>2818172</vt:i4>
      </vt:variant>
      <vt:variant>
        <vt:i4>6</vt:i4>
      </vt:variant>
      <vt:variant>
        <vt:i4>0</vt:i4>
      </vt:variant>
      <vt:variant>
        <vt:i4>5</vt:i4>
      </vt:variant>
      <vt:variant>
        <vt:lpwstr>http://www.deq.state.mi.us/aps/downloads/rop/LifeAfterROP/life_after_rop.shtml</vt:lpwstr>
      </vt:variant>
      <vt:variant>
        <vt:lpwstr/>
      </vt:variant>
      <vt:variant>
        <vt:i4>3735629</vt:i4>
      </vt:variant>
      <vt:variant>
        <vt:i4>3</vt:i4>
      </vt:variant>
      <vt:variant>
        <vt:i4>0</vt:i4>
      </vt:variant>
      <vt:variant>
        <vt:i4>5</vt:i4>
      </vt:variant>
      <vt:variant>
        <vt:lpwstr>http://www.deq.state.mi.us/aps/downloads/rop/pub_ntce/pub_ntce_shortcut.shtml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to Weekly Renewable Operating Permit Statistics</dc:title>
  <dc:subject>Key to Weekly Renewable Operating Permit Statistics</dc:subject>
  <dc:creator>Kelly Orent, Field Operations</dc:creator>
  <cp:keywords>AQD, air, permits, ROP, Title V, renewable, operating, statistics</cp:keywords>
  <cp:lastModifiedBy>Serrano, Greg (EGLE)</cp:lastModifiedBy>
  <cp:revision>15</cp:revision>
  <dcterms:created xsi:type="dcterms:W3CDTF">2017-03-07T14:30:00Z</dcterms:created>
  <dcterms:modified xsi:type="dcterms:W3CDTF">2019-05-13T11:59:00Z</dcterms:modified>
  <cp:category>permits</cp:category>
</cp:coreProperties>
</file>