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51FA3" w14:textId="7B07C768"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22F2A2C" w14:textId="77777777" w:rsidTr="00240431">
        <w:tc>
          <w:tcPr>
            <w:tcW w:w="2250" w:type="dxa"/>
          </w:tcPr>
          <w:p w14:paraId="6E4BABFE" w14:textId="77777777" w:rsidR="00AA0D6E" w:rsidRDefault="00AA0D6E" w:rsidP="00AA0D6E">
            <w:pPr>
              <w:jc w:val="center"/>
              <w:rPr>
                <w:rFonts w:ascii="Arial" w:hAnsi="Arial"/>
                <w:sz w:val="16"/>
              </w:rPr>
            </w:pPr>
          </w:p>
        </w:tc>
        <w:tc>
          <w:tcPr>
            <w:tcW w:w="5670" w:type="dxa"/>
          </w:tcPr>
          <w:p w14:paraId="6812322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D1BA86A" w14:textId="77777777" w:rsidR="00AA0D6E" w:rsidRDefault="00AA0D6E" w:rsidP="00AA0D6E">
            <w:pPr>
              <w:jc w:val="center"/>
              <w:rPr>
                <w:rFonts w:ascii="Arial" w:hAnsi="Arial"/>
                <w:sz w:val="16"/>
              </w:rPr>
            </w:pPr>
            <w:r>
              <w:rPr>
                <w:rFonts w:ascii="Arial" w:hAnsi="Arial"/>
              </w:rPr>
              <w:t>Air Quality Division</w:t>
            </w:r>
          </w:p>
        </w:tc>
        <w:tc>
          <w:tcPr>
            <w:tcW w:w="2430" w:type="dxa"/>
          </w:tcPr>
          <w:p w14:paraId="4918A999" w14:textId="77777777" w:rsidR="00AA0D6E" w:rsidRDefault="00AA0D6E" w:rsidP="00AA0D6E">
            <w:pPr>
              <w:jc w:val="center"/>
              <w:rPr>
                <w:rFonts w:ascii="Arial" w:hAnsi="Arial"/>
                <w:b/>
                <w:sz w:val="24"/>
              </w:rPr>
            </w:pPr>
          </w:p>
        </w:tc>
      </w:tr>
      <w:tr w:rsidR="00AA0D6E" w14:paraId="5060A9AB" w14:textId="77777777" w:rsidTr="00240431">
        <w:trPr>
          <w:cantSplit/>
          <w:trHeight w:val="146"/>
        </w:trPr>
        <w:tc>
          <w:tcPr>
            <w:tcW w:w="2250" w:type="dxa"/>
          </w:tcPr>
          <w:p w14:paraId="7671C0C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4FDC0F4"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5E013B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E402951" w14:textId="77777777" w:rsidTr="00240431">
        <w:trPr>
          <w:cantSplit/>
          <w:trHeight w:val="145"/>
        </w:trPr>
        <w:tc>
          <w:tcPr>
            <w:tcW w:w="2250" w:type="dxa"/>
          </w:tcPr>
          <w:p w14:paraId="2759F7B0" w14:textId="67660EF4" w:rsidR="00AA0D6E" w:rsidRPr="00910FEA" w:rsidRDefault="00FE0545" w:rsidP="00AA0D6E">
            <w:pPr>
              <w:pStyle w:val="Header"/>
              <w:jc w:val="center"/>
              <w:rPr>
                <w:rFonts w:ascii="Arial" w:hAnsi="Arial"/>
                <w:sz w:val="22"/>
                <w:szCs w:val="22"/>
              </w:rPr>
            </w:pPr>
            <w:bookmarkStart w:id="0" w:name="SRN"/>
            <w:r>
              <w:rPr>
                <w:rFonts w:ascii="Arial" w:hAnsi="Arial"/>
                <w:sz w:val="22"/>
                <w:szCs w:val="22"/>
              </w:rPr>
              <w:t>N6921</w:t>
            </w:r>
            <w:bookmarkEnd w:id="0"/>
          </w:p>
        </w:tc>
        <w:tc>
          <w:tcPr>
            <w:tcW w:w="5670" w:type="dxa"/>
          </w:tcPr>
          <w:p w14:paraId="417FEA5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634EB9F0" w14:textId="3A2225F4" w:rsidR="00AA0D6E" w:rsidRPr="00910FEA" w:rsidRDefault="00FE0545" w:rsidP="00AA0D6E">
            <w:pPr>
              <w:pStyle w:val="Header"/>
              <w:jc w:val="center"/>
              <w:rPr>
                <w:rFonts w:ascii="Arial" w:hAnsi="Arial"/>
                <w:sz w:val="22"/>
                <w:szCs w:val="22"/>
              </w:rPr>
            </w:pPr>
            <w:bookmarkStart w:id="1" w:name="Text17"/>
            <w:r>
              <w:rPr>
                <w:rFonts w:ascii="Arial" w:hAnsi="Arial"/>
                <w:sz w:val="22"/>
                <w:szCs w:val="22"/>
              </w:rPr>
              <w:t>MI-ROP-N6921-20</w:t>
            </w:r>
            <w:r w:rsidR="00120F59">
              <w:rPr>
                <w:rFonts w:ascii="Arial" w:hAnsi="Arial"/>
                <w:sz w:val="22"/>
                <w:szCs w:val="22"/>
              </w:rPr>
              <w:t>24</w:t>
            </w:r>
            <w:bookmarkEnd w:id="1"/>
          </w:p>
        </w:tc>
      </w:tr>
    </w:tbl>
    <w:p w14:paraId="5E7DEF4D" w14:textId="77777777" w:rsidR="00AF4326" w:rsidRDefault="00AF4326">
      <w:pPr>
        <w:rPr>
          <w:rFonts w:ascii="Arial" w:hAnsi="Arial"/>
          <w:color w:val="000000"/>
          <w:sz w:val="14"/>
        </w:rPr>
      </w:pPr>
    </w:p>
    <w:p w14:paraId="205245E0" w14:textId="77777777" w:rsidR="00AF4326" w:rsidRDefault="00AF4326">
      <w:pPr>
        <w:jc w:val="center"/>
        <w:rPr>
          <w:rFonts w:ascii="Arial" w:hAnsi="Arial"/>
          <w:sz w:val="22"/>
        </w:rPr>
      </w:pPr>
    </w:p>
    <w:p w14:paraId="0F4F613E" w14:textId="40BB0F73" w:rsidR="003D6C8F" w:rsidRPr="003D6C8F" w:rsidRDefault="00FE0545">
      <w:pPr>
        <w:jc w:val="center"/>
        <w:rPr>
          <w:rFonts w:ascii="Arial" w:hAnsi="Arial"/>
          <w:b/>
          <w:sz w:val="22"/>
        </w:rPr>
      </w:pPr>
      <w:bookmarkStart w:id="2" w:name="Text40"/>
      <w:r>
        <w:rPr>
          <w:rFonts w:ascii="Arial" w:hAnsi="Arial"/>
          <w:b/>
          <w:noProof/>
          <w:sz w:val="22"/>
        </w:rPr>
        <w:t>Indeck Niles Energy Center</w:t>
      </w:r>
      <w:bookmarkEnd w:id="2"/>
    </w:p>
    <w:p w14:paraId="73524A35" w14:textId="77777777" w:rsidR="00AF4326" w:rsidRDefault="00AF4326">
      <w:pPr>
        <w:rPr>
          <w:rFonts w:ascii="Arial" w:hAnsi="Arial"/>
          <w:sz w:val="22"/>
        </w:rPr>
      </w:pPr>
    </w:p>
    <w:p w14:paraId="36F5C66B" w14:textId="77777777" w:rsidR="00AF4326" w:rsidRDefault="00AF4326">
      <w:pPr>
        <w:jc w:val="center"/>
        <w:rPr>
          <w:rFonts w:ascii="Arial" w:hAnsi="Arial"/>
          <w:sz w:val="22"/>
        </w:rPr>
      </w:pPr>
    </w:p>
    <w:p w14:paraId="0DC9D7C2" w14:textId="6AEBCF5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3" w:name="Text44"/>
      <w:r w:rsidR="00FE0545">
        <w:rPr>
          <w:rFonts w:ascii="Arial" w:hAnsi="Arial"/>
          <w:noProof/>
          <w:sz w:val="22"/>
        </w:rPr>
        <w:t>N6921</w:t>
      </w:r>
      <w:bookmarkEnd w:id="3"/>
    </w:p>
    <w:p w14:paraId="1366DBA3" w14:textId="77777777" w:rsidR="00AF4326" w:rsidRDefault="00AF4326">
      <w:pPr>
        <w:jc w:val="center"/>
        <w:rPr>
          <w:rFonts w:ascii="Arial" w:hAnsi="Arial"/>
          <w:sz w:val="22"/>
        </w:rPr>
      </w:pPr>
    </w:p>
    <w:p w14:paraId="6C04AB7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A33F238" w14:textId="77777777" w:rsidR="006240B1" w:rsidRDefault="006240B1">
      <w:pPr>
        <w:jc w:val="center"/>
        <w:outlineLvl w:val="0"/>
        <w:rPr>
          <w:rFonts w:ascii="Arial" w:hAnsi="Arial"/>
          <w:sz w:val="22"/>
        </w:rPr>
      </w:pPr>
    </w:p>
    <w:p w14:paraId="05E00220" w14:textId="27060844" w:rsidR="00AF4326" w:rsidRDefault="00FE0545">
      <w:pPr>
        <w:jc w:val="center"/>
        <w:rPr>
          <w:rFonts w:ascii="Arial" w:hAnsi="Arial"/>
          <w:sz w:val="22"/>
        </w:rPr>
      </w:pPr>
      <w:bookmarkStart w:id="4" w:name="Street_Address"/>
      <w:r>
        <w:rPr>
          <w:rFonts w:ascii="Arial" w:hAnsi="Arial"/>
          <w:sz w:val="22"/>
        </w:rPr>
        <w:t>2200 Progressive Drive</w:t>
      </w:r>
      <w:bookmarkEnd w:id="4"/>
      <w:r w:rsidR="00AF4326">
        <w:rPr>
          <w:rFonts w:ascii="Arial" w:hAnsi="Arial"/>
          <w:sz w:val="22"/>
        </w:rPr>
        <w:t xml:space="preserve">, </w:t>
      </w:r>
      <w:bookmarkStart w:id="5" w:name="City"/>
      <w:r>
        <w:rPr>
          <w:rFonts w:ascii="Arial" w:hAnsi="Arial"/>
          <w:sz w:val="22"/>
        </w:rPr>
        <w:t>Niles</w:t>
      </w:r>
      <w:bookmarkEnd w:id="5"/>
      <w:r w:rsidR="00AF4326">
        <w:rPr>
          <w:rFonts w:ascii="Arial" w:hAnsi="Arial"/>
          <w:sz w:val="22"/>
        </w:rPr>
        <w:t xml:space="preserve">, </w:t>
      </w:r>
      <w:bookmarkStart w:id="6" w:name="Text13"/>
      <w:r>
        <w:rPr>
          <w:rFonts w:ascii="Arial" w:hAnsi="Arial"/>
          <w:sz w:val="22"/>
        </w:rPr>
        <w:t>Cass</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49120</w:t>
      </w:r>
      <w:bookmarkEnd w:id="7"/>
    </w:p>
    <w:p w14:paraId="7DBE2671" w14:textId="77777777" w:rsidR="00AF4326" w:rsidRDefault="00AF4326">
      <w:pPr>
        <w:jc w:val="center"/>
        <w:rPr>
          <w:rFonts w:ascii="Arial" w:hAnsi="Arial"/>
          <w:sz w:val="22"/>
        </w:rPr>
      </w:pPr>
    </w:p>
    <w:p w14:paraId="02D5AC53" w14:textId="3D02A37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E0545">
        <w:rPr>
          <w:rFonts w:ascii="Arial" w:hAnsi="Arial"/>
          <w:noProof/>
          <w:sz w:val="22"/>
        </w:rPr>
        <w:t>MI-ROP-N6921</w:t>
      </w:r>
      <w:bookmarkEnd w:id="8"/>
      <w:r w:rsidR="00FD7F8F">
        <w:rPr>
          <w:rFonts w:ascii="Arial" w:hAnsi="Arial"/>
          <w:noProof/>
          <w:sz w:val="22"/>
        </w:rPr>
        <w:t>-20</w:t>
      </w:r>
      <w:r w:rsidR="00120F59">
        <w:rPr>
          <w:rFonts w:ascii="Arial" w:hAnsi="Arial"/>
          <w:noProof/>
          <w:sz w:val="22"/>
        </w:rPr>
        <w:t>24</w:t>
      </w:r>
    </w:p>
    <w:p w14:paraId="5A409596" w14:textId="77777777" w:rsidR="00AF4326" w:rsidRDefault="00AF4326">
      <w:pPr>
        <w:ind w:left="3150"/>
        <w:rPr>
          <w:rFonts w:ascii="Arial" w:hAnsi="Arial"/>
          <w:sz w:val="22"/>
        </w:rPr>
      </w:pPr>
    </w:p>
    <w:p w14:paraId="7AB7867D" w14:textId="2196554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C704B">
        <w:rPr>
          <w:rFonts w:ascii="Arial" w:hAnsi="Arial"/>
          <w:noProof/>
          <w:sz w:val="22"/>
        </w:rPr>
        <w:t xml:space="preserve">June </w:t>
      </w:r>
      <w:r w:rsidR="00B876E0">
        <w:rPr>
          <w:rFonts w:ascii="Arial" w:hAnsi="Arial"/>
          <w:noProof/>
          <w:sz w:val="22"/>
        </w:rPr>
        <w:t>10</w:t>
      </w:r>
      <w:r w:rsidR="00DC704B">
        <w:rPr>
          <w:rFonts w:ascii="Arial" w:hAnsi="Arial"/>
          <w:noProof/>
          <w:sz w:val="22"/>
        </w:rPr>
        <w:t>, 2024</w:t>
      </w:r>
    </w:p>
    <w:p w14:paraId="7D599F04" w14:textId="77777777" w:rsidR="00DB5924" w:rsidRPr="007129B8" w:rsidRDefault="00DB5924">
      <w:pPr>
        <w:pStyle w:val="BodyText"/>
      </w:pPr>
    </w:p>
    <w:p w14:paraId="723668F1" w14:textId="77777777" w:rsidR="00644884" w:rsidRDefault="00644884" w:rsidP="00DB5924">
      <w:pPr>
        <w:jc w:val="both"/>
        <w:rPr>
          <w:rFonts w:ascii="Arial" w:hAnsi="Arial"/>
          <w:sz w:val="22"/>
        </w:rPr>
      </w:pPr>
    </w:p>
    <w:p w14:paraId="2C64D592" w14:textId="77777777" w:rsidR="00644884" w:rsidRDefault="00644884" w:rsidP="00DB5924">
      <w:pPr>
        <w:jc w:val="both"/>
        <w:rPr>
          <w:rFonts w:ascii="Arial" w:hAnsi="Arial"/>
          <w:sz w:val="22"/>
        </w:rPr>
      </w:pPr>
    </w:p>
    <w:p w14:paraId="33620ACC" w14:textId="77777777" w:rsidR="00644884" w:rsidRDefault="00644884" w:rsidP="00DB5924">
      <w:pPr>
        <w:jc w:val="both"/>
        <w:rPr>
          <w:rFonts w:ascii="Arial" w:hAnsi="Arial"/>
          <w:sz w:val="22"/>
        </w:rPr>
      </w:pPr>
    </w:p>
    <w:p w14:paraId="5344F5E5"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79A3E77" w14:textId="77777777" w:rsidR="00AF4326" w:rsidRDefault="00AF4326">
      <w:pPr>
        <w:rPr>
          <w:rFonts w:ascii="Arial" w:hAnsi="Arial"/>
          <w:sz w:val="22"/>
        </w:rPr>
      </w:pPr>
    </w:p>
    <w:p w14:paraId="135B20C4" w14:textId="77777777" w:rsidR="00AF4326" w:rsidRDefault="00AF4326">
      <w:pPr>
        <w:rPr>
          <w:rFonts w:ascii="Arial" w:hAnsi="Arial"/>
          <w:sz w:val="22"/>
        </w:rPr>
      </w:pPr>
    </w:p>
    <w:p w14:paraId="2A04C843" w14:textId="77777777" w:rsidR="00AF4326" w:rsidRDefault="00AF4326">
      <w:pPr>
        <w:rPr>
          <w:rFonts w:ascii="Arial" w:hAnsi="Arial"/>
          <w:sz w:val="22"/>
        </w:rPr>
      </w:pPr>
    </w:p>
    <w:p w14:paraId="148369A4" w14:textId="77777777" w:rsidR="00AF4326" w:rsidRDefault="00AF4326">
      <w:pPr>
        <w:rPr>
          <w:rFonts w:ascii="Arial" w:hAnsi="Arial"/>
          <w:sz w:val="22"/>
        </w:rPr>
      </w:pPr>
    </w:p>
    <w:p w14:paraId="10786E01" w14:textId="77777777" w:rsidR="00AF4326" w:rsidRDefault="00AF4326">
      <w:pPr>
        <w:rPr>
          <w:rFonts w:ascii="Arial" w:hAnsi="Arial"/>
          <w:sz w:val="22"/>
        </w:rPr>
      </w:pPr>
    </w:p>
    <w:p w14:paraId="7720E364" w14:textId="77777777" w:rsidR="00AF4326" w:rsidRDefault="00AF4326">
      <w:pPr>
        <w:rPr>
          <w:rFonts w:ascii="Arial" w:hAnsi="Arial"/>
          <w:sz w:val="22"/>
        </w:rPr>
      </w:pPr>
    </w:p>
    <w:p w14:paraId="43C07B06" w14:textId="77777777" w:rsidR="00DB5924" w:rsidRDefault="00DB5924">
      <w:pPr>
        <w:rPr>
          <w:rFonts w:ascii="Arial" w:hAnsi="Arial"/>
          <w:sz w:val="22"/>
        </w:rPr>
      </w:pPr>
    </w:p>
    <w:p w14:paraId="4A3C6D38" w14:textId="77777777" w:rsidR="00DB5924" w:rsidRDefault="00DB5924">
      <w:pPr>
        <w:rPr>
          <w:rFonts w:ascii="Arial" w:hAnsi="Arial"/>
          <w:sz w:val="22"/>
        </w:rPr>
      </w:pPr>
    </w:p>
    <w:p w14:paraId="0B36E798" w14:textId="77777777" w:rsidR="00DB5924" w:rsidRDefault="00DB5924">
      <w:pPr>
        <w:rPr>
          <w:rFonts w:ascii="Arial" w:hAnsi="Arial"/>
          <w:sz w:val="22"/>
        </w:rPr>
      </w:pPr>
    </w:p>
    <w:p w14:paraId="545F7B6C" w14:textId="77777777" w:rsidR="00DB5924" w:rsidRDefault="00DB5924">
      <w:pPr>
        <w:rPr>
          <w:rFonts w:ascii="Arial" w:hAnsi="Arial"/>
          <w:sz w:val="22"/>
        </w:rPr>
      </w:pPr>
    </w:p>
    <w:p w14:paraId="6E0EC9D4" w14:textId="77777777" w:rsidR="00DB5924" w:rsidRDefault="00DB5924">
      <w:pPr>
        <w:rPr>
          <w:rFonts w:ascii="Arial" w:hAnsi="Arial"/>
          <w:sz w:val="22"/>
        </w:rPr>
      </w:pPr>
    </w:p>
    <w:p w14:paraId="4861C3EC" w14:textId="77777777" w:rsidR="00DB5924" w:rsidRDefault="00DB5924">
      <w:pPr>
        <w:rPr>
          <w:rFonts w:ascii="Arial" w:hAnsi="Arial"/>
          <w:sz w:val="22"/>
        </w:rPr>
      </w:pPr>
    </w:p>
    <w:p w14:paraId="69A622F4" w14:textId="77777777" w:rsidR="00DB5924" w:rsidRDefault="00DB5924">
      <w:pPr>
        <w:rPr>
          <w:rFonts w:ascii="Arial" w:hAnsi="Arial"/>
          <w:sz w:val="22"/>
        </w:rPr>
      </w:pPr>
    </w:p>
    <w:p w14:paraId="2597CBE6" w14:textId="77777777" w:rsidR="00DB5924" w:rsidRDefault="00DB5924">
      <w:pPr>
        <w:rPr>
          <w:rFonts w:ascii="Arial" w:hAnsi="Arial"/>
          <w:sz w:val="22"/>
        </w:rPr>
      </w:pPr>
    </w:p>
    <w:p w14:paraId="4B76078D" w14:textId="77777777" w:rsidR="00AF4326" w:rsidRDefault="00AF4326">
      <w:pPr>
        <w:rPr>
          <w:rFonts w:ascii="Arial" w:hAnsi="Arial"/>
          <w:sz w:val="22"/>
        </w:rPr>
      </w:pPr>
    </w:p>
    <w:p w14:paraId="0A0C93A1" w14:textId="77777777" w:rsidR="00AF4326" w:rsidRDefault="00AF4326">
      <w:pPr>
        <w:rPr>
          <w:rFonts w:ascii="Arial" w:hAnsi="Arial"/>
          <w:sz w:val="22"/>
        </w:rPr>
      </w:pPr>
    </w:p>
    <w:p w14:paraId="1F882E14" w14:textId="77777777" w:rsidR="00AF4326" w:rsidRDefault="00AF4326">
      <w:pPr>
        <w:rPr>
          <w:rFonts w:ascii="Arial" w:hAnsi="Arial"/>
          <w:sz w:val="22"/>
        </w:rPr>
      </w:pPr>
    </w:p>
    <w:p w14:paraId="465C7DA5" w14:textId="77777777" w:rsidR="00644884" w:rsidRDefault="00644884">
      <w:pPr>
        <w:rPr>
          <w:rFonts w:ascii="Arial" w:hAnsi="Arial"/>
          <w:sz w:val="22"/>
        </w:rPr>
      </w:pPr>
    </w:p>
    <w:p w14:paraId="654D0E9D" w14:textId="77777777" w:rsidR="00AF4326" w:rsidRDefault="00644884" w:rsidP="00644884">
      <w:pPr>
        <w:rPr>
          <w:rFonts w:ascii="Arial" w:hAnsi="Arial"/>
          <w:sz w:val="22"/>
        </w:rPr>
      </w:pPr>
      <w:r>
        <w:rPr>
          <w:rFonts w:ascii="Arial" w:hAnsi="Arial"/>
          <w:sz w:val="22"/>
        </w:rPr>
        <w:br w:type="page"/>
      </w:r>
    </w:p>
    <w:p w14:paraId="08D50860" w14:textId="77777777" w:rsidR="00B876E0" w:rsidRDefault="00B876E0" w:rsidP="00B876E0">
      <w:pPr>
        <w:jc w:val="center"/>
        <w:outlineLvl w:val="0"/>
        <w:rPr>
          <w:rFonts w:ascii="Arial" w:hAnsi="Arial"/>
          <w:b/>
          <w:sz w:val="22"/>
        </w:rPr>
      </w:pPr>
      <w:r>
        <w:rPr>
          <w:rFonts w:ascii="Arial" w:hAnsi="Arial"/>
          <w:b/>
          <w:sz w:val="22"/>
        </w:rPr>
        <w:lastRenderedPageBreak/>
        <w:t>TABLE OF CONTENTS</w:t>
      </w:r>
    </w:p>
    <w:p w14:paraId="6B5D5B5D" w14:textId="217BD489" w:rsidR="00FB61D2" w:rsidRDefault="00B876E0">
      <w:pPr>
        <w:pStyle w:val="TOC1"/>
        <w:tabs>
          <w:tab w:val="righ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FB61D2">
        <w:rPr>
          <w:noProof/>
        </w:rPr>
        <w:t>JUNE 10, 2024 - STAFF REPORT</w:t>
      </w:r>
      <w:r w:rsidR="00FB61D2">
        <w:rPr>
          <w:noProof/>
        </w:rPr>
        <w:tab/>
      </w:r>
      <w:r w:rsidR="00FB61D2">
        <w:rPr>
          <w:noProof/>
        </w:rPr>
        <w:fldChar w:fldCharType="begin"/>
      </w:r>
      <w:r w:rsidR="00FB61D2">
        <w:rPr>
          <w:noProof/>
        </w:rPr>
        <w:instrText xml:space="preserve"> PAGEREF _Toc175648642 \h </w:instrText>
      </w:r>
      <w:r w:rsidR="00FB61D2">
        <w:rPr>
          <w:noProof/>
        </w:rPr>
      </w:r>
      <w:r w:rsidR="00FB61D2">
        <w:rPr>
          <w:noProof/>
        </w:rPr>
        <w:fldChar w:fldCharType="separate"/>
      </w:r>
      <w:r w:rsidR="00FB61D2">
        <w:rPr>
          <w:noProof/>
        </w:rPr>
        <w:t>3</w:t>
      </w:r>
      <w:r w:rsidR="00FB61D2">
        <w:rPr>
          <w:noProof/>
        </w:rPr>
        <w:fldChar w:fldCharType="end"/>
      </w:r>
    </w:p>
    <w:p w14:paraId="7786DF37" w14:textId="4D31143C" w:rsidR="00FB61D2" w:rsidRDefault="00FB61D2">
      <w:pPr>
        <w:pStyle w:val="TOC1"/>
        <w:tabs>
          <w:tab w:val="right" w:pos="10214"/>
        </w:tabs>
        <w:rPr>
          <w:rFonts w:asciiTheme="minorHAnsi" w:eastAsiaTheme="minorEastAsia" w:hAnsiTheme="minorHAnsi" w:cstheme="minorBidi"/>
          <w:b w:val="0"/>
          <w:noProof/>
          <w:kern w:val="2"/>
          <w:sz w:val="24"/>
          <w:szCs w:val="24"/>
          <w14:ligatures w14:val="standardContextual"/>
        </w:rPr>
      </w:pPr>
      <w:r>
        <w:rPr>
          <w:noProof/>
        </w:rPr>
        <w:t>JULY 11, 2024 - STAFF REPORT ADDENDUM</w:t>
      </w:r>
      <w:r>
        <w:rPr>
          <w:noProof/>
        </w:rPr>
        <w:tab/>
      </w:r>
      <w:r>
        <w:rPr>
          <w:noProof/>
        </w:rPr>
        <w:fldChar w:fldCharType="begin"/>
      </w:r>
      <w:r>
        <w:rPr>
          <w:noProof/>
        </w:rPr>
        <w:instrText xml:space="preserve"> PAGEREF _Toc175648643 \h </w:instrText>
      </w:r>
      <w:r>
        <w:rPr>
          <w:noProof/>
        </w:rPr>
      </w:r>
      <w:r>
        <w:rPr>
          <w:noProof/>
        </w:rPr>
        <w:fldChar w:fldCharType="separate"/>
      </w:r>
      <w:r>
        <w:rPr>
          <w:noProof/>
        </w:rPr>
        <w:t>9</w:t>
      </w:r>
      <w:r>
        <w:rPr>
          <w:noProof/>
        </w:rPr>
        <w:fldChar w:fldCharType="end"/>
      </w:r>
    </w:p>
    <w:p w14:paraId="3FF4FBC4" w14:textId="0C2E387F" w:rsidR="004577DE" w:rsidRDefault="00B876E0" w:rsidP="00B876E0">
      <w:pPr>
        <w:pStyle w:val="Header"/>
        <w:tabs>
          <w:tab w:val="clear" w:pos="4320"/>
          <w:tab w:val="clear" w:pos="8640"/>
        </w:tabs>
        <w:rPr>
          <w:rFonts w:ascii="Arial" w:hAnsi="Arial"/>
          <w:sz w:val="22"/>
        </w:rPr>
      </w:pPr>
      <w:r>
        <w:rPr>
          <w:rFonts w:ascii="Arial" w:hAnsi="Arial"/>
          <w:b/>
          <w:sz w:val="22"/>
        </w:rPr>
        <w:fldChar w:fldCharType="end"/>
      </w:r>
      <w:r w:rsidR="00AF4326">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58A42216" w14:textId="77777777" w:rsidTr="004577DE">
        <w:tc>
          <w:tcPr>
            <w:tcW w:w="2250" w:type="dxa"/>
          </w:tcPr>
          <w:p w14:paraId="346B5FCD" w14:textId="77777777" w:rsidR="004577DE" w:rsidRDefault="004577DE" w:rsidP="004577DE">
            <w:pPr>
              <w:ind w:right="252"/>
              <w:jc w:val="center"/>
              <w:rPr>
                <w:rFonts w:ascii="Arial" w:hAnsi="Arial"/>
                <w:sz w:val="16"/>
              </w:rPr>
            </w:pPr>
          </w:p>
        </w:tc>
        <w:tc>
          <w:tcPr>
            <w:tcW w:w="5940" w:type="dxa"/>
          </w:tcPr>
          <w:p w14:paraId="16470DE6"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EECDC8A" w14:textId="77777777" w:rsidR="004577DE" w:rsidRDefault="004577DE" w:rsidP="00C65371">
            <w:pPr>
              <w:jc w:val="center"/>
              <w:rPr>
                <w:rFonts w:ascii="Arial" w:hAnsi="Arial"/>
                <w:sz w:val="16"/>
              </w:rPr>
            </w:pPr>
            <w:r>
              <w:rPr>
                <w:rFonts w:ascii="Arial" w:hAnsi="Arial"/>
              </w:rPr>
              <w:t>Air Quality Division</w:t>
            </w:r>
          </w:p>
        </w:tc>
        <w:tc>
          <w:tcPr>
            <w:tcW w:w="2374" w:type="dxa"/>
          </w:tcPr>
          <w:p w14:paraId="1FD56583" w14:textId="77777777" w:rsidR="004577DE" w:rsidRDefault="004577DE" w:rsidP="00C65371">
            <w:pPr>
              <w:ind w:left="-73"/>
              <w:jc w:val="center"/>
              <w:rPr>
                <w:rFonts w:ascii="Arial" w:hAnsi="Arial"/>
                <w:sz w:val="16"/>
              </w:rPr>
            </w:pPr>
          </w:p>
        </w:tc>
      </w:tr>
      <w:tr w:rsidR="004577DE" w:rsidRPr="00DB5924" w14:paraId="0E48BDBC" w14:textId="77777777" w:rsidTr="004577DE">
        <w:trPr>
          <w:cantSplit/>
          <w:trHeight w:val="333"/>
        </w:trPr>
        <w:tc>
          <w:tcPr>
            <w:tcW w:w="2250" w:type="dxa"/>
          </w:tcPr>
          <w:p w14:paraId="2BBC9B7B"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7DA59053"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39ECDC4"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633A297" w14:textId="77777777" w:rsidTr="004577DE">
        <w:trPr>
          <w:cantSplit/>
          <w:trHeight w:val="428"/>
        </w:trPr>
        <w:tc>
          <w:tcPr>
            <w:tcW w:w="2250" w:type="dxa"/>
            <w:tcBorders>
              <w:bottom w:val="nil"/>
            </w:tcBorders>
          </w:tcPr>
          <w:p w14:paraId="17A38D7F" w14:textId="4B51076E" w:rsidR="004577DE" w:rsidRPr="00910FEA" w:rsidRDefault="00FE0545" w:rsidP="00C65371">
            <w:pPr>
              <w:pStyle w:val="Header"/>
              <w:jc w:val="center"/>
              <w:rPr>
                <w:rFonts w:ascii="Arial" w:hAnsi="Arial"/>
                <w:sz w:val="22"/>
                <w:szCs w:val="22"/>
              </w:rPr>
            </w:pPr>
            <w:r>
              <w:rPr>
                <w:rFonts w:ascii="Arial" w:hAnsi="Arial"/>
                <w:sz w:val="22"/>
                <w:szCs w:val="22"/>
              </w:rPr>
              <w:t>N6921</w:t>
            </w:r>
          </w:p>
        </w:tc>
        <w:tc>
          <w:tcPr>
            <w:tcW w:w="5940" w:type="dxa"/>
            <w:tcBorders>
              <w:bottom w:val="nil"/>
            </w:tcBorders>
          </w:tcPr>
          <w:p w14:paraId="2E432D73" w14:textId="3C823605" w:rsidR="004577DE" w:rsidRPr="0057400E" w:rsidRDefault="00DC704B"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156890220"/>
            <w:bookmarkStart w:id="14" w:name="_Toc175648642"/>
            <w:r>
              <w:rPr>
                <w:sz w:val="22"/>
                <w:szCs w:val="22"/>
              </w:rPr>
              <w:t xml:space="preserve">JUNE </w:t>
            </w:r>
            <w:r w:rsidR="00EA3175">
              <w:rPr>
                <w:sz w:val="22"/>
                <w:szCs w:val="22"/>
              </w:rPr>
              <w:t>10</w:t>
            </w:r>
            <w:r>
              <w:rPr>
                <w:sz w:val="22"/>
                <w:szCs w:val="22"/>
              </w:rPr>
              <w:t>, 2024</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bookmarkEnd w:id="14"/>
          </w:p>
        </w:tc>
        <w:tc>
          <w:tcPr>
            <w:tcW w:w="2374" w:type="dxa"/>
            <w:tcBorders>
              <w:bottom w:val="nil"/>
            </w:tcBorders>
          </w:tcPr>
          <w:p w14:paraId="6233543D" w14:textId="6300C108" w:rsidR="004577DE" w:rsidRPr="00910FEA" w:rsidRDefault="00FE0545" w:rsidP="00C65371">
            <w:pPr>
              <w:pStyle w:val="Header"/>
              <w:jc w:val="center"/>
              <w:rPr>
                <w:rFonts w:ascii="Arial" w:hAnsi="Arial"/>
                <w:b/>
                <w:sz w:val="22"/>
                <w:szCs w:val="22"/>
              </w:rPr>
            </w:pPr>
            <w:r>
              <w:rPr>
                <w:rFonts w:ascii="Arial" w:hAnsi="Arial"/>
                <w:sz w:val="22"/>
                <w:szCs w:val="22"/>
              </w:rPr>
              <w:t>MI-ROP-N6921-20</w:t>
            </w:r>
            <w:r w:rsidR="00120F59">
              <w:rPr>
                <w:rFonts w:ascii="Arial" w:hAnsi="Arial"/>
                <w:sz w:val="22"/>
                <w:szCs w:val="22"/>
              </w:rPr>
              <w:t>24</w:t>
            </w:r>
          </w:p>
        </w:tc>
      </w:tr>
    </w:tbl>
    <w:p w14:paraId="65F1736A" w14:textId="77777777" w:rsidR="0024506D" w:rsidRDefault="0024506D" w:rsidP="00EE5339">
      <w:pPr>
        <w:pStyle w:val="Header"/>
        <w:tabs>
          <w:tab w:val="clear" w:pos="4320"/>
          <w:tab w:val="clear" w:pos="8640"/>
        </w:tabs>
        <w:rPr>
          <w:rFonts w:ascii="Arial" w:hAnsi="Arial"/>
          <w:sz w:val="22"/>
        </w:rPr>
      </w:pPr>
    </w:p>
    <w:p w14:paraId="1D03A754"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3036FD29" w14:textId="77777777" w:rsidR="00AF4326" w:rsidRPr="00290754" w:rsidRDefault="00AF4326">
      <w:pPr>
        <w:jc w:val="both"/>
        <w:rPr>
          <w:rFonts w:ascii="Arial" w:hAnsi="Arial" w:cs="Arial"/>
          <w:sz w:val="22"/>
          <w:szCs w:val="22"/>
        </w:rPr>
      </w:pPr>
    </w:p>
    <w:p w14:paraId="489AD7D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7578462" w14:textId="77777777" w:rsidR="00DB5924" w:rsidRPr="00290754" w:rsidRDefault="00DB5924" w:rsidP="00167B85">
      <w:pPr>
        <w:jc w:val="both"/>
        <w:rPr>
          <w:rFonts w:ascii="Arial" w:hAnsi="Arial" w:cs="Arial"/>
          <w:sz w:val="22"/>
          <w:szCs w:val="22"/>
        </w:rPr>
      </w:pPr>
    </w:p>
    <w:p w14:paraId="737E9AA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B00375C" w14:textId="77777777" w:rsidR="00DB5924" w:rsidRPr="00290754" w:rsidRDefault="00DB5924" w:rsidP="00DB5924">
      <w:pPr>
        <w:rPr>
          <w:rFonts w:ascii="Arial" w:hAnsi="Arial" w:cs="Arial"/>
          <w:sz w:val="22"/>
          <w:szCs w:val="22"/>
        </w:rPr>
      </w:pPr>
    </w:p>
    <w:p w14:paraId="3258A8E7"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0E546FA7" w14:textId="77777777" w:rsidR="00AF4326" w:rsidRPr="00290754" w:rsidRDefault="00AF4326">
      <w:pPr>
        <w:rPr>
          <w:rFonts w:ascii="Arial" w:hAnsi="Arial" w:cs="Arial"/>
          <w:sz w:val="22"/>
          <w:szCs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220"/>
      </w:tblGrid>
      <w:tr w:rsidR="00AF4326" w:rsidRPr="00290754" w14:paraId="79656297" w14:textId="77777777" w:rsidTr="00D14716">
        <w:tc>
          <w:tcPr>
            <w:tcW w:w="5171" w:type="dxa"/>
          </w:tcPr>
          <w:p w14:paraId="584C02F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71A27B3" w14:textId="1C4788AA" w:rsidR="001159B4" w:rsidRDefault="00FE0545">
            <w:pPr>
              <w:rPr>
                <w:rFonts w:ascii="Arial" w:hAnsi="Arial" w:cs="Arial"/>
                <w:sz w:val="22"/>
                <w:szCs w:val="22"/>
              </w:rPr>
            </w:pPr>
            <w:bookmarkStart w:id="19" w:name="Source_Name_Mailing"/>
            <w:r>
              <w:rPr>
                <w:rFonts w:ascii="Arial" w:hAnsi="Arial" w:cs="Arial"/>
                <w:sz w:val="22"/>
                <w:szCs w:val="22"/>
              </w:rPr>
              <w:t>Indeck Niles Energy Center</w:t>
            </w:r>
            <w:bookmarkEnd w:id="19"/>
          </w:p>
          <w:p w14:paraId="4171EECB" w14:textId="32B4AF43" w:rsidR="001159B4" w:rsidRDefault="00FE0545">
            <w:pPr>
              <w:rPr>
                <w:rFonts w:ascii="Arial" w:hAnsi="Arial" w:cs="Arial"/>
                <w:sz w:val="22"/>
                <w:szCs w:val="22"/>
              </w:rPr>
            </w:pPr>
            <w:bookmarkStart w:id="20" w:name="street_mailing"/>
            <w:r>
              <w:rPr>
                <w:rFonts w:ascii="Arial" w:hAnsi="Arial" w:cs="Arial"/>
                <w:sz w:val="22"/>
                <w:szCs w:val="22"/>
              </w:rPr>
              <w:t>2200 Progressive Dr.</w:t>
            </w:r>
            <w:bookmarkEnd w:id="20"/>
          </w:p>
          <w:p w14:paraId="4AE2C9D2" w14:textId="16F8B440" w:rsidR="00AF4326" w:rsidRPr="00290754" w:rsidRDefault="00FE0545">
            <w:pPr>
              <w:rPr>
                <w:rFonts w:ascii="Arial" w:hAnsi="Arial" w:cs="Arial"/>
                <w:sz w:val="22"/>
                <w:szCs w:val="22"/>
              </w:rPr>
            </w:pPr>
            <w:bookmarkStart w:id="21" w:name="city_mailing"/>
            <w:r>
              <w:rPr>
                <w:rFonts w:ascii="Arial" w:hAnsi="Arial" w:cs="Arial"/>
                <w:sz w:val="22"/>
                <w:szCs w:val="22"/>
              </w:rPr>
              <w:t>Niles</w:t>
            </w:r>
            <w:bookmarkEnd w:id="21"/>
            <w:r w:rsidR="00AF4326" w:rsidRPr="00290754">
              <w:rPr>
                <w:rFonts w:ascii="Arial" w:hAnsi="Arial" w:cs="Arial"/>
                <w:sz w:val="22"/>
                <w:szCs w:val="22"/>
              </w:rPr>
              <w:t>, Michigan</w:t>
            </w:r>
            <w:r w:rsidR="001159B4">
              <w:rPr>
                <w:rFonts w:ascii="Arial" w:hAnsi="Arial" w:cs="Arial"/>
                <w:sz w:val="22"/>
                <w:szCs w:val="22"/>
              </w:rPr>
              <w:t xml:space="preserve"> </w:t>
            </w:r>
            <w:bookmarkStart w:id="22" w:name="zipcode_mailing"/>
            <w:r>
              <w:rPr>
                <w:rFonts w:ascii="Arial" w:hAnsi="Arial" w:cs="Arial"/>
                <w:sz w:val="22"/>
                <w:szCs w:val="22"/>
              </w:rPr>
              <w:t>49120</w:t>
            </w:r>
            <w:bookmarkEnd w:id="22"/>
            <w:r w:rsidR="00AF4326" w:rsidRPr="00290754">
              <w:rPr>
                <w:rFonts w:ascii="Arial" w:hAnsi="Arial" w:cs="Arial"/>
                <w:sz w:val="22"/>
                <w:szCs w:val="22"/>
              </w:rPr>
              <w:t xml:space="preserve"> </w:t>
            </w:r>
          </w:p>
        </w:tc>
      </w:tr>
      <w:tr w:rsidR="00AF4326" w:rsidRPr="00290754" w14:paraId="360B8624" w14:textId="77777777" w:rsidTr="00D14716">
        <w:trPr>
          <w:trHeight w:val="273"/>
        </w:trPr>
        <w:tc>
          <w:tcPr>
            <w:tcW w:w="5171" w:type="dxa"/>
          </w:tcPr>
          <w:p w14:paraId="41842AE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66D9C22" w14:textId="17FB07CE" w:rsidR="00AF4326" w:rsidRPr="00290754" w:rsidRDefault="00FE0545">
            <w:pPr>
              <w:rPr>
                <w:rFonts w:ascii="Arial" w:hAnsi="Arial" w:cs="Arial"/>
                <w:sz w:val="22"/>
                <w:szCs w:val="22"/>
              </w:rPr>
            </w:pPr>
            <w:bookmarkStart w:id="23" w:name="Text15"/>
            <w:r>
              <w:rPr>
                <w:rFonts w:ascii="Arial" w:hAnsi="Arial" w:cs="Arial"/>
                <w:noProof/>
                <w:sz w:val="22"/>
                <w:szCs w:val="22"/>
              </w:rPr>
              <w:t>N6921</w:t>
            </w:r>
            <w:bookmarkEnd w:id="23"/>
          </w:p>
        </w:tc>
      </w:tr>
      <w:tr w:rsidR="00AF4326" w:rsidRPr="00290754" w14:paraId="03B00979" w14:textId="77777777" w:rsidTr="00D14716">
        <w:tc>
          <w:tcPr>
            <w:tcW w:w="5171" w:type="dxa"/>
          </w:tcPr>
          <w:p w14:paraId="7325D8F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E022772" w14:textId="010644CD" w:rsidR="00AF4326" w:rsidRPr="00290754" w:rsidRDefault="00FE0545">
            <w:pPr>
              <w:rPr>
                <w:rFonts w:ascii="Arial" w:hAnsi="Arial" w:cs="Arial"/>
                <w:sz w:val="22"/>
                <w:szCs w:val="22"/>
              </w:rPr>
            </w:pPr>
            <w:bookmarkStart w:id="24" w:name="SIC"/>
            <w:r>
              <w:rPr>
                <w:rFonts w:ascii="Arial" w:hAnsi="Arial" w:cs="Arial"/>
                <w:sz w:val="22"/>
                <w:szCs w:val="22"/>
              </w:rPr>
              <w:t>221112</w:t>
            </w:r>
            <w:bookmarkEnd w:id="24"/>
          </w:p>
        </w:tc>
      </w:tr>
      <w:tr w:rsidR="00AF4326" w:rsidRPr="00290754" w14:paraId="49ED5973" w14:textId="77777777" w:rsidTr="00D14716">
        <w:tc>
          <w:tcPr>
            <w:tcW w:w="5171" w:type="dxa"/>
          </w:tcPr>
          <w:p w14:paraId="13681E4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C5D7F67" w14:textId="33E80ECF" w:rsidR="00AF4326" w:rsidRPr="00290754" w:rsidRDefault="00FE0545">
            <w:pPr>
              <w:rPr>
                <w:rFonts w:ascii="Arial" w:hAnsi="Arial" w:cs="Arial"/>
                <w:sz w:val="22"/>
                <w:szCs w:val="22"/>
              </w:rPr>
            </w:pPr>
            <w:bookmarkStart w:id="25" w:name="Number_of_Sections"/>
            <w:r>
              <w:rPr>
                <w:rFonts w:ascii="Arial" w:hAnsi="Arial" w:cs="Arial"/>
                <w:sz w:val="22"/>
                <w:szCs w:val="22"/>
              </w:rPr>
              <w:t>1</w:t>
            </w:r>
            <w:bookmarkEnd w:id="25"/>
          </w:p>
        </w:tc>
      </w:tr>
      <w:tr w:rsidR="00647809" w:rsidRPr="00290754" w14:paraId="5AF745FE" w14:textId="77777777" w:rsidTr="00D14716">
        <w:tc>
          <w:tcPr>
            <w:tcW w:w="5171" w:type="dxa"/>
          </w:tcPr>
          <w:p w14:paraId="318D721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A5F7424" w14:textId="6FC76E92" w:rsidR="00647809" w:rsidRDefault="00335574">
            <w:pPr>
              <w:rPr>
                <w:rFonts w:ascii="Arial" w:hAnsi="Arial" w:cs="Arial"/>
                <w:sz w:val="22"/>
                <w:szCs w:val="22"/>
              </w:rPr>
            </w:pPr>
            <w:r>
              <w:rPr>
                <w:rFonts w:ascii="Arial" w:hAnsi="Arial" w:cs="Arial"/>
                <w:sz w:val="22"/>
                <w:szCs w:val="22"/>
              </w:rPr>
              <w:t>Initial Issuance</w:t>
            </w:r>
          </w:p>
        </w:tc>
      </w:tr>
      <w:tr w:rsidR="00AF4326" w:rsidRPr="00290754" w14:paraId="74E9D3EB" w14:textId="77777777" w:rsidTr="00D14716">
        <w:tc>
          <w:tcPr>
            <w:tcW w:w="5171" w:type="dxa"/>
          </w:tcPr>
          <w:p w14:paraId="5B4514F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4420C98" w14:textId="2A8BC623" w:rsidR="00AF4326" w:rsidRPr="00290754" w:rsidRDefault="00FE0545">
            <w:pPr>
              <w:rPr>
                <w:rFonts w:ascii="Arial" w:hAnsi="Arial" w:cs="Arial"/>
                <w:sz w:val="22"/>
                <w:szCs w:val="22"/>
              </w:rPr>
            </w:pPr>
            <w:bookmarkStart w:id="26" w:name="Application_number"/>
            <w:r>
              <w:rPr>
                <w:rFonts w:ascii="Arial" w:hAnsi="Arial" w:cs="Arial"/>
                <w:sz w:val="22"/>
                <w:szCs w:val="22"/>
              </w:rPr>
              <w:t>202200222</w:t>
            </w:r>
            <w:bookmarkEnd w:id="26"/>
          </w:p>
        </w:tc>
      </w:tr>
      <w:tr w:rsidR="00FB3635" w:rsidRPr="00290754" w14:paraId="00E57D43" w14:textId="77777777" w:rsidTr="00D14716">
        <w:tc>
          <w:tcPr>
            <w:tcW w:w="5171" w:type="dxa"/>
          </w:tcPr>
          <w:p w14:paraId="4973E11F" w14:textId="77777777" w:rsidR="00FB3635" w:rsidRPr="00290754" w:rsidRDefault="00FB3635" w:rsidP="00FB3635">
            <w:pPr>
              <w:rPr>
                <w:rFonts w:ascii="Arial" w:hAnsi="Arial" w:cs="Arial"/>
                <w:sz w:val="22"/>
                <w:szCs w:val="22"/>
              </w:rPr>
            </w:pPr>
            <w:r w:rsidRPr="00290754">
              <w:rPr>
                <w:rFonts w:ascii="Arial" w:hAnsi="Arial" w:cs="Arial"/>
                <w:sz w:val="22"/>
                <w:szCs w:val="22"/>
              </w:rPr>
              <w:t>Responsible Official:</w:t>
            </w:r>
          </w:p>
        </w:tc>
        <w:tc>
          <w:tcPr>
            <w:tcW w:w="5220" w:type="dxa"/>
          </w:tcPr>
          <w:p w14:paraId="11B15D40" w14:textId="77777777" w:rsidR="00FB3635" w:rsidRPr="00290754" w:rsidRDefault="00FB3635" w:rsidP="00FB3635">
            <w:pPr>
              <w:rPr>
                <w:rFonts w:ascii="Arial" w:hAnsi="Arial" w:cs="Arial"/>
                <w:sz w:val="22"/>
                <w:szCs w:val="22"/>
              </w:rPr>
            </w:pPr>
            <w:r>
              <w:rPr>
                <w:rFonts w:ascii="Arial" w:hAnsi="Arial" w:cs="Arial"/>
                <w:sz w:val="22"/>
                <w:szCs w:val="22"/>
              </w:rPr>
              <w:t xml:space="preserve">Mike Ferguson, </w:t>
            </w:r>
            <w:bookmarkStart w:id="27" w:name="RO_Title"/>
            <w:r>
              <w:rPr>
                <w:rFonts w:ascii="Arial" w:hAnsi="Arial" w:cs="Arial"/>
                <w:sz w:val="22"/>
                <w:szCs w:val="22"/>
              </w:rPr>
              <w:t>Vice President of Operations</w:t>
            </w:r>
            <w:bookmarkEnd w:id="27"/>
          </w:p>
          <w:p w14:paraId="212AC572" w14:textId="5C5329D4" w:rsidR="00FB3635" w:rsidRPr="00290754" w:rsidRDefault="00FB3635" w:rsidP="00FB3635">
            <w:pPr>
              <w:rPr>
                <w:rFonts w:ascii="Arial" w:hAnsi="Arial" w:cs="Arial"/>
                <w:sz w:val="22"/>
                <w:szCs w:val="22"/>
              </w:rPr>
            </w:pPr>
            <w:r>
              <w:rPr>
                <w:rFonts w:ascii="Arial" w:hAnsi="Arial" w:cs="Arial"/>
                <w:sz w:val="22"/>
                <w:szCs w:val="22"/>
              </w:rPr>
              <w:t>847-520-3212</w:t>
            </w:r>
          </w:p>
        </w:tc>
      </w:tr>
      <w:tr w:rsidR="00B876E0" w:rsidRPr="00290754" w14:paraId="0230C33A" w14:textId="77777777" w:rsidTr="00D14716">
        <w:tc>
          <w:tcPr>
            <w:tcW w:w="5171" w:type="dxa"/>
          </w:tcPr>
          <w:p w14:paraId="0FF25CB6" w14:textId="4C5B2DDC" w:rsidR="00B876E0" w:rsidRPr="00290754" w:rsidRDefault="00B876E0" w:rsidP="00FB3635">
            <w:pPr>
              <w:rPr>
                <w:rFonts w:ascii="Arial" w:hAnsi="Arial" w:cs="Arial"/>
                <w:sz w:val="22"/>
                <w:szCs w:val="22"/>
              </w:rPr>
            </w:pPr>
            <w:r>
              <w:rPr>
                <w:rFonts w:ascii="Arial" w:hAnsi="Arial" w:cs="Arial"/>
                <w:sz w:val="22"/>
                <w:szCs w:val="22"/>
              </w:rPr>
              <w:t>AQD Contact – District Inspector:</w:t>
            </w:r>
          </w:p>
        </w:tc>
        <w:tc>
          <w:tcPr>
            <w:tcW w:w="5220" w:type="dxa"/>
          </w:tcPr>
          <w:p w14:paraId="084D9567" w14:textId="77777777" w:rsidR="00B876E0" w:rsidRDefault="00B876E0" w:rsidP="00FB3635">
            <w:pPr>
              <w:rPr>
                <w:rFonts w:ascii="Arial" w:hAnsi="Arial" w:cs="Arial"/>
                <w:sz w:val="22"/>
                <w:szCs w:val="22"/>
              </w:rPr>
            </w:pPr>
            <w:r>
              <w:rPr>
                <w:rFonts w:ascii="Arial" w:hAnsi="Arial" w:cs="Arial"/>
                <w:sz w:val="22"/>
                <w:szCs w:val="22"/>
              </w:rPr>
              <w:t>Mariah Scott, Environmental Quality Analyst</w:t>
            </w:r>
          </w:p>
          <w:p w14:paraId="5FDB7BFF" w14:textId="199378D1" w:rsidR="00B876E0" w:rsidRDefault="00B876E0" w:rsidP="00FB3635">
            <w:pPr>
              <w:rPr>
                <w:rFonts w:ascii="Arial" w:hAnsi="Arial" w:cs="Arial"/>
                <w:sz w:val="22"/>
                <w:szCs w:val="22"/>
              </w:rPr>
            </w:pPr>
            <w:r w:rsidRPr="00B876E0">
              <w:rPr>
                <w:rFonts w:ascii="Arial" w:hAnsi="Arial" w:cs="Arial"/>
                <w:sz w:val="22"/>
                <w:szCs w:val="22"/>
              </w:rPr>
              <w:t>517-899-3519</w:t>
            </w:r>
          </w:p>
        </w:tc>
      </w:tr>
      <w:tr w:rsidR="00FB3635" w:rsidRPr="00290754" w14:paraId="6B880FF5" w14:textId="77777777" w:rsidTr="00D14716">
        <w:tc>
          <w:tcPr>
            <w:tcW w:w="5171" w:type="dxa"/>
          </w:tcPr>
          <w:p w14:paraId="7F031474" w14:textId="2E155D5F" w:rsidR="00FB3635" w:rsidRPr="00290754" w:rsidRDefault="00FB3635" w:rsidP="00FB3635">
            <w:pPr>
              <w:rPr>
                <w:rFonts w:ascii="Arial" w:hAnsi="Arial" w:cs="Arial"/>
                <w:sz w:val="22"/>
                <w:szCs w:val="22"/>
              </w:rPr>
            </w:pPr>
            <w:r w:rsidRPr="00290754">
              <w:rPr>
                <w:rFonts w:ascii="Arial" w:hAnsi="Arial" w:cs="Arial"/>
                <w:sz w:val="22"/>
                <w:szCs w:val="22"/>
              </w:rPr>
              <w:t>AQD Contact</w:t>
            </w:r>
            <w:r w:rsidR="00B876E0">
              <w:rPr>
                <w:rFonts w:ascii="Arial" w:hAnsi="Arial" w:cs="Arial"/>
                <w:sz w:val="22"/>
                <w:szCs w:val="22"/>
              </w:rPr>
              <w:t xml:space="preserve"> – ROP Writer</w:t>
            </w:r>
            <w:r w:rsidRPr="00290754">
              <w:rPr>
                <w:rFonts w:ascii="Arial" w:hAnsi="Arial" w:cs="Arial"/>
                <w:sz w:val="22"/>
                <w:szCs w:val="22"/>
              </w:rPr>
              <w:t>:</w:t>
            </w:r>
          </w:p>
        </w:tc>
        <w:tc>
          <w:tcPr>
            <w:tcW w:w="5220" w:type="dxa"/>
          </w:tcPr>
          <w:p w14:paraId="3434B149" w14:textId="2E4D6495" w:rsidR="00FB3635" w:rsidRPr="00290754" w:rsidRDefault="00FB3635" w:rsidP="00FB3635">
            <w:pPr>
              <w:rPr>
                <w:rFonts w:ascii="Arial" w:hAnsi="Arial" w:cs="Arial"/>
                <w:sz w:val="22"/>
                <w:szCs w:val="22"/>
              </w:rPr>
            </w:pPr>
            <w:bookmarkStart w:id="28" w:name="AQD_Staff_Name"/>
            <w:r>
              <w:rPr>
                <w:rFonts w:ascii="Arial" w:hAnsi="Arial" w:cs="Arial"/>
                <w:sz w:val="22"/>
                <w:szCs w:val="22"/>
              </w:rPr>
              <w:t>Rachel Benaway</w:t>
            </w:r>
            <w:bookmarkEnd w:id="28"/>
            <w:r w:rsidRPr="00290754">
              <w:rPr>
                <w:rFonts w:ascii="Arial" w:hAnsi="Arial" w:cs="Arial"/>
                <w:sz w:val="22"/>
                <w:szCs w:val="22"/>
              </w:rPr>
              <w:t xml:space="preserve">, </w:t>
            </w:r>
            <w:r>
              <w:rPr>
                <w:rFonts w:ascii="Arial" w:hAnsi="Arial" w:cs="Arial"/>
                <w:sz w:val="22"/>
                <w:szCs w:val="22"/>
              </w:rPr>
              <w:t>Environmental Quality Analyst</w:t>
            </w:r>
          </w:p>
          <w:p w14:paraId="6482085F" w14:textId="14206F0C" w:rsidR="00FB3635" w:rsidRPr="00290754" w:rsidRDefault="00FB3635" w:rsidP="00FB3635">
            <w:pPr>
              <w:rPr>
                <w:rFonts w:ascii="Arial" w:hAnsi="Arial" w:cs="Arial"/>
                <w:sz w:val="22"/>
                <w:szCs w:val="22"/>
              </w:rPr>
            </w:pPr>
            <w:bookmarkStart w:id="29" w:name="AQD_Staff_Telephone"/>
            <w:r>
              <w:rPr>
                <w:rFonts w:ascii="Arial" w:hAnsi="Arial" w:cs="Arial"/>
                <w:sz w:val="22"/>
                <w:szCs w:val="22"/>
              </w:rPr>
              <w:t>269-370-2170</w:t>
            </w:r>
            <w:bookmarkEnd w:id="29"/>
          </w:p>
        </w:tc>
      </w:tr>
      <w:tr w:rsidR="00FB3635" w:rsidRPr="00290754" w14:paraId="11CA02E2" w14:textId="77777777" w:rsidTr="00D14716">
        <w:tc>
          <w:tcPr>
            <w:tcW w:w="5171" w:type="dxa"/>
          </w:tcPr>
          <w:p w14:paraId="5DD915F9" w14:textId="77777777" w:rsidR="00FB3635" w:rsidRPr="00290754" w:rsidRDefault="00FB3635" w:rsidP="00FB3635">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6C2CE7EB" w14:textId="60EF46AA" w:rsidR="00FB3635" w:rsidRPr="00290754" w:rsidRDefault="00FD7F8F" w:rsidP="00FB3635">
            <w:pPr>
              <w:rPr>
                <w:rFonts w:ascii="Arial" w:hAnsi="Arial" w:cs="Arial"/>
                <w:sz w:val="22"/>
                <w:szCs w:val="22"/>
              </w:rPr>
            </w:pPr>
            <w:bookmarkStart w:id="30" w:name="Initial_Submit_Date"/>
            <w:r>
              <w:rPr>
                <w:rFonts w:ascii="Arial" w:hAnsi="Arial" w:cs="Arial"/>
                <w:noProof/>
                <w:sz w:val="22"/>
                <w:szCs w:val="22"/>
              </w:rPr>
              <w:t xml:space="preserve">December </w:t>
            </w:r>
            <w:r w:rsidR="00FB3635">
              <w:rPr>
                <w:rFonts w:ascii="Arial" w:hAnsi="Arial" w:cs="Arial"/>
                <w:noProof/>
                <w:sz w:val="22"/>
                <w:szCs w:val="22"/>
              </w:rPr>
              <w:t>5</w:t>
            </w:r>
            <w:r>
              <w:rPr>
                <w:rFonts w:ascii="Arial" w:hAnsi="Arial" w:cs="Arial"/>
                <w:noProof/>
                <w:sz w:val="22"/>
                <w:szCs w:val="22"/>
              </w:rPr>
              <w:t xml:space="preserve">, </w:t>
            </w:r>
            <w:r w:rsidR="00FB3635">
              <w:rPr>
                <w:rFonts w:ascii="Arial" w:hAnsi="Arial" w:cs="Arial"/>
                <w:noProof/>
                <w:sz w:val="22"/>
                <w:szCs w:val="22"/>
              </w:rPr>
              <w:t>2022</w:t>
            </w:r>
            <w:bookmarkEnd w:id="30"/>
          </w:p>
        </w:tc>
      </w:tr>
      <w:tr w:rsidR="00FB3635" w:rsidRPr="00290754" w14:paraId="0A333AB4" w14:textId="77777777" w:rsidTr="00D14716">
        <w:trPr>
          <w:trHeight w:val="165"/>
        </w:trPr>
        <w:tc>
          <w:tcPr>
            <w:tcW w:w="5171" w:type="dxa"/>
          </w:tcPr>
          <w:p w14:paraId="0DDD49C8" w14:textId="77777777" w:rsidR="00FB3635" w:rsidRPr="00290754" w:rsidRDefault="00FB3635" w:rsidP="00FB3635">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D64418A" w14:textId="1C66077F" w:rsidR="00FB3635" w:rsidRPr="00290754" w:rsidRDefault="00FD7F8F" w:rsidP="00FB3635">
            <w:pPr>
              <w:rPr>
                <w:rFonts w:ascii="Arial" w:hAnsi="Arial" w:cs="Arial"/>
                <w:sz w:val="22"/>
                <w:szCs w:val="22"/>
              </w:rPr>
            </w:pPr>
            <w:bookmarkStart w:id="31" w:name="AdminCompletedate"/>
            <w:r>
              <w:rPr>
                <w:rFonts w:ascii="Arial" w:hAnsi="Arial" w:cs="Arial"/>
                <w:noProof/>
                <w:sz w:val="22"/>
                <w:szCs w:val="22"/>
              </w:rPr>
              <w:t xml:space="preserve">December </w:t>
            </w:r>
            <w:r w:rsidR="00FB3635">
              <w:rPr>
                <w:rFonts w:ascii="Arial" w:hAnsi="Arial" w:cs="Arial"/>
                <w:noProof/>
                <w:sz w:val="22"/>
                <w:szCs w:val="22"/>
              </w:rPr>
              <w:t>5</w:t>
            </w:r>
            <w:r>
              <w:rPr>
                <w:rFonts w:ascii="Arial" w:hAnsi="Arial" w:cs="Arial"/>
                <w:noProof/>
                <w:sz w:val="22"/>
                <w:szCs w:val="22"/>
              </w:rPr>
              <w:t xml:space="preserve">, </w:t>
            </w:r>
            <w:r w:rsidR="00FB3635">
              <w:rPr>
                <w:rFonts w:ascii="Arial" w:hAnsi="Arial" w:cs="Arial"/>
                <w:noProof/>
                <w:sz w:val="22"/>
                <w:szCs w:val="22"/>
              </w:rPr>
              <w:t>2022</w:t>
            </w:r>
            <w:bookmarkEnd w:id="31"/>
          </w:p>
        </w:tc>
      </w:tr>
      <w:tr w:rsidR="00FB3635" w:rsidRPr="00290754" w14:paraId="4E03C128" w14:textId="77777777" w:rsidTr="00D14716">
        <w:trPr>
          <w:trHeight w:val="165"/>
        </w:trPr>
        <w:tc>
          <w:tcPr>
            <w:tcW w:w="5171" w:type="dxa"/>
          </w:tcPr>
          <w:p w14:paraId="6A5FD0B2" w14:textId="77777777" w:rsidR="00FB3635" w:rsidRPr="00290754" w:rsidRDefault="00FB3635" w:rsidP="00FB3635">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78D63D8A" w14:textId="73C1ED19" w:rsidR="00FB3635" w:rsidRPr="00290754" w:rsidRDefault="00FB3635" w:rsidP="00FB3635">
            <w:pPr>
              <w:rPr>
                <w:rFonts w:ascii="Arial" w:hAnsi="Arial" w:cs="Arial"/>
                <w:sz w:val="22"/>
                <w:szCs w:val="22"/>
              </w:rPr>
            </w:pPr>
            <w:r>
              <w:rPr>
                <w:rFonts w:ascii="Arial" w:hAnsi="Arial" w:cs="Arial"/>
                <w:sz w:val="22"/>
                <w:szCs w:val="22"/>
              </w:rPr>
              <w:t>Yes</w:t>
            </w:r>
          </w:p>
        </w:tc>
      </w:tr>
      <w:tr w:rsidR="00FB3635" w:rsidRPr="00290754" w14:paraId="7E674E26" w14:textId="77777777" w:rsidTr="00D14716">
        <w:trPr>
          <w:trHeight w:val="165"/>
        </w:trPr>
        <w:tc>
          <w:tcPr>
            <w:tcW w:w="5171" w:type="dxa"/>
          </w:tcPr>
          <w:p w14:paraId="0115F646" w14:textId="77777777" w:rsidR="00FB3635" w:rsidRPr="00290754" w:rsidRDefault="00FB3635" w:rsidP="00FB3635">
            <w:pPr>
              <w:rPr>
                <w:rFonts w:ascii="Arial" w:hAnsi="Arial" w:cs="Arial"/>
                <w:sz w:val="22"/>
                <w:szCs w:val="22"/>
              </w:rPr>
            </w:pPr>
            <w:r w:rsidRPr="00290754">
              <w:rPr>
                <w:rFonts w:ascii="Arial" w:hAnsi="Arial" w:cs="Arial"/>
                <w:sz w:val="22"/>
                <w:szCs w:val="22"/>
              </w:rPr>
              <w:t>Date Public Comment Begins:</w:t>
            </w:r>
          </w:p>
        </w:tc>
        <w:tc>
          <w:tcPr>
            <w:tcW w:w="5220" w:type="dxa"/>
          </w:tcPr>
          <w:p w14:paraId="42958DA2" w14:textId="38314848" w:rsidR="00FB3635" w:rsidRPr="00290754" w:rsidRDefault="00DC704B" w:rsidP="00FB3635">
            <w:pPr>
              <w:rPr>
                <w:rFonts w:ascii="Arial" w:hAnsi="Arial" w:cs="Arial"/>
                <w:sz w:val="22"/>
                <w:szCs w:val="22"/>
              </w:rPr>
            </w:pPr>
            <w:bookmarkStart w:id="32" w:name="PC_Start_Date_Initia"/>
            <w:r>
              <w:rPr>
                <w:rFonts w:ascii="Arial" w:hAnsi="Arial" w:cs="Arial"/>
                <w:sz w:val="22"/>
                <w:szCs w:val="22"/>
              </w:rPr>
              <w:t xml:space="preserve">June </w:t>
            </w:r>
            <w:r w:rsidR="00B876E0">
              <w:rPr>
                <w:rFonts w:ascii="Arial" w:hAnsi="Arial" w:cs="Arial"/>
                <w:sz w:val="22"/>
                <w:szCs w:val="22"/>
              </w:rPr>
              <w:t>10</w:t>
            </w:r>
            <w:r>
              <w:rPr>
                <w:rFonts w:ascii="Arial" w:hAnsi="Arial" w:cs="Arial"/>
                <w:sz w:val="22"/>
                <w:szCs w:val="22"/>
              </w:rPr>
              <w:t xml:space="preserve">, </w:t>
            </w:r>
            <w:proofErr w:type="gramStart"/>
            <w:r>
              <w:rPr>
                <w:rFonts w:ascii="Arial" w:hAnsi="Arial" w:cs="Arial"/>
                <w:sz w:val="22"/>
                <w:szCs w:val="22"/>
              </w:rPr>
              <w:t>2024</w:t>
            </w:r>
            <w:proofErr w:type="gramEnd"/>
            <w:r w:rsidR="00FB3635">
              <w:rPr>
                <w:rFonts w:ascii="Arial" w:hAnsi="Arial" w:cs="Arial"/>
                <w:sz w:val="22"/>
                <w:szCs w:val="22"/>
              </w:rPr>
              <w:t xml:space="preserve"> </w:t>
            </w:r>
            <w:bookmarkEnd w:id="32"/>
          </w:p>
        </w:tc>
      </w:tr>
      <w:tr w:rsidR="00FB3635" w:rsidRPr="00290754" w14:paraId="31572DF9" w14:textId="77777777" w:rsidTr="00D14716">
        <w:tc>
          <w:tcPr>
            <w:tcW w:w="5171" w:type="dxa"/>
          </w:tcPr>
          <w:p w14:paraId="5C2E0C5A" w14:textId="77777777" w:rsidR="00FB3635" w:rsidRPr="00290754" w:rsidRDefault="00FB3635" w:rsidP="00FB3635">
            <w:pPr>
              <w:rPr>
                <w:rFonts w:ascii="Arial" w:hAnsi="Arial" w:cs="Arial"/>
                <w:sz w:val="22"/>
                <w:szCs w:val="22"/>
              </w:rPr>
            </w:pPr>
            <w:r w:rsidRPr="00290754">
              <w:rPr>
                <w:rFonts w:ascii="Arial" w:hAnsi="Arial" w:cs="Arial"/>
                <w:sz w:val="22"/>
                <w:szCs w:val="22"/>
              </w:rPr>
              <w:t>Deadline for Public Comment:</w:t>
            </w:r>
          </w:p>
        </w:tc>
        <w:tc>
          <w:tcPr>
            <w:tcW w:w="5220" w:type="dxa"/>
          </w:tcPr>
          <w:p w14:paraId="6D9CBEF8" w14:textId="1D971951" w:rsidR="00FB3635" w:rsidRPr="00290754" w:rsidRDefault="00DC704B" w:rsidP="00FB3635">
            <w:pPr>
              <w:rPr>
                <w:rFonts w:ascii="Arial" w:hAnsi="Arial" w:cs="Arial"/>
                <w:sz w:val="22"/>
                <w:szCs w:val="22"/>
              </w:rPr>
            </w:pPr>
            <w:r>
              <w:rPr>
                <w:rFonts w:ascii="Arial" w:hAnsi="Arial" w:cs="Arial"/>
                <w:sz w:val="22"/>
                <w:szCs w:val="22"/>
              </w:rPr>
              <w:t xml:space="preserve">July </w:t>
            </w:r>
            <w:r w:rsidR="00B876E0">
              <w:rPr>
                <w:rFonts w:ascii="Arial" w:hAnsi="Arial" w:cs="Arial"/>
                <w:sz w:val="22"/>
                <w:szCs w:val="22"/>
              </w:rPr>
              <w:t>10</w:t>
            </w:r>
            <w:r>
              <w:rPr>
                <w:rFonts w:ascii="Arial" w:hAnsi="Arial" w:cs="Arial"/>
                <w:sz w:val="22"/>
                <w:szCs w:val="22"/>
              </w:rPr>
              <w:t>, 2024</w:t>
            </w:r>
          </w:p>
        </w:tc>
      </w:tr>
    </w:tbl>
    <w:p w14:paraId="788B894A" w14:textId="77777777" w:rsidR="00AF4326" w:rsidRPr="00CB60BD" w:rsidRDefault="00AF4326">
      <w:pPr>
        <w:rPr>
          <w:rFonts w:ascii="Arial" w:hAnsi="Arial" w:cs="Arial"/>
          <w:sz w:val="22"/>
          <w:szCs w:val="22"/>
        </w:rPr>
      </w:pPr>
    </w:p>
    <w:p w14:paraId="1C1EC1F0"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6302D6F2" w14:textId="77777777" w:rsidR="00AF4326" w:rsidRPr="00290754" w:rsidRDefault="00AF4326">
      <w:pPr>
        <w:rPr>
          <w:rFonts w:ascii="Arial" w:hAnsi="Arial" w:cs="Arial"/>
          <w:sz w:val="22"/>
          <w:szCs w:val="22"/>
        </w:rPr>
      </w:pPr>
    </w:p>
    <w:p w14:paraId="69B8DEEC" w14:textId="30FC9742" w:rsidR="001E49D1" w:rsidRDefault="00846500" w:rsidP="007F73D0">
      <w:pPr>
        <w:jc w:val="both"/>
        <w:rPr>
          <w:rFonts w:ascii="Arial" w:hAnsi="Arial" w:cs="Arial"/>
          <w:sz w:val="22"/>
          <w:szCs w:val="22"/>
        </w:rPr>
      </w:pPr>
      <w:bookmarkStart w:id="35" w:name="Source_Description"/>
      <w:r>
        <w:rPr>
          <w:rFonts w:ascii="Arial" w:hAnsi="Arial" w:cs="Arial"/>
          <w:sz w:val="22"/>
          <w:szCs w:val="22"/>
        </w:rPr>
        <w:t>Indeck Niles</w:t>
      </w:r>
      <w:r w:rsidR="001E49D1">
        <w:rPr>
          <w:rFonts w:ascii="Arial" w:hAnsi="Arial" w:cs="Arial"/>
          <w:sz w:val="22"/>
          <w:szCs w:val="22"/>
        </w:rPr>
        <w:t xml:space="preserve">, LLC </w:t>
      </w:r>
      <w:r w:rsidR="00862083">
        <w:rPr>
          <w:rFonts w:ascii="Arial" w:hAnsi="Arial" w:cs="Arial"/>
          <w:sz w:val="22"/>
          <w:szCs w:val="22"/>
        </w:rPr>
        <w:t xml:space="preserve">owns </w:t>
      </w:r>
      <w:r w:rsidR="001E49D1">
        <w:rPr>
          <w:rFonts w:ascii="Arial" w:hAnsi="Arial" w:cs="Arial"/>
          <w:sz w:val="22"/>
          <w:szCs w:val="22"/>
        </w:rPr>
        <w:t>a natural gas-fired</w:t>
      </w:r>
      <w:r>
        <w:rPr>
          <w:rFonts w:ascii="Arial" w:hAnsi="Arial" w:cs="Arial"/>
          <w:sz w:val="22"/>
          <w:szCs w:val="22"/>
        </w:rPr>
        <w:t xml:space="preserve"> combined-cycle </w:t>
      </w:r>
      <w:r w:rsidR="001E49D1">
        <w:rPr>
          <w:rFonts w:ascii="Arial" w:hAnsi="Arial" w:cs="Arial"/>
          <w:sz w:val="22"/>
          <w:szCs w:val="22"/>
        </w:rPr>
        <w:t xml:space="preserve">(NGCC) </w:t>
      </w:r>
      <w:r>
        <w:rPr>
          <w:rFonts w:ascii="Arial" w:hAnsi="Arial" w:cs="Arial"/>
          <w:sz w:val="22"/>
          <w:szCs w:val="22"/>
        </w:rPr>
        <w:t xml:space="preserve">power plant </w:t>
      </w:r>
      <w:r w:rsidR="001E49D1">
        <w:rPr>
          <w:rFonts w:ascii="Arial" w:hAnsi="Arial" w:cs="Arial"/>
          <w:sz w:val="22"/>
          <w:szCs w:val="22"/>
        </w:rPr>
        <w:t xml:space="preserve">at Indeck Niles Energy Center.  The NGCC plant </w:t>
      </w:r>
      <w:r>
        <w:rPr>
          <w:rFonts w:ascii="Arial" w:hAnsi="Arial" w:cs="Arial"/>
          <w:sz w:val="22"/>
          <w:szCs w:val="22"/>
        </w:rPr>
        <w:t>consist</w:t>
      </w:r>
      <w:r w:rsidR="001E49D1">
        <w:rPr>
          <w:rFonts w:ascii="Arial" w:hAnsi="Arial" w:cs="Arial"/>
          <w:sz w:val="22"/>
          <w:szCs w:val="22"/>
        </w:rPr>
        <w:t>s</w:t>
      </w:r>
      <w:r>
        <w:rPr>
          <w:rFonts w:ascii="Arial" w:hAnsi="Arial" w:cs="Arial"/>
          <w:sz w:val="22"/>
          <w:szCs w:val="22"/>
        </w:rPr>
        <w:t xml:space="preserve"> of two (2) combustion turbine generators </w:t>
      </w:r>
      <w:r w:rsidR="001E49D1">
        <w:rPr>
          <w:rFonts w:ascii="Arial" w:hAnsi="Arial" w:cs="Arial"/>
          <w:sz w:val="22"/>
          <w:szCs w:val="22"/>
        </w:rPr>
        <w:t xml:space="preserve">equipped </w:t>
      </w:r>
      <w:r>
        <w:rPr>
          <w:rFonts w:ascii="Arial" w:hAnsi="Arial" w:cs="Arial"/>
          <w:sz w:val="22"/>
          <w:szCs w:val="22"/>
        </w:rPr>
        <w:t>with duct-fired heat recovery steam generators</w:t>
      </w:r>
      <w:r w:rsidR="001E49D1">
        <w:rPr>
          <w:rFonts w:ascii="Arial" w:hAnsi="Arial" w:cs="Arial"/>
          <w:sz w:val="22"/>
          <w:szCs w:val="22"/>
        </w:rPr>
        <w:t xml:space="preserve"> </w:t>
      </w:r>
      <w:r w:rsidR="00454308">
        <w:rPr>
          <w:rFonts w:ascii="Arial" w:hAnsi="Arial" w:cs="Arial"/>
          <w:sz w:val="22"/>
          <w:szCs w:val="22"/>
        </w:rPr>
        <w:t xml:space="preserve">(HRSG) </w:t>
      </w:r>
      <w:r w:rsidR="001E49D1">
        <w:rPr>
          <w:rFonts w:ascii="Arial" w:hAnsi="Arial" w:cs="Arial"/>
          <w:sz w:val="22"/>
          <w:szCs w:val="22"/>
        </w:rPr>
        <w:t>for generation of electricity and various ancillary equipment including an</w:t>
      </w:r>
      <w:r>
        <w:rPr>
          <w:rFonts w:ascii="Arial" w:hAnsi="Arial" w:cs="Arial"/>
          <w:sz w:val="22"/>
          <w:szCs w:val="22"/>
        </w:rPr>
        <w:t xml:space="preserve"> auxiliary boiler, two (2) fuel </w:t>
      </w:r>
      <w:r w:rsidR="001E49D1">
        <w:rPr>
          <w:rFonts w:ascii="Arial" w:hAnsi="Arial" w:cs="Arial"/>
          <w:sz w:val="22"/>
          <w:szCs w:val="22"/>
        </w:rPr>
        <w:t xml:space="preserve">dew-point </w:t>
      </w:r>
      <w:r>
        <w:rPr>
          <w:rFonts w:ascii="Arial" w:hAnsi="Arial" w:cs="Arial"/>
          <w:sz w:val="22"/>
          <w:szCs w:val="22"/>
        </w:rPr>
        <w:t>heaters</w:t>
      </w:r>
      <w:r w:rsidR="001E49D1">
        <w:rPr>
          <w:rFonts w:ascii="Arial" w:hAnsi="Arial" w:cs="Arial"/>
          <w:sz w:val="22"/>
          <w:szCs w:val="22"/>
        </w:rPr>
        <w:t xml:space="preserve"> and</w:t>
      </w:r>
      <w:r>
        <w:rPr>
          <w:rFonts w:ascii="Arial" w:hAnsi="Arial" w:cs="Arial"/>
          <w:sz w:val="22"/>
          <w:szCs w:val="22"/>
        </w:rPr>
        <w:t xml:space="preserve"> one (1) emergency generator</w:t>
      </w:r>
      <w:r w:rsidR="001E49D1">
        <w:rPr>
          <w:rFonts w:ascii="Arial" w:hAnsi="Arial" w:cs="Arial"/>
          <w:sz w:val="22"/>
          <w:szCs w:val="22"/>
        </w:rPr>
        <w:t>.  The facility also has</w:t>
      </w:r>
      <w:r>
        <w:rPr>
          <w:rFonts w:ascii="Arial" w:hAnsi="Arial" w:cs="Arial"/>
          <w:sz w:val="22"/>
          <w:szCs w:val="22"/>
        </w:rPr>
        <w:t xml:space="preserve"> </w:t>
      </w:r>
      <w:r w:rsidR="001E49D1">
        <w:rPr>
          <w:rFonts w:ascii="Arial" w:hAnsi="Arial" w:cs="Arial"/>
          <w:sz w:val="22"/>
          <w:szCs w:val="22"/>
        </w:rPr>
        <w:t xml:space="preserve">one (1) fuel tank </w:t>
      </w:r>
      <w:r>
        <w:rPr>
          <w:rFonts w:ascii="Arial" w:hAnsi="Arial" w:cs="Arial"/>
          <w:sz w:val="22"/>
          <w:szCs w:val="22"/>
        </w:rPr>
        <w:t>and one (1) cold cleaner.</w:t>
      </w:r>
      <w:r w:rsidR="001E49D1">
        <w:rPr>
          <w:rFonts w:ascii="Arial" w:hAnsi="Arial" w:cs="Arial"/>
          <w:sz w:val="22"/>
          <w:szCs w:val="22"/>
        </w:rPr>
        <w:t xml:space="preserve"> </w:t>
      </w:r>
      <w:r w:rsidR="00FD7F8F">
        <w:rPr>
          <w:rFonts w:ascii="Arial" w:hAnsi="Arial" w:cs="Arial"/>
          <w:sz w:val="22"/>
          <w:szCs w:val="22"/>
        </w:rPr>
        <w:t xml:space="preserve"> </w:t>
      </w:r>
      <w:r w:rsidR="00862083">
        <w:rPr>
          <w:rFonts w:ascii="Arial" w:hAnsi="Arial" w:cs="Arial"/>
          <w:sz w:val="22"/>
          <w:szCs w:val="22"/>
        </w:rPr>
        <w:t>T</w:t>
      </w:r>
      <w:r w:rsidR="00862083" w:rsidRPr="00862083">
        <w:rPr>
          <w:rFonts w:ascii="Arial" w:hAnsi="Arial" w:cs="Arial"/>
          <w:sz w:val="22"/>
          <w:szCs w:val="22"/>
        </w:rPr>
        <w:t xml:space="preserve">he facility is constructed and operating under the requirements of </w:t>
      </w:r>
      <w:r w:rsidR="00862083">
        <w:rPr>
          <w:rFonts w:ascii="Arial" w:hAnsi="Arial" w:cs="Arial"/>
          <w:sz w:val="22"/>
          <w:szCs w:val="22"/>
        </w:rPr>
        <w:t>Permit to Install (</w:t>
      </w:r>
      <w:r w:rsidR="00862083" w:rsidRPr="00862083">
        <w:rPr>
          <w:rFonts w:ascii="Arial" w:hAnsi="Arial" w:cs="Arial"/>
          <w:sz w:val="22"/>
          <w:szCs w:val="22"/>
        </w:rPr>
        <w:t>PTI</w:t>
      </w:r>
      <w:r w:rsidR="00862083">
        <w:rPr>
          <w:rFonts w:ascii="Arial" w:hAnsi="Arial" w:cs="Arial"/>
          <w:sz w:val="22"/>
          <w:szCs w:val="22"/>
        </w:rPr>
        <w:t>)</w:t>
      </w:r>
      <w:r w:rsidR="00FD7F8F">
        <w:rPr>
          <w:rFonts w:ascii="Arial" w:hAnsi="Arial" w:cs="Arial"/>
          <w:sz w:val="22"/>
          <w:szCs w:val="22"/>
        </w:rPr>
        <w:t xml:space="preserve"> No.</w:t>
      </w:r>
      <w:r w:rsidR="00862083" w:rsidRPr="00862083">
        <w:rPr>
          <w:rFonts w:ascii="Arial" w:hAnsi="Arial" w:cs="Arial"/>
          <w:sz w:val="22"/>
          <w:szCs w:val="22"/>
        </w:rPr>
        <w:t xml:space="preserve"> 75-16C which is the PTI being incorporated into this initial ROP.</w:t>
      </w:r>
      <w:r>
        <w:rPr>
          <w:rFonts w:ascii="Arial" w:hAnsi="Arial" w:cs="Arial"/>
          <w:sz w:val="22"/>
          <w:szCs w:val="22"/>
        </w:rPr>
        <w:t xml:space="preserve"> </w:t>
      </w:r>
    </w:p>
    <w:p w14:paraId="449DB969" w14:textId="77777777" w:rsidR="001E49D1" w:rsidRDefault="001E49D1" w:rsidP="007F73D0">
      <w:pPr>
        <w:jc w:val="both"/>
        <w:rPr>
          <w:rFonts w:ascii="Arial" w:hAnsi="Arial" w:cs="Arial"/>
          <w:sz w:val="22"/>
          <w:szCs w:val="22"/>
        </w:rPr>
      </w:pPr>
    </w:p>
    <w:p w14:paraId="3585625A" w14:textId="2FCFB3D0" w:rsidR="00344499" w:rsidRDefault="00344499" w:rsidP="007F73D0">
      <w:pPr>
        <w:jc w:val="both"/>
        <w:rPr>
          <w:rFonts w:ascii="Arial" w:hAnsi="Arial" w:cs="Arial"/>
          <w:sz w:val="22"/>
          <w:szCs w:val="22"/>
        </w:rPr>
      </w:pPr>
      <w:r>
        <w:rPr>
          <w:rFonts w:ascii="Arial" w:hAnsi="Arial" w:cs="Arial"/>
          <w:sz w:val="22"/>
          <w:szCs w:val="22"/>
        </w:rPr>
        <w:t xml:space="preserve">The </w:t>
      </w:r>
      <w:r w:rsidR="00454308">
        <w:rPr>
          <w:rFonts w:ascii="Arial" w:hAnsi="Arial" w:cs="Arial"/>
          <w:sz w:val="22"/>
          <w:szCs w:val="22"/>
        </w:rPr>
        <w:t>natural gas-fired</w:t>
      </w:r>
      <w:r>
        <w:rPr>
          <w:rFonts w:ascii="Arial" w:hAnsi="Arial" w:cs="Arial"/>
          <w:sz w:val="22"/>
          <w:szCs w:val="22"/>
        </w:rPr>
        <w:t xml:space="preserve"> turbine generator</w:t>
      </w:r>
      <w:r w:rsidR="00454308">
        <w:rPr>
          <w:rFonts w:ascii="Arial" w:hAnsi="Arial" w:cs="Arial"/>
          <w:sz w:val="22"/>
          <w:szCs w:val="22"/>
        </w:rPr>
        <w:t xml:space="preserve">s and HRSGs </w:t>
      </w:r>
      <w:r w:rsidR="00862083">
        <w:rPr>
          <w:rFonts w:ascii="Arial" w:hAnsi="Arial" w:cs="Arial"/>
          <w:sz w:val="22"/>
          <w:szCs w:val="22"/>
        </w:rPr>
        <w:t xml:space="preserve">at the facility </w:t>
      </w:r>
      <w:r w:rsidR="00454308">
        <w:rPr>
          <w:rFonts w:ascii="Arial" w:hAnsi="Arial" w:cs="Arial"/>
          <w:sz w:val="22"/>
          <w:szCs w:val="22"/>
        </w:rPr>
        <w:t>are equipped with pollution control</w:t>
      </w:r>
      <w:r w:rsidR="00E812AD">
        <w:rPr>
          <w:rFonts w:ascii="Arial" w:hAnsi="Arial" w:cs="Arial"/>
          <w:sz w:val="22"/>
          <w:szCs w:val="22"/>
        </w:rPr>
        <w:t>s for nitrogen oxides (NO</w:t>
      </w:r>
      <w:r w:rsidR="00E812AD" w:rsidRPr="00E812AD">
        <w:rPr>
          <w:rFonts w:ascii="Arial" w:hAnsi="Arial" w:cs="Arial"/>
          <w:sz w:val="22"/>
          <w:szCs w:val="22"/>
          <w:vertAlign w:val="subscript"/>
        </w:rPr>
        <w:t>x</w:t>
      </w:r>
      <w:r w:rsidR="00E812AD">
        <w:rPr>
          <w:rFonts w:ascii="Arial" w:hAnsi="Arial" w:cs="Arial"/>
          <w:sz w:val="22"/>
          <w:szCs w:val="22"/>
        </w:rPr>
        <w:t>), carbon monoxide (CO), and volatile organic compounds (VOC)</w:t>
      </w:r>
      <w:r w:rsidR="00454308">
        <w:rPr>
          <w:rFonts w:ascii="Arial" w:hAnsi="Arial" w:cs="Arial"/>
          <w:sz w:val="22"/>
          <w:szCs w:val="22"/>
        </w:rPr>
        <w:t xml:space="preserve">.  </w:t>
      </w:r>
      <w:r w:rsidR="00E812AD">
        <w:rPr>
          <w:rFonts w:ascii="Arial" w:hAnsi="Arial" w:cs="Arial"/>
          <w:sz w:val="22"/>
          <w:szCs w:val="22"/>
        </w:rPr>
        <w:t>CO and NO</w:t>
      </w:r>
      <w:r w:rsidR="00E812AD" w:rsidRPr="00E812AD">
        <w:rPr>
          <w:rFonts w:ascii="Arial" w:hAnsi="Arial" w:cs="Arial"/>
          <w:sz w:val="22"/>
          <w:szCs w:val="22"/>
          <w:vertAlign w:val="subscript"/>
        </w:rPr>
        <w:t>x</w:t>
      </w:r>
      <w:r w:rsidR="00E812AD">
        <w:rPr>
          <w:rFonts w:ascii="Arial" w:hAnsi="Arial" w:cs="Arial"/>
          <w:sz w:val="22"/>
          <w:szCs w:val="22"/>
        </w:rPr>
        <w:t xml:space="preserve"> emissions are measured by a</w:t>
      </w:r>
      <w:r w:rsidR="00454308">
        <w:rPr>
          <w:rFonts w:ascii="Arial" w:hAnsi="Arial" w:cs="Arial"/>
          <w:sz w:val="22"/>
          <w:szCs w:val="22"/>
        </w:rPr>
        <w:t xml:space="preserve"> continuous emissions monitoring system (CEMS)</w:t>
      </w:r>
      <w:r w:rsidR="00E812AD">
        <w:rPr>
          <w:rFonts w:ascii="Arial" w:hAnsi="Arial" w:cs="Arial"/>
          <w:sz w:val="22"/>
          <w:szCs w:val="22"/>
        </w:rPr>
        <w:t>.</w:t>
      </w:r>
      <w:r w:rsidR="00454308">
        <w:rPr>
          <w:rFonts w:ascii="Arial" w:hAnsi="Arial" w:cs="Arial"/>
          <w:sz w:val="22"/>
          <w:szCs w:val="22"/>
        </w:rPr>
        <w:t xml:space="preserve">   </w:t>
      </w:r>
    </w:p>
    <w:p w14:paraId="57280F8D" w14:textId="77777777" w:rsidR="00344499" w:rsidRDefault="00344499" w:rsidP="007F73D0">
      <w:pPr>
        <w:jc w:val="both"/>
        <w:rPr>
          <w:rFonts w:ascii="Arial" w:hAnsi="Arial" w:cs="Arial"/>
          <w:sz w:val="22"/>
          <w:szCs w:val="22"/>
        </w:rPr>
      </w:pPr>
    </w:p>
    <w:p w14:paraId="0D9F517C" w14:textId="0603EAE2" w:rsidR="00E51F55" w:rsidRDefault="001E49D1" w:rsidP="007F73D0">
      <w:pPr>
        <w:jc w:val="both"/>
        <w:rPr>
          <w:rFonts w:ascii="Arial" w:hAnsi="Arial" w:cs="Arial"/>
          <w:sz w:val="22"/>
          <w:szCs w:val="22"/>
        </w:rPr>
      </w:pPr>
      <w:r>
        <w:rPr>
          <w:rFonts w:ascii="Arial" w:hAnsi="Arial" w:cs="Arial"/>
          <w:sz w:val="22"/>
          <w:szCs w:val="22"/>
        </w:rPr>
        <w:t xml:space="preserve">The facility is located approximately three miles northeast of </w:t>
      </w:r>
      <w:r w:rsidR="00E848CE">
        <w:rPr>
          <w:rFonts w:ascii="Arial" w:hAnsi="Arial" w:cs="Arial"/>
          <w:sz w:val="22"/>
          <w:szCs w:val="22"/>
        </w:rPr>
        <w:t>downtown</w:t>
      </w:r>
      <w:r>
        <w:rPr>
          <w:rFonts w:ascii="Arial" w:hAnsi="Arial" w:cs="Arial"/>
          <w:sz w:val="22"/>
          <w:szCs w:val="22"/>
        </w:rPr>
        <w:t xml:space="preserve"> Niles</w:t>
      </w:r>
      <w:r w:rsidR="009A70EF">
        <w:rPr>
          <w:rFonts w:ascii="Arial" w:hAnsi="Arial" w:cs="Arial"/>
          <w:sz w:val="22"/>
          <w:szCs w:val="22"/>
        </w:rPr>
        <w:t xml:space="preserve"> amidst relatively flat land</w:t>
      </w:r>
      <w:r w:rsidR="00C03763">
        <w:rPr>
          <w:rFonts w:ascii="Arial" w:hAnsi="Arial" w:cs="Arial"/>
          <w:sz w:val="22"/>
          <w:szCs w:val="22"/>
        </w:rPr>
        <w:t>.  The property owned by Indeck is primarily in Cass County, however, a small portion crosses into Berrien County.  Cass County is in attainment for all pollutants</w:t>
      </w:r>
      <w:r w:rsidR="00D4381A">
        <w:rPr>
          <w:rFonts w:ascii="Arial" w:hAnsi="Arial" w:cs="Arial"/>
          <w:sz w:val="22"/>
          <w:szCs w:val="22"/>
        </w:rPr>
        <w:t>,</w:t>
      </w:r>
      <w:r w:rsidR="00C03763">
        <w:rPr>
          <w:rFonts w:ascii="Arial" w:hAnsi="Arial" w:cs="Arial"/>
          <w:sz w:val="22"/>
          <w:szCs w:val="22"/>
        </w:rPr>
        <w:t xml:space="preserve"> but Berrien County is in moderate nonattainment for Ozone.  </w:t>
      </w:r>
    </w:p>
    <w:p w14:paraId="59D829F0" w14:textId="77777777" w:rsidR="00E51F55" w:rsidRDefault="00E51F55" w:rsidP="007F73D0">
      <w:pPr>
        <w:jc w:val="both"/>
        <w:rPr>
          <w:rFonts w:ascii="Arial" w:hAnsi="Arial" w:cs="Arial"/>
          <w:sz w:val="22"/>
          <w:szCs w:val="22"/>
        </w:rPr>
      </w:pPr>
    </w:p>
    <w:bookmarkEnd w:id="35"/>
    <w:p w14:paraId="1B25DB5D" w14:textId="3D47BAC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C53F69">
        <w:rPr>
          <w:rFonts w:ascii="Arial" w:hAnsi="Arial" w:cs="Arial"/>
          <w:sz w:val="22"/>
          <w:szCs w:val="22"/>
        </w:rPr>
        <w:t>in the Annual Air Emissions Report</w:t>
      </w:r>
      <w:r w:rsidR="0002430E">
        <w:rPr>
          <w:rFonts w:ascii="Arial" w:hAnsi="Arial" w:cs="Arial"/>
          <w:sz w:val="22"/>
          <w:szCs w:val="22"/>
        </w:rPr>
        <w:t xml:space="preserve"> </w:t>
      </w:r>
      <w:r w:rsidR="00FE6510">
        <w:rPr>
          <w:rFonts w:ascii="Arial" w:hAnsi="Arial" w:cs="Arial"/>
          <w:sz w:val="22"/>
          <w:szCs w:val="22"/>
        </w:rPr>
        <w:t xml:space="preserve">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6" w:name="MAERS_Year"/>
      <w:r w:rsidR="00A649E5">
        <w:rPr>
          <w:rFonts w:ascii="Arial" w:hAnsi="Arial" w:cs="Arial"/>
          <w:b/>
          <w:sz w:val="22"/>
          <w:szCs w:val="22"/>
        </w:rPr>
        <w:t>202</w:t>
      </w:r>
      <w:bookmarkEnd w:id="36"/>
      <w:r w:rsidR="008637A1">
        <w:rPr>
          <w:rFonts w:ascii="Arial" w:hAnsi="Arial" w:cs="Arial"/>
          <w:b/>
          <w:sz w:val="22"/>
          <w:szCs w:val="22"/>
        </w:rPr>
        <w:t>3</w:t>
      </w:r>
      <w:r w:rsidR="00AF4326" w:rsidRPr="00290754">
        <w:rPr>
          <w:rFonts w:ascii="Arial" w:hAnsi="Arial" w:cs="Arial"/>
          <w:sz w:val="22"/>
          <w:szCs w:val="22"/>
        </w:rPr>
        <w:t>.</w:t>
      </w:r>
    </w:p>
    <w:p w14:paraId="165D35A3" w14:textId="77777777" w:rsidR="00AF4326" w:rsidRPr="00290754" w:rsidRDefault="00AF4326">
      <w:pPr>
        <w:rPr>
          <w:rFonts w:ascii="Arial" w:hAnsi="Arial" w:cs="Arial"/>
          <w:sz w:val="22"/>
          <w:szCs w:val="22"/>
        </w:rPr>
      </w:pPr>
    </w:p>
    <w:p w14:paraId="10DF603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47A178F" w14:textId="77777777" w:rsidR="00F734C6" w:rsidRPr="00290754" w:rsidRDefault="00F734C6" w:rsidP="00F734C6">
      <w:pPr>
        <w:jc w:val="center"/>
        <w:rPr>
          <w:rFonts w:ascii="Arial" w:hAnsi="Arial" w:cs="Arial"/>
          <w:sz w:val="22"/>
          <w:szCs w:val="22"/>
        </w:rPr>
      </w:pPr>
    </w:p>
    <w:tbl>
      <w:tblPr>
        <w:tblW w:w="10391"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5130"/>
      </w:tblGrid>
      <w:tr w:rsidR="00F734C6" w:rsidRPr="00290754" w14:paraId="691073D2" w14:textId="77777777" w:rsidTr="00D14716">
        <w:trPr>
          <w:tblHeader/>
        </w:trPr>
        <w:tc>
          <w:tcPr>
            <w:tcW w:w="5261" w:type="dxa"/>
            <w:shd w:val="pct10" w:color="auto" w:fill="auto"/>
          </w:tcPr>
          <w:p w14:paraId="3AE6A80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DC9280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FAF4D76" w14:textId="77777777" w:rsidTr="00D14716">
        <w:tc>
          <w:tcPr>
            <w:tcW w:w="5261" w:type="dxa"/>
          </w:tcPr>
          <w:p w14:paraId="373827B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0595F72" w14:textId="1893B8D5" w:rsidR="006F5818" w:rsidRPr="00290754" w:rsidRDefault="008637A1" w:rsidP="001E3216">
            <w:pPr>
              <w:jc w:val="center"/>
              <w:rPr>
                <w:rFonts w:ascii="Arial" w:hAnsi="Arial" w:cs="Arial"/>
                <w:sz w:val="22"/>
                <w:szCs w:val="22"/>
              </w:rPr>
            </w:pPr>
            <w:r>
              <w:rPr>
                <w:rFonts w:ascii="Arial" w:hAnsi="Arial" w:cs="Arial"/>
                <w:sz w:val="22"/>
                <w:szCs w:val="22"/>
              </w:rPr>
              <w:t>1.59</w:t>
            </w:r>
          </w:p>
        </w:tc>
      </w:tr>
      <w:tr w:rsidR="00F734C6" w:rsidRPr="00290754" w14:paraId="0575CF69" w14:textId="77777777" w:rsidTr="00D14716">
        <w:tc>
          <w:tcPr>
            <w:tcW w:w="5261" w:type="dxa"/>
          </w:tcPr>
          <w:p w14:paraId="62C1967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7B7138D" w14:textId="01449F49" w:rsidR="00F734C6" w:rsidRPr="00290754" w:rsidRDefault="008637A1" w:rsidP="00E63937">
            <w:pPr>
              <w:jc w:val="center"/>
              <w:rPr>
                <w:rFonts w:ascii="Arial" w:hAnsi="Arial" w:cs="Arial"/>
                <w:sz w:val="22"/>
                <w:szCs w:val="22"/>
              </w:rPr>
            </w:pPr>
            <w:r>
              <w:rPr>
                <w:rFonts w:ascii="Arial" w:hAnsi="Arial" w:cs="Arial"/>
                <w:sz w:val="22"/>
                <w:szCs w:val="22"/>
              </w:rPr>
              <w:t>116.54</w:t>
            </w:r>
          </w:p>
        </w:tc>
      </w:tr>
      <w:tr w:rsidR="00F734C6" w:rsidRPr="00290754" w14:paraId="680D236C" w14:textId="77777777" w:rsidTr="00D14716">
        <w:tc>
          <w:tcPr>
            <w:tcW w:w="5261" w:type="dxa"/>
          </w:tcPr>
          <w:p w14:paraId="13A291B1"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5EBBDCA9" w14:textId="441035CD" w:rsidR="00F734C6" w:rsidRPr="00290754" w:rsidRDefault="008637A1" w:rsidP="00E63937">
            <w:pPr>
              <w:jc w:val="center"/>
              <w:rPr>
                <w:rFonts w:ascii="Arial" w:hAnsi="Arial" w:cs="Arial"/>
                <w:sz w:val="22"/>
                <w:szCs w:val="22"/>
              </w:rPr>
            </w:pPr>
            <w:r>
              <w:rPr>
                <w:rFonts w:ascii="Arial" w:hAnsi="Arial" w:cs="Arial"/>
                <w:sz w:val="22"/>
                <w:szCs w:val="22"/>
              </w:rPr>
              <w:t>26.96</w:t>
            </w:r>
          </w:p>
        </w:tc>
      </w:tr>
      <w:tr w:rsidR="00F734C6" w:rsidRPr="00290754" w14:paraId="77243558" w14:textId="77777777" w:rsidTr="00D14716">
        <w:tc>
          <w:tcPr>
            <w:tcW w:w="5261" w:type="dxa"/>
          </w:tcPr>
          <w:p w14:paraId="5B14D2E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8EAEA1D" w14:textId="17CD5EDC" w:rsidR="00F734C6" w:rsidRPr="00290754" w:rsidRDefault="008637A1" w:rsidP="00E63937">
            <w:pPr>
              <w:jc w:val="center"/>
              <w:rPr>
                <w:rFonts w:ascii="Arial" w:hAnsi="Arial" w:cs="Arial"/>
                <w:sz w:val="22"/>
                <w:szCs w:val="22"/>
              </w:rPr>
            </w:pPr>
            <w:r>
              <w:rPr>
                <w:rFonts w:ascii="Arial" w:hAnsi="Arial" w:cs="Arial"/>
                <w:sz w:val="22"/>
                <w:szCs w:val="22"/>
              </w:rPr>
              <w:t>0.40</w:t>
            </w:r>
          </w:p>
        </w:tc>
      </w:tr>
      <w:tr w:rsidR="00F734C6" w:rsidRPr="00290754" w14:paraId="48D033FB" w14:textId="77777777" w:rsidTr="00D14716">
        <w:tc>
          <w:tcPr>
            <w:tcW w:w="5261" w:type="dxa"/>
          </w:tcPr>
          <w:p w14:paraId="431F76D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91FECE7" w14:textId="656AE4C8" w:rsidR="00F734C6" w:rsidRPr="00290754" w:rsidRDefault="008637A1" w:rsidP="00E63937">
            <w:pPr>
              <w:jc w:val="center"/>
              <w:rPr>
                <w:rFonts w:ascii="Arial" w:hAnsi="Arial" w:cs="Arial"/>
                <w:sz w:val="22"/>
                <w:szCs w:val="22"/>
              </w:rPr>
            </w:pPr>
            <w:r>
              <w:rPr>
                <w:rFonts w:ascii="Arial" w:hAnsi="Arial" w:cs="Arial"/>
                <w:sz w:val="22"/>
                <w:szCs w:val="22"/>
              </w:rPr>
              <w:t>1.91</w:t>
            </w:r>
          </w:p>
        </w:tc>
      </w:tr>
    </w:tbl>
    <w:p w14:paraId="7444242F" w14:textId="1E3FCF95" w:rsidR="00F734C6" w:rsidRDefault="00DC73F8" w:rsidP="00D14716">
      <w:pPr>
        <w:ind w:left="180" w:hanging="180"/>
        <w:jc w:val="both"/>
        <w:rPr>
          <w:rFonts w:ascii="Arial" w:hAnsi="Arial" w:cs="Arial"/>
          <w:sz w:val="22"/>
          <w:szCs w:val="22"/>
        </w:rPr>
      </w:pPr>
      <w:r>
        <w:rPr>
          <w:rFonts w:ascii="Arial" w:hAnsi="Arial" w:cs="Arial"/>
          <w:sz w:val="22"/>
          <w:szCs w:val="22"/>
        </w:rPr>
        <w:t xml:space="preserve">*Particulate </w:t>
      </w:r>
      <w:r w:rsidR="0080151E">
        <w:rPr>
          <w:rFonts w:ascii="Arial" w:hAnsi="Arial" w:cs="Arial"/>
          <w:sz w:val="22"/>
          <w:szCs w:val="22"/>
        </w:rPr>
        <w:t>m</w:t>
      </w:r>
      <w:r>
        <w:rPr>
          <w:rFonts w:ascii="Arial" w:hAnsi="Arial" w:cs="Arial"/>
          <w:sz w:val="22"/>
          <w:szCs w:val="22"/>
        </w:rPr>
        <w:t>atter (PM) that has an aerodynamic diameter less than or equal to a nominal 10</w:t>
      </w:r>
      <w:r w:rsidR="00D14716">
        <w:rPr>
          <w:rFonts w:ascii="Arial" w:hAnsi="Arial" w:cs="Arial"/>
          <w:sz w:val="22"/>
          <w:szCs w:val="22"/>
        </w:rPr>
        <w:t xml:space="preserve"> </w:t>
      </w:r>
      <w:r>
        <w:rPr>
          <w:rFonts w:ascii="Arial" w:hAnsi="Arial" w:cs="Arial"/>
          <w:sz w:val="22"/>
          <w:szCs w:val="22"/>
        </w:rPr>
        <w:t>micrometers.</w:t>
      </w:r>
    </w:p>
    <w:p w14:paraId="752D2053" w14:textId="77777777" w:rsidR="00DC73F8" w:rsidRDefault="00DC73F8" w:rsidP="00D14716">
      <w:pPr>
        <w:rPr>
          <w:rFonts w:ascii="Arial" w:hAnsi="Arial" w:cs="Arial"/>
          <w:sz w:val="22"/>
          <w:szCs w:val="22"/>
        </w:rPr>
      </w:pPr>
    </w:p>
    <w:p w14:paraId="6A96307B" w14:textId="6AE7B6B6"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ECED2E6" w14:textId="77777777" w:rsidR="00940B7D" w:rsidRPr="00290754" w:rsidRDefault="00940B7D">
      <w:pPr>
        <w:rPr>
          <w:rFonts w:ascii="Arial" w:hAnsi="Arial" w:cs="Arial"/>
          <w:sz w:val="22"/>
          <w:szCs w:val="22"/>
        </w:rPr>
      </w:pPr>
    </w:p>
    <w:p w14:paraId="7F7D90D3"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0F29F59A" w14:textId="77777777" w:rsidR="00AF4326" w:rsidRPr="005A6987" w:rsidRDefault="00AF4326" w:rsidP="00167B85">
      <w:pPr>
        <w:jc w:val="both"/>
        <w:rPr>
          <w:rFonts w:ascii="Arial" w:hAnsi="Arial" w:cs="Arial"/>
          <w:sz w:val="22"/>
          <w:szCs w:val="22"/>
        </w:rPr>
      </w:pPr>
    </w:p>
    <w:p w14:paraId="57BFCDAA"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441DFDA" w14:textId="77777777" w:rsidR="000F73C3" w:rsidRDefault="000F73C3" w:rsidP="000F73C3">
      <w:pPr>
        <w:jc w:val="both"/>
        <w:outlineLvl w:val="0"/>
        <w:rPr>
          <w:rFonts w:ascii="Arial" w:hAnsi="Arial" w:cs="Arial"/>
          <w:sz w:val="22"/>
          <w:szCs w:val="22"/>
        </w:rPr>
      </w:pPr>
    </w:p>
    <w:p w14:paraId="096273FB" w14:textId="00A9FA7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9" w:name="County_Name"/>
      <w:r w:rsidR="001E3216">
        <w:rPr>
          <w:rFonts w:ascii="Arial" w:hAnsi="Arial" w:cs="Arial"/>
          <w:noProof/>
          <w:sz w:val="22"/>
          <w:szCs w:val="22"/>
        </w:rPr>
        <w:t>Cass</w:t>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1082693" w14:textId="77777777" w:rsidR="005768C3" w:rsidRPr="00610D52" w:rsidRDefault="005768C3" w:rsidP="000F73C3">
      <w:pPr>
        <w:jc w:val="both"/>
        <w:rPr>
          <w:rFonts w:ascii="Arial" w:hAnsi="Arial" w:cs="Arial"/>
          <w:sz w:val="22"/>
          <w:szCs w:val="22"/>
        </w:rPr>
      </w:pPr>
    </w:p>
    <w:p w14:paraId="24C69C5C" w14:textId="5CE62841" w:rsidR="000F73C3" w:rsidRDefault="000F73C3" w:rsidP="009B566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9B566E">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335574">
        <w:rPr>
          <w:rFonts w:ascii="Arial" w:hAnsi="Arial" w:cs="Arial"/>
          <w:sz w:val="22"/>
          <w:szCs w:val="22"/>
        </w:rPr>
        <w:t>carbon monoxide</w:t>
      </w:r>
      <w:r w:rsidR="009B566E">
        <w:rPr>
          <w:rFonts w:ascii="Arial" w:hAnsi="Arial" w:cs="Arial"/>
          <w:sz w:val="22"/>
          <w:szCs w:val="22"/>
        </w:rPr>
        <w:t xml:space="preserve"> (CO), nitrogen oxides (NO</w:t>
      </w:r>
      <w:r w:rsidR="009B566E" w:rsidRPr="00384D88">
        <w:rPr>
          <w:rFonts w:ascii="Arial" w:hAnsi="Arial" w:cs="Arial"/>
          <w:sz w:val="22"/>
          <w:szCs w:val="22"/>
          <w:vertAlign w:val="subscript"/>
        </w:rPr>
        <w:t>x</w:t>
      </w:r>
      <w:r w:rsidR="009B566E">
        <w:rPr>
          <w:rFonts w:ascii="Arial" w:hAnsi="Arial" w:cs="Arial"/>
          <w:sz w:val="22"/>
          <w:szCs w:val="22"/>
        </w:rPr>
        <w:t xml:space="preserve">), particulate matter less than 10 microns in diameter (PM10), </w:t>
      </w:r>
      <w:r w:rsidR="00384D88">
        <w:rPr>
          <w:rFonts w:ascii="Arial" w:hAnsi="Arial" w:cs="Arial"/>
          <w:sz w:val="22"/>
          <w:szCs w:val="22"/>
        </w:rPr>
        <w:t>particulate matter less than 2.5 microns in diameter (PM2.5), sulfur dioxide (SO</w:t>
      </w:r>
      <w:r w:rsidR="00384D88" w:rsidRPr="00384D88">
        <w:rPr>
          <w:rFonts w:ascii="Arial" w:hAnsi="Arial" w:cs="Arial"/>
          <w:sz w:val="22"/>
          <w:szCs w:val="22"/>
          <w:vertAlign w:val="subscript"/>
        </w:rPr>
        <w:t>2</w:t>
      </w:r>
      <w:r w:rsidR="00384D88">
        <w:rPr>
          <w:rFonts w:ascii="Arial" w:hAnsi="Arial" w:cs="Arial"/>
          <w:sz w:val="22"/>
          <w:szCs w:val="22"/>
        </w:rPr>
        <w:t>), and volatile organic compounds (VOC)</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72693B67" w14:textId="77777777" w:rsidR="00CB43FA" w:rsidRPr="008A0FF1" w:rsidRDefault="00CB43FA" w:rsidP="000F73C3">
      <w:pPr>
        <w:jc w:val="both"/>
        <w:rPr>
          <w:rFonts w:ascii="Arial" w:hAnsi="Arial" w:cs="Arial"/>
          <w:sz w:val="22"/>
          <w:szCs w:val="22"/>
        </w:rPr>
      </w:pPr>
    </w:p>
    <w:p w14:paraId="2B5C054B"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2028CA">
        <w:rPr>
          <w:rFonts w:ascii="Arial" w:hAnsi="Arial" w:cs="Arial"/>
          <w:sz w:val="22"/>
          <w:szCs w:val="22"/>
        </w:rPr>
        <w:t>n 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D28D110" w14:textId="60EEFFF5" w:rsidR="00D14716" w:rsidRDefault="00D14716">
      <w:pPr>
        <w:rPr>
          <w:rFonts w:ascii="Arial" w:hAnsi="Arial" w:cs="Arial"/>
          <w:sz w:val="22"/>
          <w:szCs w:val="22"/>
        </w:rPr>
      </w:pPr>
      <w:r>
        <w:rPr>
          <w:rFonts w:ascii="Arial" w:hAnsi="Arial" w:cs="Arial"/>
          <w:sz w:val="22"/>
          <w:szCs w:val="22"/>
        </w:rPr>
        <w:br w:type="page"/>
      </w:r>
    </w:p>
    <w:p w14:paraId="4BDE3ABC" w14:textId="77777777" w:rsidR="00CB43FA" w:rsidRPr="003173E8" w:rsidRDefault="00CB43FA" w:rsidP="000F73C3">
      <w:pPr>
        <w:jc w:val="both"/>
        <w:rPr>
          <w:rFonts w:ascii="Arial" w:hAnsi="Arial" w:cs="Arial"/>
          <w:sz w:val="22"/>
          <w:szCs w:val="22"/>
        </w:rPr>
      </w:pPr>
    </w:p>
    <w:p w14:paraId="14F1BC86" w14:textId="4917382A" w:rsidR="00F734C6" w:rsidRPr="00FD7F8F" w:rsidRDefault="00FF6C95" w:rsidP="00384D88">
      <w:pPr>
        <w:jc w:val="both"/>
        <w:rPr>
          <w:rFonts w:ascii="Arial" w:hAnsi="Arial" w:cs="Arial"/>
          <w:sz w:val="22"/>
          <w:szCs w:val="22"/>
        </w:rPr>
      </w:pPr>
      <w:r>
        <w:rPr>
          <w:rFonts w:ascii="Arial" w:hAnsi="Arial" w:cs="Arial"/>
          <w:noProof/>
          <w:sz w:val="22"/>
          <w:szCs w:val="22"/>
        </w:rPr>
        <w:t>EUCTGHRSG1, EUCTGHRSG2, EUAUXBOILER, EUFUELHTR1, EUFUELHTR2, EUEMENGINE, EUEMFUELTANK</w:t>
      </w:r>
      <w:r w:rsidR="00A22304">
        <w:rPr>
          <w:rFonts w:ascii="Arial" w:hAnsi="Arial" w:cs="Arial"/>
          <w:noProof/>
          <w:sz w:val="22"/>
          <w:szCs w:val="22"/>
        </w:rPr>
        <w:t>,</w:t>
      </w:r>
      <w:r w:rsidR="000F73C3">
        <w:rPr>
          <w:rFonts w:ascii="Arial" w:hAnsi="Arial" w:cs="Arial"/>
          <w:sz w:val="22"/>
          <w:szCs w:val="22"/>
        </w:rPr>
        <w:t xml:space="preserve"> </w:t>
      </w:r>
      <w:r w:rsidR="00A22304">
        <w:rPr>
          <w:rFonts w:ascii="Arial" w:hAnsi="Arial" w:cs="Arial"/>
          <w:sz w:val="22"/>
          <w:szCs w:val="22"/>
        </w:rPr>
        <w:t xml:space="preserve">and </w:t>
      </w:r>
      <w:r w:rsidR="00A22304" w:rsidRPr="00A22304">
        <w:rPr>
          <w:rFonts w:ascii="Arial" w:hAnsi="Arial" w:cs="Arial"/>
          <w:sz w:val="22"/>
          <w:szCs w:val="22"/>
        </w:rPr>
        <w:t xml:space="preserve">EUCOLDCLEANER </w:t>
      </w:r>
      <w:r w:rsidR="000F73C3">
        <w:rPr>
          <w:rFonts w:ascii="Arial" w:hAnsi="Arial" w:cs="Arial"/>
          <w:sz w:val="22"/>
          <w:szCs w:val="22"/>
        </w:rPr>
        <w:t xml:space="preserve">at the stationary source </w:t>
      </w:r>
      <w:r w:rsidR="00335574">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32891">
        <w:rPr>
          <w:rFonts w:ascii="Arial" w:hAnsi="Arial" w:cs="Arial"/>
          <w:sz w:val="22"/>
          <w:szCs w:val="22"/>
        </w:rPr>
        <w:t>t</w:t>
      </w:r>
      <w:r w:rsidR="00A94AEF">
        <w:rPr>
          <w:rFonts w:ascii="Arial" w:hAnsi="Arial" w:cs="Arial"/>
          <w:sz w:val="22"/>
          <w:szCs w:val="22"/>
        </w:rPr>
        <w:t xml:space="preserve">he Michigan Air Pollution Control Rules </w:t>
      </w:r>
      <w:r w:rsidR="00B20A6D" w:rsidRPr="00604E76">
        <w:rPr>
          <w:rFonts w:ascii="Arial" w:hAnsi="Arial" w:cs="Arial"/>
          <w:sz w:val="22"/>
          <w:szCs w:val="22"/>
        </w:rPr>
        <w:t>Part 18, Prevention of Significant Deterioration of Air Quality</w:t>
      </w:r>
      <w:r w:rsidR="000F73C3" w:rsidRPr="00604E76">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216EBD">
        <w:rPr>
          <w:rFonts w:ascii="Arial" w:hAnsi="Arial" w:cs="Arial"/>
          <w:sz w:val="22"/>
          <w:szCs w:val="22"/>
        </w:rPr>
        <w:t>CO, NO</w:t>
      </w:r>
      <w:r w:rsidR="00216EBD" w:rsidRPr="00216EBD">
        <w:rPr>
          <w:rFonts w:ascii="Arial" w:hAnsi="Arial" w:cs="Arial"/>
          <w:sz w:val="22"/>
          <w:szCs w:val="22"/>
          <w:vertAlign w:val="subscript"/>
        </w:rPr>
        <w:t>x</w:t>
      </w:r>
      <w:r w:rsidR="00216EBD">
        <w:rPr>
          <w:rFonts w:ascii="Arial" w:hAnsi="Arial" w:cs="Arial"/>
          <w:sz w:val="22"/>
          <w:szCs w:val="22"/>
        </w:rPr>
        <w:t>, PM10, PM2.5, SO</w:t>
      </w:r>
      <w:r w:rsidR="00216EBD" w:rsidRPr="00216EBD">
        <w:rPr>
          <w:rFonts w:ascii="Arial" w:hAnsi="Arial" w:cs="Arial"/>
          <w:sz w:val="22"/>
          <w:szCs w:val="22"/>
          <w:vertAlign w:val="subscript"/>
        </w:rPr>
        <w:t>2</w:t>
      </w:r>
      <w:r w:rsidR="00216EBD">
        <w:rPr>
          <w:rFonts w:ascii="Arial" w:hAnsi="Arial" w:cs="Arial"/>
          <w:sz w:val="22"/>
          <w:szCs w:val="22"/>
        </w:rPr>
        <w:t>, and VOC</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384D88">
        <w:rPr>
          <w:rFonts w:ascii="Arial" w:hAnsi="Arial" w:cs="Arial"/>
          <w:sz w:val="22"/>
          <w:szCs w:val="22"/>
        </w:rPr>
        <w:t>100</w:t>
      </w:r>
      <w:r w:rsidR="000F73C3" w:rsidRPr="00290754">
        <w:rPr>
          <w:rFonts w:ascii="Arial" w:hAnsi="Arial" w:cs="Arial"/>
          <w:sz w:val="22"/>
          <w:szCs w:val="22"/>
        </w:rPr>
        <w:t xml:space="preserve"> tons per year</w:t>
      </w:r>
      <w:r w:rsidR="000F73C3" w:rsidRPr="00FD7F8F">
        <w:rPr>
          <w:rFonts w:ascii="Arial" w:hAnsi="Arial" w:cs="Arial"/>
          <w:sz w:val="22"/>
          <w:szCs w:val="22"/>
        </w:rPr>
        <w:t xml:space="preserve">.  </w:t>
      </w:r>
    </w:p>
    <w:p w14:paraId="205B1ED3" w14:textId="77777777" w:rsidR="00384D88" w:rsidRPr="00FD7F8F" w:rsidRDefault="00384D88" w:rsidP="00384D88">
      <w:pPr>
        <w:jc w:val="both"/>
        <w:rPr>
          <w:rFonts w:ascii="Arial" w:hAnsi="Arial" w:cs="Arial"/>
          <w:sz w:val="22"/>
          <w:szCs w:val="22"/>
        </w:rPr>
      </w:pPr>
    </w:p>
    <w:p w14:paraId="18DA0CD1" w14:textId="7901A9F9" w:rsidR="00F734C6" w:rsidRPr="00F734C6" w:rsidRDefault="00F734C6" w:rsidP="00F734C6">
      <w:pPr>
        <w:jc w:val="both"/>
        <w:outlineLvl w:val="0"/>
        <w:rPr>
          <w:rFonts w:ascii="Arial" w:hAnsi="Arial" w:cs="Arial"/>
          <w:sz w:val="22"/>
          <w:szCs w:val="22"/>
        </w:rPr>
      </w:pPr>
      <w:r w:rsidRPr="00FD7F8F">
        <w:rPr>
          <w:rFonts w:ascii="Arial" w:hAnsi="Arial" w:cs="Arial"/>
          <w:sz w:val="22"/>
          <w:szCs w:val="22"/>
        </w:rPr>
        <w:t xml:space="preserve">The source has applicable requirements for </w:t>
      </w:r>
      <w:r w:rsidR="00632891" w:rsidRPr="00FD7F8F">
        <w:rPr>
          <w:rFonts w:ascii="Arial" w:hAnsi="Arial" w:cs="Arial"/>
          <w:sz w:val="22"/>
          <w:szCs w:val="22"/>
        </w:rPr>
        <w:t>Greenhouse Gases (</w:t>
      </w:r>
      <w:r w:rsidRPr="00FD7F8F">
        <w:rPr>
          <w:rFonts w:ascii="Arial" w:hAnsi="Arial" w:cs="Arial"/>
          <w:sz w:val="22"/>
          <w:szCs w:val="22"/>
        </w:rPr>
        <w:t>GHG</w:t>
      </w:r>
      <w:r w:rsidR="00632891" w:rsidRPr="00FD7F8F">
        <w:rPr>
          <w:rFonts w:ascii="Arial" w:hAnsi="Arial" w:cs="Arial"/>
          <w:sz w:val="22"/>
          <w:szCs w:val="22"/>
        </w:rPr>
        <w:t>)</w:t>
      </w:r>
      <w:r w:rsidRPr="00FD7F8F">
        <w:rPr>
          <w:rFonts w:ascii="Arial" w:hAnsi="Arial" w:cs="Arial"/>
          <w:sz w:val="22"/>
          <w:szCs w:val="22"/>
        </w:rPr>
        <w:t xml:space="preserve"> as a result of review under the </w:t>
      </w:r>
      <w:r w:rsidRPr="00F734C6">
        <w:rPr>
          <w:rFonts w:ascii="Arial" w:hAnsi="Arial" w:cs="Arial"/>
          <w:sz w:val="22"/>
          <w:szCs w:val="22"/>
        </w:rPr>
        <w:t xml:space="preserve">Prevention of Significant Deterioration regulations.  These Best Available Control Technology (BACT) requirements for GHG are included in the </w:t>
      </w:r>
      <w:smartTag w:uri="urn:schemas-microsoft-com:office:smarttags" w:element="stockticker">
        <w:r w:rsidRPr="00F734C6">
          <w:rPr>
            <w:rFonts w:ascii="Arial" w:hAnsi="Arial" w:cs="Arial"/>
            <w:sz w:val="22"/>
            <w:szCs w:val="22"/>
          </w:rPr>
          <w:t>ROP</w:t>
        </w:r>
      </w:smartTag>
      <w:r w:rsidRPr="00F734C6">
        <w:rPr>
          <w:rFonts w:ascii="Arial" w:hAnsi="Arial" w:cs="Arial"/>
          <w:sz w:val="22"/>
          <w:szCs w:val="22"/>
        </w:rPr>
        <w:t xml:space="preserve">.  </w:t>
      </w:r>
    </w:p>
    <w:p w14:paraId="002A60E2" w14:textId="77777777" w:rsidR="00F734C6" w:rsidRPr="003173E8" w:rsidRDefault="00F734C6" w:rsidP="00F734C6">
      <w:pPr>
        <w:jc w:val="both"/>
        <w:outlineLvl w:val="0"/>
        <w:rPr>
          <w:rFonts w:ascii="Arial" w:hAnsi="Arial" w:cs="Arial"/>
          <w:sz w:val="22"/>
          <w:szCs w:val="22"/>
        </w:rPr>
      </w:pPr>
    </w:p>
    <w:p w14:paraId="177670C0" w14:textId="305467C2" w:rsidR="00112080" w:rsidRDefault="00FF6C95" w:rsidP="000F73C3">
      <w:pPr>
        <w:jc w:val="both"/>
        <w:outlineLvl w:val="0"/>
        <w:rPr>
          <w:rFonts w:ascii="Arial" w:hAnsi="Arial" w:cs="Arial"/>
          <w:noProof/>
          <w:sz w:val="22"/>
          <w:szCs w:val="22"/>
        </w:rPr>
      </w:pPr>
      <w:r w:rsidRPr="00FF6C95">
        <w:rPr>
          <w:rFonts w:ascii="Arial" w:hAnsi="Arial" w:cs="Arial"/>
          <w:noProof/>
          <w:sz w:val="22"/>
          <w:szCs w:val="22"/>
        </w:rPr>
        <w:t>EUAUXBOILER</w:t>
      </w:r>
      <w:r>
        <w:rPr>
          <w:rFonts w:ascii="Arial" w:hAnsi="Arial" w:cs="Arial"/>
          <w:noProof/>
          <w:sz w:val="22"/>
          <w:szCs w:val="22"/>
        </w:rPr>
        <w:t xml:space="preserve"> at the stationary source is subject to the Standards of Performance for Industrial-Commercial</w:t>
      </w:r>
      <w:r w:rsidR="00446B88">
        <w:rPr>
          <w:rFonts w:ascii="Arial" w:hAnsi="Arial" w:cs="Arial"/>
          <w:noProof/>
          <w:sz w:val="22"/>
          <w:szCs w:val="22"/>
        </w:rPr>
        <w:t>-</w:t>
      </w:r>
      <w:r>
        <w:rPr>
          <w:rFonts w:ascii="Arial" w:hAnsi="Arial" w:cs="Arial"/>
          <w:noProof/>
          <w:sz w:val="22"/>
          <w:szCs w:val="22"/>
        </w:rPr>
        <w:t>Institutional Steam Generating Units promulgated in 40</w:t>
      </w:r>
      <w:r w:rsidR="00E962B8">
        <w:rPr>
          <w:rFonts w:ascii="Arial" w:hAnsi="Arial" w:cs="Arial"/>
          <w:noProof/>
          <w:sz w:val="22"/>
          <w:szCs w:val="22"/>
        </w:rPr>
        <w:t xml:space="preserve"> </w:t>
      </w:r>
      <w:r>
        <w:rPr>
          <w:rFonts w:ascii="Arial" w:hAnsi="Arial" w:cs="Arial"/>
          <w:noProof/>
          <w:sz w:val="22"/>
          <w:szCs w:val="22"/>
        </w:rPr>
        <w:t>CFR Part 60, Subparts A and Dc.</w:t>
      </w:r>
      <w:r w:rsidR="00446B88">
        <w:rPr>
          <w:rFonts w:ascii="Arial" w:hAnsi="Arial" w:cs="Arial"/>
          <w:noProof/>
          <w:sz w:val="22"/>
          <w:szCs w:val="22"/>
        </w:rPr>
        <w:t xml:space="preserve">  </w:t>
      </w:r>
    </w:p>
    <w:p w14:paraId="00EA3C82" w14:textId="77777777" w:rsidR="00112080" w:rsidRDefault="00112080" w:rsidP="000F73C3">
      <w:pPr>
        <w:jc w:val="both"/>
        <w:outlineLvl w:val="0"/>
        <w:rPr>
          <w:rFonts w:ascii="Arial" w:hAnsi="Arial" w:cs="Arial"/>
          <w:noProof/>
          <w:sz w:val="22"/>
          <w:szCs w:val="22"/>
        </w:rPr>
      </w:pPr>
    </w:p>
    <w:p w14:paraId="68DF3C57" w14:textId="45F98F15" w:rsidR="00112080" w:rsidRDefault="00446B88" w:rsidP="000F73C3">
      <w:pPr>
        <w:jc w:val="both"/>
        <w:outlineLvl w:val="0"/>
        <w:rPr>
          <w:rFonts w:ascii="Arial" w:hAnsi="Arial" w:cs="Arial"/>
          <w:noProof/>
          <w:sz w:val="22"/>
          <w:szCs w:val="22"/>
        </w:rPr>
      </w:pPr>
      <w:r w:rsidRPr="00446B88">
        <w:rPr>
          <w:rFonts w:ascii="Arial" w:hAnsi="Arial" w:cs="Arial"/>
          <w:noProof/>
          <w:sz w:val="22"/>
          <w:szCs w:val="22"/>
        </w:rPr>
        <w:t>EU</w:t>
      </w:r>
      <w:r>
        <w:rPr>
          <w:rFonts w:ascii="Arial" w:hAnsi="Arial" w:cs="Arial"/>
          <w:noProof/>
          <w:sz w:val="22"/>
          <w:szCs w:val="22"/>
        </w:rPr>
        <w:t>EMENGINE</w:t>
      </w:r>
      <w:r w:rsidRPr="00446B88">
        <w:rPr>
          <w:rFonts w:ascii="Arial" w:hAnsi="Arial" w:cs="Arial"/>
          <w:noProof/>
          <w:sz w:val="22"/>
          <w:szCs w:val="22"/>
        </w:rPr>
        <w:t xml:space="preserve"> at the stationary source is subject to the Standards of Performance for </w:t>
      </w:r>
      <w:r>
        <w:rPr>
          <w:rFonts w:ascii="Arial" w:hAnsi="Arial" w:cs="Arial"/>
          <w:noProof/>
          <w:sz w:val="22"/>
          <w:szCs w:val="22"/>
        </w:rPr>
        <w:t>Stationary Compression Ignition Internal Combustion Engines</w:t>
      </w:r>
      <w:r w:rsidRPr="00446B88">
        <w:rPr>
          <w:rFonts w:ascii="Arial" w:hAnsi="Arial" w:cs="Arial"/>
          <w:noProof/>
          <w:sz w:val="22"/>
          <w:szCs w:val="22"/>
        </w:rPr>
        <w:t xml:space="preserve"> promulgated in 40</w:t>
      </w:r>
      <w:r w:rsidR="001D6952">
        <w:rPr>
          <w:rFonts w:ascii="Arial" w:hAnsi="Arial" w:cs="Arial"/>
          <w:noProof/>
          <w:sz w:val="22"/>
          <w:szCs w:val="22"/>
        </w:rPr>
        <w:t xml:space="preserve"> </w:t>
      </w:r>
      <w:r w:rsidRPr="00446B88">
        <w:rPr>
          <w:rFonts w:ascii="Arial" w:hAnsi="Arial" w:cs="Arial"/>
          <w:noProof/>
          <w:sz w:val="22"/>
          <w:szCs w:val="22"/>
        </w:rPr>
        <w:t xml:space="preserve">CFR Part 60, Subparts A and </w:t>
      </w:r>
      <w:r>
        <w:rPr>
          <w:rFonts w:ascii="Arial" w:hAnsi="Arial" w:cs="Arial"/>
          <w:noProof/>
          <w:sz w:val="22"/>
          <w:szCs w:val="22"/>
        </w:rPr>
        <w:t>IIII</w:t>
      </w:r>
      <w:r w:rsidRPr="00446B88">
        <w:rPr>
          <w:rFonts w:ascii="Arial" w:hAnsi="Arial" w:cs="Arial"/>
          <w:noProof/>
          <w:sz w:val="22"/>
          <w:szCs w:val="22"/>
        </w:rPr>
        <w:t>.</w:t>
      </w:r>
      <w:r w:rsidR="00FF6C95">
        <w:rPr>
          <w:rFonts w:ascii="Arial" w:hAnsi="Arial" w:cs="Arial"/>
          <w:noProof/>
          <w:sz w:val="22"/>
          <w:szCs w:val="22"/>
        </w:rPr>
        <w:t xml:space="preserve">  </w:t>
      </w:r>
    </w:p>
    <w:p w14:paraId="1C68DCB5" w14:textId="77777777" w:rsidR="00112080" w:rsidRDefault="00112080" w:rsidP="000F73C3">
      <w:pPr>
        <w:jc w:val="both"/>
        <w:outlineLvl w:val="0"/>
        <w:rPr>
          <w:rFonts w:ascii="Arial" w:hAnsi="Arial" w:cs="Arial"/>
          <w:noProof/>
          <w:sz w:val="22"/>
          <w:szCs w:val="22"/>
        </w:rPr>
      </w:pPr>
    </w:p>
    <w:p w14:paraId="1B3CEFD7" w14:textId="3275E16B" w:rsidR="000F73C3" w:rsidRPr="00290754" w:rsidRDefault="00446B88" w:rsidP="000F73C3">
      <w:pPr>
        <w:jc w:val="both"/>
        <w:outlineLvl w:val="0"/>
        <w:rPr>
          <w:rFonts w:ascii="Arial" w:hAnsi="Arial" w:cs="Arial"/>
          <w:sz w:val="22"/>
          <w:szCs w:val="22"/>
        </w:rPr>
      </w:pPr>
      <w:r>
        <w:rPr>
          <w:rFonts w:ascii="Arial" w:hAnsi="Arial" w:cs="Arial"/>
          <w:noProof/>
          <w:sz w:val="22"/>
          <w:szCs w:val="22"/>
        </w:rPr>
        <w:t>EUCTGHRSG1 and EUCTGHRSG2</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335574">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noProof/>
          <w:sz w:val="22"/>
          <w:szCs w:val="22"/>
        </w:rPr>
        <w:t>Stationary Combustion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KKKK and the Standards of Performance for Greenhouse Gas Emissions for Electric Generating Units</w:t>
      </w:r>
      <w:r w:rsidR="00FB7D19">
        <w:rPr>
          <w:rFonts w:ascii="Arial" w:hAnsi="Arial" w:cs="Arial"/>
          <w:noProof/>
          <w:sz w:val="22"/>
          <w:szCs w:val="22"/>
        </w:rPr>
        <w:t xml:space="preserve"> promulgated in 40</w:t>
      </w:r>
      <w:r w:rsidR="00FD7F8F">
        <w:rPr>
          <w:rFonts w:ascii="Arial" w:hAnsi="Arial" w:cs="Arial"/>
          <w:noProof/>
          <w:sz w:val="22"/>
          <w:szCs w:val="22"/>
        </w:rPr>
        <w:t> </w:t>
      </w:r>
      <w:r w:rsidR="00FB7D19">
        <w:rPr>
          <w:rFonts w:ascii="Arial" w:hAnsi="Arial" w:cs="Arial"/>
          <w:noProof/>
          <w:sz w:val="22"/>
          <w:szCs w:val="22"/>
        </w:rPr>
        <w:t>CFR Part 60, Subparts A and TTTT</w:t>
      </w:r>
      <w:r w:rsidR="000F73C3" w:rsidRPr="00290754">
        <w:rPr>
          <w:rFonts w:ascii="Arial" w:hAnsi="Arial" w:cs="Arial"/>
          <w:sz w:val="22"/>
          <w:szCs w:val="22"/>
        </w:rPr>
        <w:t>.</w:t>
      </w:r>
    </w:p>
    <w:p w14:paraId="0BC9D942" w14:textId="77777777" w:rsidR="00086493" w:rsidRPr="00604E76" w:rsidRDefault="00086493" w:rsidP="000F73C3">
      <w:pPr>
        <w:jc w:val="both"/>
        <w:rPr>
          <w:rFonts w:ascii="Arial" w:hAnsi="Arial" w:cs="Arial"/>
          <w:sz w:val="22"/>
          <w:szCs w:val="22"/>
        </w:rPr>
      </w:pPr>
    </w:p>
    <w:p w14:paraId="7B91DBA3" w14:textId="25394B7E" w:rsidR="000F73C3" w:rsidRDefault="00FB7D19" w:rsidP="000F73C3">
      <w:pPr>
        <w:jc w:val="both"/>
        <w:rPr>
          <w:rFonts w:ascii="Arial" w:hAnsi="Arial" w:cs="Arial"/>
          <w:sz w:val="22"/>
          <w:szCs w:val="22"/>
        </w:rPr>
      </w:pPr>
      <w:r w:rsidRPr="00FB7D19">
        <w:rPr>
          <w:rFonts w:ascii="Arial" w:hAnsi="Arial" w:cs="Arial"/>
          <w:noProof/>
          <w:sz w:val="22"/>
          <w:szCs w:val="22"/>
        </w:rPr>
        <w:t>EUEMENGINE</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335574">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noProof/>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ZZZZ</w:t>
      </w:r>
      <w:r w:rsidR="000F73C3" w:rsidRPr="00290754">
        <w:rPr>
          <w:rFonts w:ascii="Arial" w:hAnsi="Arial" w:cs="Arial"/>
          <w:sz w:val="22"/>
          <w:szCs w:val="22"/>
        </w:rPr>
        <w:t>.</w:t>
      </w:r>
      <w:r w:rsidR="00216EBD">
        <w:rPr>
          <w:rFonts w:ascii="Arial" w:hAnsi="Arial" w:cs="Arial"/>
          <w:sz w:val="22"/>
          <w:szCs w:val="22"/>
        </w:rPr>
        <w:t xml:space="preserve">  As a new stationary RICE located at an area source, 40 CFR 63.6590(c) stipulates that this unit must meet the requirements of this part by meeting the requirements of 40 CFR Part 60</w:t>
      </w:r>
      <w:r w:rsidR="00163A39">
        <w:rPr>
          <w:rFonts w:ascii="Arial" w:hAnsi="Arial" w:cs="Arial"/>
          <w:sz w:val="22"/>
          <w:szCs w:val="22"/>
        </w:rPr>
        <w:t>,</w:t>
      </w:r>
      <w:r w:rsidR="00216EBD">
        <w:rPr>
          <w:rFonts w:ascii="Arial" w:hAnsi="Arial" w:cs="Arial"/>
          <w:sz w:val="22"/>
          <w:szCs w:val="22"/>
        </w:rPr>
        <w:t xml:space="preserve"> </w:t>
      </w:r>
      <w:r w:rsidR="00163A39">
        <w:rPr>
          <w:rFonts w:ascii="Arial" w:hAnsi="Arial" w:cs="Arial"/>
          <w:sz w:val="22"/>
          <w:szCs w:val="22"/>
        </w:rPr>
        <w:t xml:space="preserve">Subpart </w:t>
      </w:r>
      <w:r w:rsidR="00216EBD">
        <w:rPr>
          <w:rFonts w:ascii="Arial" w:hAnsi="Arial" w:cs="Arial"/>
          <w:sz w:val="22"/>
          <w:szCs w:val="22"/>
        </w:rPr>
        <w:t xml:space="preserve">IIII. </w:t>
      </w:r>
    </w:p>
    <w:p w14:paraId="212189DD" w14:textId="77777777" w:rsidR="0044576F" w:rsidRPr="00880972" w:rsidRDefault="0044576F" w:rsidP="000F73C3">
      <w:pPr>
        <w:jc w:val="both"/>
        <w:rPr>
          <w:rFonts w:ascii="Arial" w:hAnsi="Arial" w:cs="Arial"/>
          <w:sz w:val="22"/>
          <w:szCs w:val="22"/>
        </w:rPr>
      </w:pPr>
    </w:p>
    <w:p w14:paraId="42324DE0" w14:textId="6C5E0E7B" w:rsidR="00337750" w:rsidRDefault="00FB7D19" w:rsidP="00337750">
      <w:pPr>
        <w:jc w:val="both"/>
        <w:outlineLvl w:val="0"/>
        <w:rPr>
          <w:rFonts w:ascii="Arial" w:hAnsi="Arial" w:cs="Arial"/>
          <w:sz w:val="22"/>
          <w:szCs w:val="22"/>
        </w:rPr>
      </w:pPr>
      <w:r>
        <w:rPr>
          <w:rFonts w:ascii="Arial" w:hAnsi="Arial" w:cs="Arial"/>
          <w:noProof/>
          <w:sz w:val="22"/>
          <w:szCs w:val="22"/>
        </w:rPr>
        <w:t>EUCTGHRSG1 and EUCTGHRSG2</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sidR="00335574">
        <w:rPr>
          <w:rFonts w:ascii="Arial" w:hAnsi="Arial" w:cs="Arial"/>
          <w:sz w:val="22"/>
          <w:szCs w:val="22"/>
        </w:rPr>
        <w:t>are</w:t>
      </w:r>
      <w:r w:rsidR="00337750">
        <w:rPr>
          <w:rFonts w:ascii="Arial" w:hAnsi="Arial" w:cs="Arial"/>
          <w:sz w:val="22"/>
          <w:szCs w:val="22"/>
        </w:rPr>
        <w:t xml:space="preserv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1EE2632B" w14:textId="77777777" w:rsidR="00337750" w:rsidRDefault="00337750" w:rsidP="00337750">
      <w:pPr>
        <w:jc w:val="both"/>
        <w:outlineLvl w:val="0"/>
        <w:rPr>
          <w:rFonts w:ascii="Arial" w:hAnsi="Arial" w:cs="Arial"/>
          <w:sz w:val="22"/>
          <w:szCs w:val="22"/>
        </w:rPr>
      </w:pPr>
    </w:p>
    <w:p w14:paraId="09C10C97" w14:textId="379F8693" w:rsidR="00337750" w:rsidRPr="00DE6E0D" w:rsidRDefault="008B3BE9" w:rsidP="0001165D">
      <w:pPr>
        <w:jc w:val="both"/>
        <w:rPr>
          <w:rFonts w:ascii="Arial" w:hAnsi="Arial" w:cs="Arial"/>
          <w:sz w:val="22"/>
          <w:szCs w:val="22"/>
        </w:rPr>
      </w:pPr>
      <w:r w:rsidRPr="008B3BE9">
        <w:rPr>
          <w:rFonts w:ascii="Arial" w:hAnsi="Arial" w:cs="Arial"/>
          <w:noProof/>
          <w:sz w:val="22"/>
          <w:szCs w:val="22"/>
        </w:rPr>
        <w:t>EUCTGHRSG1 and EUCTGHRSG2</w:t>
      </w:r>
      <w:r w:rsidR="00337750" w:rsidRPr="00DE6E0D">
        <w:rPr>
          <w:rFonts w:ascii="Arial" w:hAnsi="Arial" w:cs="Arial"/>
          <w:sz w:val="22"/>
          <w:szCs w:val="22"/>
        </w:rPr>
        <w:t xml:space="preserve"> at the stationary source </w:t>
      </w:r>
      <w:r w:rsidR="00335574">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Annual Trading Program pursuant to 40 CFR Part 97, Subpart AAAAA.</w:t>
      </w:r>
    </w:p>
    <w:p w14:paraId="4E0CC5E9" w14:textId="77777777" w:rsidR="00337750" w:rsidRDefault="00337750" w:rsidP="0001165D">
      <w:pPr>
        <w:jc w:val="both"/>
        <w:rPr>
          <w:rFonts w:ascii="Arial" w:hAnsi="Arial" w:cs="Arial"/>
          <w:sz w:val="22"/>
          <w:szCs w:val="22"/>
        </w:rPr>
      </w:pPr>
    </w:p>
    <w:p w14:paraId="1589EC4C" w14:textId="77777777" w:rsidR="002E17B6" w:rsidRPr="00DE6E0D" w:rsidRDefault="002E17B6" w:rsidP="002E17B6">
      <w:pPr>
        <w:jc w:val="both"/>
        <w:rPr>
          <w:rFonts w:ascii="Arial" w:hAnsi="Arial" w:cs="Arial"/>
          <w:sz w:val="22"/>
          <w:szCs w:val="22"/>
        </w:rPr>
      </w:pPr>
      <w:r w:rsidRPr="008B3BE9">
        <w:rPr>
          <w:rFonts w:ascii="Arial" w:hAnsi="Arial" w:cs="Arial"/>
          <w:noProof/>
          <w:sz w:val="22"/>
          <w:szCs w:val="22"/>
        </w:rPr>
        <w:t>EUCTGHRSG1 and EUCTGHRSG2</w:t>
      </w:r>
      <w:r w:rsidRPr="00DE6E0D">
        <w:rPr>
          <w:rFonts w:ascii="Arial" w:hAnsi="Arial" w:cs="Arial"/>
          <w:sz w:val="22"/>
          <w:szCs w:val="22"/>
        </w:rPr>
        <w:fldChar w:fldCharType="begin" w:fldLock="1">
          <w:ffData>
            <w:name w:val=""/>
            <w:enabled/>
            <w:calcOnExit w:val="0"/>
            <w:textInput/>
          </w:ffData>
        </w:fldChar>
      </w:r>
      <w:r w:rsidRPr="00DE6E0D">
        <w:rPr>
          <w:rFonts w:ascii="Arial" w:hAnsi="Arial" w:cs="Arial"/>
          <w:sz w:val="22"/>
          <w:szCs w:val="22"/>
        </w:rPr>
        <w:instrText xml:space="preserve"> FORMTEXT </w:instrText>
      </w:r>
      <w:r w:rsidR="00FB61D2">
        <w:rPr>
          <w:rFonts w:ascii="Arial" w:hAnsi="Arial" w:cs="Arial"/>
          <w:sz w:val="22"/>
          <w:szCs w:val="22"/>
        </w:rPr>
      </w:r>
      <w:r w:rsidR="00FB61D2">
        <w:rPr>
          <w:rFonts w:ascii="Arial" w:hAnsi="Arial" w:cs="Arial"/>
          <w:sz w:val="22"/>
          <w:szCs w:val="22"/>
        </w:rPr>
        <w:fldChar w:fldCharType="separate"/>
      </w:r>
      <w:r w:rsidRPr="00DE6E0D">
        <w:rPr>
          <w:rFonts w:ascii="Arial" w:hAnsi="Arial" w:cs="Arial"/>
          <w:sz w:val="22"/>
          <w:szCs w:val="22"/>
        </w:rPr>
        <w:fldChar w:fldCharType="end"/>
      </w:r>
      <w:r w:rsidRPr="00DE6E0D">
        <w:rPr>
          <w:rFonts w:ascii="Arial" w:hAnsi="Arial" w:cs="Arial"/>
          <w:sz w:val="22"/>
          <w:szCs w:val="22"/>
        </w:rPr>
        <w:t xml:space="preserve"> at the stationary source </w:t>
      </w:r>
      <w:r>
        <w:rPr>
          <w:rFonts w:ascii="Arial" w:hAnsi="Arial" w:cs="Arial"/>
          <w:sz w:val="22"/>
          <w:szCs w:val="22"/>
        </w:rPr>
        <w:t>are</w:t>
      </w:r>
      <w:r w:rsidRPr="00DE6E0D">
        <w:rPr>
          <w:rFonts w:ascii="Arial" w:hAnsi="Arial" w:cs="Arial"/>
          <w:sz w:val="22"/>
          <w:szCs w:val="22"/>
        </w:rPr>
        <w:t xml:space="preserve"> subject to the Cross-State Air Pollution Rule NO</w:t>
      </w:r>
      <w:r w:rsidRPr="00DE6E0D">
        <w:rPr>
          <w:rFonts w:ascii="Arial" w:hAnsi="Arial" w:cs="Arial"/>
          <w:sz w:val="22"/>
          <w:szCs w:val="22"/>
          <w:vertAlign w:val="subscript"/>
        </w:rPr>
        <w:t>x</w:t>
      </w:r>
      <w:r w:rsidRPr="00DE6E0D">
        <w:rPr>
          <w:rFonts w:ascii="Arial" w:hAnsi="Arial" w:cs="Arial"/>
          <w:sz w:val="22"/>
          <w:szCs w:val="22"/>
        </w:rPr>
        <w:t xml:space="preserve"> Ozone Season Group </w:t>
      </w:r>
      <w:r>
        <w:rPr>
          <w:rFonts w:ascii="Arial" w:hAnsi="Arial" w:cs="Arial"/>
          <w:sz w:val="22"/>
          <w:szCs w:val="22"/>
        </w:rPr>
        <w:t>3</w:t>
      </w:r>
      <w:r w:rsidRPr="00DE6E0D">
        <w:rPr>
          <w:rFonts w:ascii="Arial" w:hAnsi="Arial" w:cs="Arial"/>
          <w:sz w:val="22"/>
          <w:szCs w:val="22"/>
        </w:rPr>
        <w:t xml:space="preserve"> Trading Program pursuant to 40 CFR Part 97, Subpart </w:t>
      </w:r>
      <w:r>
        <w:rPr>
          <w:rFonts w:ascii="Arial" w:hAnsi="Arial" w:cs="Arial"/>
          <w:sz w:val="22"/>
          <w:szCs w:val="22"/>
        </w:rPr>
        <w:t>GGGGG</w:t>
      </w:r>
      <w:r w:rsidRPr="00DE6E0D">
        <w:rPr>
          <w:rFonts w:ascii="Arial" w:hAnsi="Arial" w:cs="Arial"/>
          <w:sz w:val="22"/>
          <w:szCs w:val="22"/>
        </w:rPr>
        <w:t>.</w:t>
      </w:r>
    </w:p>
    <w:p w14:paraId="673AE477" w14:textId="77777777" w:rsidR="002E17B6" w:rsidRPr="00DE6E0D" w:rsidRDefault="002E17B6" w:rsidP="002E17B6">
      <w:pPr>
        <w:jc w:val="both"/>
        <w:rPr>
          <w:rFonts w:ascii="Arial" w:hAnsi="Arial" w:cs="Arial"/>
          <w:sz w:val="22"/>
          <w:szCs w:val="22"/>
        </w:rPr>
      </w:pPr>
    </w:p>
    <w:p w14:paraId="595BA6A9" w14:textId="77777777" w:rsidR="002E17B6" w:rsidRPr="00337750" w:rsidRDefault="002E17B6" w:rsidP="002E17B6">
      <w:pPr>
        <w:jc w:val="both"/>
        <w:rPr>
          <w:rFonts w:ascii="Arial" w:hAnsi="Arial" w:cs="Arial"/>
          <w:sz w:val="22"/>
          <w:szCs w:val="22"/>
        </w:rPr>
      </w:pPr>
      <w:r w:rsidRPr="008B3BE9">
        <w:rPr>
          <w:rFonts w:ascii="Arial" w:hAnsi="Arial" w:cs="Arial"/>
          <w:noProof/>
          <w:sz w:val="22"/>
          <w:szCs w:val="22"/>
        </w:rPr>
        <w:t>EUCTGHRSG1 and EUCTGHRSG2</w:t>
      </w:r>
      <w:r w:rsidRPr="00DE6E0D">
        <w:rPr>
          <w:rFonts w:ascii="Arial" w:hAnsi="Arial" w:cs="Arial"/>
          <w:sz w:val="22"/>
          <w:szCs w:val="22"/>
        </w:rPr>
        <w:t xml:space="preserve"> at the stationary source </w:t>
      </w:r>
      <w:r>
        <w:rPr>
          <w:rFonts w:ascii="Arial" w:hAnsi="Arial" w:cs="Arial"/>
          <w:sz w:val="22"/>
          <w:szCs w:val="22"/>
        </w:rPr>
        <w:t xml:space="preserve">are </w:t>
      </w:r>
      <w:r w:rsidRPr="00DE6E0D">
        <w:rPr>
          <w:rFonts w:ascii="Arial" w:hAnsi="Arial" w:cs="Arial"/>
          <w:sz w:val="22"/>
          <w:szCs w:val="22"/>
        </w:rPr>
        <w:t>subject to the Cross-State Air Pollution Rule SO</w:t>
      </w:r>
      <w:r w:rsidRPr="00DE6E0D">
        <w:rPr>
          <w:rFonts w:ascii="Arial" w:hAnsi="Arial" w:cs="Arial"/>
          <w:sz w:val="22"/>
          <w:szCs w:val="22"/>
          <w:vertAlign w:val="subscript"/>
        </w:rPr>
        <w:t>2</w:t>
      </w:r>
      <w:r w:rsidRPr="00DE6E0D">
        <w:rPr>
          <w:rFonts w:ascii="Arial" w:hAnsi="Arial" w:cs="Arial"/>
          <w:sz w:val="22"/>
          <w:szCs w:val="22"/>
        </w:rPr>
        <w:t xml:space="preserve"> Group 1 Trading Program pursuant to 40 CFR Part 97, Subpart CCCCC.</w:t>
      </w:r>
    </w:p>
    <w:p w14:paraId="5D72BB57" w14:textId="77777777" w:rsidR="002E17B6" w:rsidRPr="00DE6E0D" w:rsidRDefault="002E17B6" w:rsidP="0001165D">
      <w:pPr>
        <w:jc w:val="both"/>
        <w:rPr>
          <w:rFonts w:ascii="Arial" w:hAnsi="Arial" w:cs="Arial"/>
          <w:sz w:val="22"/>
          <w:szCs w:val="22"/>
        </w:rPr>
      </w:pPr>
    </w:p>
    <w:p w14:paraId="5FBECA02" w14:textId="1A85D9CC"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5589574" w14:textId="77777777" w:rsidR="000F73C3" w:rsidRDefault="000F73C3" w:rsidP="000F73C3">
      <w:pPr>
        <w:jc w:val="both"/>
        <w:rPr>
          <w:rFonts w:ascii="Arial" w:hAnsi="Arial" w:cs="Arial"/>
          <w:sz w:val="22"/>
          <w:szCs w:val="22"/>
        </w:rPr>
      </w:pPr>
    </w:p>
    <w:p w14:paraId="151D579F" w14:textId="37947ED7" w:rsidR="00EE2371" w:rsidRPr="00EE2371" w:rsidRDefault="00EE2371" w:rsidP="00EE2371">
      <w:pPr>
        <w:jc w:val="both"/>
        <w:rPr>
          <w:rFonts w:ascii="Arial" w:hAnsi="Arial" w:cs="Arial"/>
          <w:sz w:val="22"/>
          <w:szCs w:val="22"/>
        </w:rPr>
      </w:pPr>
      <w:r w:rsidRPr="00EE2371">
        <w:rPr>
          <w:rFonts w:ascii="Arial" w:hAnsi="Arial" w:cs="Arial"/>
          <w:sz w:val="22"/>
          <w:szCs w:val="22"/>
        </w:rPr>
        <w:t>EUAUXBOILER does not have emission limitations or standards that are subject to the federal Compliance Assurance Monitoring rule pursuant to 40 CFR Part 64, because the unit does not have potential pre-control emissions over the major source thresholds.  The NO</w:t>
      </w:r>
      <w:r w:rsidRPr="00FD7F8F">
        <w:rPr>
          <w:rFonts w:ascii="Arial" w:hAnsi="Arial" w:cs="Arial"/>
          <w:sz w:val="22"/>
          <w:szCs w:val="22"/>
          <w:vertAlign w:val="subscript"/>
        </w:rPr>
        <w:t>x</w:t>
      </w:r>
      <w:r w:rsidRPr="00EE2371">
        <w:rPr>
          <w:rFonts w:ascii="Arial" w:hAnsi="Arial" w:cs="Arial"/>
          <w:sz w:val="22"/>
          <w:szCs w:val="22"/>
        </w:rPr>
        <w:t xml:space="preserve"> emissions are controlled using a flue gas recirculation system. </w:t>
      </w:r>
      <w:r>
        <w:rPr>
          <w:rFonts w:ascii="Arial" w:hAnsi="Arial" w:cs="Arial"/>
          <w:sz w:val="22"/>
          <w:szCs w:val="22"/>
        </w:rPr>
        <w:t xml:space="preserve"> </w:t>
      </w:r>
      <w:r w:rsidRPr="00EE2371">
        <w:rPr>
          <w:rFonts w:ascii="Arial" w:hAnsi="Arial" w:cs="Arial"/>
          <w:sz w:val="22"/>
          <w:szCs w:val="22"/>
        </w:rPr>
        <w:t>The pre-control NO</w:t>
      </w:r>
      <w:r w:rsidRPr="00FD7F8F">
        <w:rPr>
          <w:rFonts w:ascii="Arial" w:hAnsi="Arial" w:cs="Arial"/>
          <w:sz w:val="22"/>
          <w:szCs w:val="22"/>
          <w:vertAlign w:val="subscript"/>
        </w:rPr>
        <w:t>x</w:t>
      </w:r>
      <w:r w:rsidRPr="00EE2371">
        <w:rPr>
          <w:rFonts w:ascii="Arial" w:hAnsi="Arial" w:cs="Arial"/>
          <w:sz w:val="22"/>
          <w:szCs w:val="22"/>
        </w:rPr>
        <w:t xml:space="preserve"> potential to emit (PTE) from EUAUXBOILER is 15 </w:t>
      </w:r>
      <w:proofErr w:type="spellStart"/>
      <w:r w:rsidRPr="00EE2371">
        <w:rPr>
          <w:rFonts w:ascii="Arial" w:hAnsi="Arial" w:cs="Arial"/>
          <w:sz w:val="22"/>
          <w:szCs w:val="22"/>
        </w:rPr>
        <w:t>tpy</w:t>
      </w:r>
      <w:proofErr w:type="spellEnd"/>
      <w:r w:rsidRPr="00EE2371">
        <w:rPr>
          <w:rFonts w:ascii="Arial" w:hAnsi="Arial" w:cs="Arial"/>
          <w:sz w:val="22"/>
          <w:szCs w:val="22"/>
        </w:rPr>
        <w:t xml:space="preserve">. </w:t>
      </w:r>
    </w:p>
    <w:p w14:paraId="7D5A7823" w14:textId="77777777" w:rsidR="00EE2371" w:rsidRPr="00E962B8" w:rsidRDefault="00EE2371" w:rsidP="00EE2371">
      <w:pPr>
        <w:jc w:val="both"/>
        <w:rPr>
          <w:rFonts w:ascii="Arial" w:hAnsi="Arial" w:cs="Arial"/>
          <w:sz w:val="22"/>
          <w:szCs w:val="22"/>
        </w:rPr>
      </w:pPr>
    </w:p>
    <w:p w14:paraId="3501E9D6" w14:textId="3379F86B" w:rsidR="00D438E4" w:rsidRDefault="00D438E4" w:rsidP="00D9587D">
      <w:pPr>
        <w:jc w:val="both"/>
        <w:rPr>
          <w:rFonts w:ascii="Arial" w:hAnsi="Arial" w:cs="Arial"/>
          <w:sz w:val="22"/>
          <w:szCs w:val="22"/>
        </w:rPr>
      </w:pPr>
      <w:r>
        <w:rPr>
          <w:rFonts w:ascii="Arial" w:hAnsi="Arial" w:cs="Arial"/>
          <w:sz w:val="22"/>
          <w:szCs w:val="22"/>
        </w:rPr>
        <w:t xml:space="preserve">The following emission limits from </w:t>
      </w:r>
      <w:r w:rsidRPr="008B3BE9">
        <w:rPr>
          <w:rFonts w:ascii="Arial" w:hAnsi="Arial" w:cs="Arial"/>
          <w:noProof/>
          <w:sz w:val="22"/>
          <w:szCs w:val="22"/>
        </w:rPr>
        <w:t>EUCTGHRSG1 and EUCTGHRSG2</w:t>
      </w:r>
      <w:r>
        <w:rPr>
          <w:rFonts w:ascii="Arial" w:hAnsi="Arial" w:cs="Arial"/>
          <w:sz w:val="22"/>
          <w:szCs w:val="22"/>
        </w:rPr>
        <w:t xml:space="preserve"> at the stationary source are exempt from the federal Compliance Assurance Monitoring (CAM) regulation pursuant to 40 CFR 64.2(b)(1)(vi) because these emission limits meet the CAM exemption for a continuous compliance determination method:</w:t>
      </w:r>
    </w:p>
    <w:p w14:paraId="0D760A6E" w14:textId="77777777" w:rsidR="005A1EAD" w:rsidRDefault="005A1EAD" w:rsidP="00D9587D">
      <w:pPr>
        <w:jc w:val="both"/>
        <w:rPr>
          <w:rFonts w:ascii="Arial" w:hAnsi="Arial" w:cs="Arial"/>
          <w:sz w:val="22"/>
          <w:szCs w:val="22"/>
        </w:rPr>
      </w:pPr>
    </w:p>
    <w:tbl>
      <w:tblPr>
        <w:tblW w:w="102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50"/>
        <w:gridCol w:w="1980"/>
        <w:gridCol w:w="6930"/>
      </w:tblGrid>
      <w:tr w:rsidR="005A1EAD" w:rsidRPr="00E962B8" w14:paraId="2494AA82" w14:textId="77777777" w:rsidTr="00FD7F8F">
        <w:trPr>
          <w:tblHeader/>
        </w:trPr>
        <w:tc>
          <w:tcPr>
            <w:tcW w:w="1350" w:type="dxa"/>
            <w:shd w:val="clear" w:color="auto" w:fill="D9D9D9"/>
          </w:tcPr>
          <w:p w14:paraId="736BE8D1" w14:textId="239A193B" w:rsidR="005A1EAD" w:rsidRPr="00E962B8" w:rsidRDefault="005A1EAD" w:rsidP="00093723">
            <w:pPr>
              <w:rPr>
                <w:rFonts w:ascii="Arial" w:eastAsia="Calibri" w:hAnsi="Arial" w:cs="Arial"/>
                <w:b/>
              </w:rPr>
            </w:pPr>
            <w:r w:rsidRPr="00E962B8">
              <w:rPr>
                <w:rFonts w:ascii="Arial" w:eastAsia="Calibri" w:hAnsi="Arial" w:cs="Arial"/>
                <w:b/>
              </w:rPr>
              <w:lastRenderedPageBreak/>
              <w:t>Pollutant</w:t>
            </w:r>
          </w:p>
        </w:tc>
        <w:tc>
          <w:tcPr>
            <w:tcW w:w="1980" w:type="dxa"/>
            <w:shd w:val="clear" w:color="auto" w:fill="D9D9D9"/>
          </w:tcPr>
          <w:p w14:paraId="0DCF8B72" w14:textId="5BD24997" w:rsidR="005A1EAD" w:rsidRPr="00E962B8" w:rsidRDefault="005A1EAD" w:rsidP="00FD7F8F">
            <w:pPr>
              <w:jc w:val="center"/>
              <w:rPr>
                <w:rFonts w:ascii="Arial" w:eastAsia="Calibri" w:hAnsi="Arial" w:cs="Arial"/>
                <w:b/>
              </w:rPr>
            </w:pPr>
            <w:r w:rsidRPr="00E962B8">
              <w:rPr>
                <w:rFonts w:ascii="Arial" w:eastAsia="Calibri" w:hAnsi="Arial" w:cs="Arial"/>
                <w:b/>
              </w:rPr>
              <w:t>Emission Limit</w:t>
            </w:r>
          </w:p>
        </w:tc>
        <w:tc>
          <w:tcPr>
            <w:tcW w:w="6930" w:type="dxa"/>
            <w:shd w:val="clear" w:color="auto" w:fill="D9D9D9"/>
          </w:tcPr>
          <w:p w14:paraId="6E254F15" w14:textId="2492B86B" w:rsidR="005A1EAD" w:rsidRPr="00E962B8" w:rsidRDefault="005A1EAD" w:rsidP="00FD7F8F">
            <w:pPr>
              <w:jc w:val="center"/>
              <w:rPr>
                <w:rFonts w:ascii="Arial" w:eastAsia="Calibri" w:hAnsi="Arial" w:cs="Arial"/>
                <w:b/>
              </w:rPr>
            </w:pPr>
            <w:r w:rsidRPr="00E962B8">
              <w:rPr>
                <w:rFonts w:ascii="Arial" w:eastAsia="Calibri" w:hAnsi="Arial" w:cs="Arial"/>
                <w:b/>
              </w:rPr>
              <w:t>Time Period / Operating Scenario</w:t>
            </w:r>
          </w:p>
        </w:tc>
      </w:tr>
      <w:tr w:rsidR="005A1EAD" w:rsidRPr="00E962B8" w14:paraId="17FC3DC3" w14:textId="77777777" w:rsidTr="00FD7F8F">
        <w:tc>
          <w:tcPr>
            <w:tcW w:w="1350" w:type="dxa"/>
            <w:shd w:val="clear" w:color="auto" w:fill="auto"/>
          </w:tcPr>
          <w:p w14:paraId="765E0B13" w14:textId="0F66DC65" w:rsidR="005A1EAD" w:rsidRPr="00E962B8" w:rsidRDefault="005A1EAD" w:rsidP="005A1EAD">
            <w:pPr>
              <w:jc w:val="center"/>
              <w:rPr>
                <w:rFonts w:ascii="Arial" w:eastAsia="Calibri" w:hAnsi="Arial" w:cs="Arial"/>
                <w:noProof/>
              </w:rPr>
            </w:pPr>
            <w:r w:rsidRPr="00E962B8">
              <w:rPr>
                <w:rFonts w:ascii="Arial" w:eastAsia="Calibri" w:hAnsi="Arial" w:cs="Arial"/>
                <w:noProof/>
              </w:rPr>
              <w:t>NO</w:t>
            </w:r>
            <w:r w:rsidRPr="00E962B8">
              <w:rPr>
                <w:rFonts w:ascii="Arial" w:eastAsia="Calibri" w:hAnsi="Arial" w:cs="Arial"/>
                <w:noProof/>
                <w:vertAlign w:val="subscript"/>
              </w:rPr>
              <w:t>x</w:t>
            </w:r>
          </w:p>
        </w:tc>
        <w:tc>
          <w:tcPr>
            <w:tcW w:w="1980" w:type="dxa"/>
            <w:shd w:val="clear" w:color="auto" w:fill="auto"/>
          </w:tcPr>
          <w:p w14:paraId="419BA35F" w14:textId="77777777" w:rsidR="005A1EAD" w:rsidRPr="00E962B8" w:rsidRDefault="005A1EAD" w:rsidP="005A1EAD">
            <w:pPr>
              <w:jc w:val="center"/>
              <w:rPr>
                <w:rFonts w:ascii="Arial" w:eastAsia="Calibri" w:hAnsi="Arial" w:cs="Arial"/>
                <w:noProof/>
              </w:rPr>
            </w:pPr>
            <w:r w:rsidRPr="00E962B8">
              <w:rPr>
                <w:rFonts w:ascii="Arial" w:eastAsia="Calibri" w:hAnsi="Arial" w:cs="Arial"/>
                <w:noProof/>
              </w:rPr>
              <w:t>2 ppmvd at 15% O</w:t>
            </w:r>
            <w:r w:rsidRPr="00E962B8">
              <w:rPr>
                <w:rFonts w:ascii="Arial" w:eastAsia="Calibri" w:hAnsi="Arial" w:cs="Arial"/>
                <w:noProof/>
                <w:vertAlign w:val="subscript"/>
              </w:rPr>
              <w:t>2</w:t>
            </w:r>
          </w:p>
          <w:p w14:paraId="10DBCD8B" w14:textId="0AD74EDA" w:rsidR="005A1EAD" w:rsidRPr="00E962B8" w:rsidRDefault="005A1EAD" w:rsidP="005A1EAD">
            <w:pPr>
              <w:jc w:val="center"/>
              <w:rPr>
                <w:rFonts w:ascii="Arial" w:eastAsia="Calibri" w:hAnsi="Arial" w:cs="Arial"/>
                <w:noProof/>
              </w:rPr>
            </w:pPr>
            <w:r w:rsidRPr="00E962B8">
              <w:rPr>
                <w:rFonts w:ascii="Arial" w:eastAsia="Calibri" w:hAnsi="Arial" w:cs="Arial"/>
                <w:noProof/>
              </w:rPr>
              <w:t>(each unit)</w:t>
            </w:r>
          </w:p>
        </w:tc>
        <w:tc>
          <w:tcPr>
            <w:tcW w:w="6930" w:type="dxa"/>
            <w:shd w:val="clear" w:color="auto" w:fill="auto"/>
          </w:tcPr>
          <w:p w14:paraId="59133351" w14:textId="62A20059" w:rsidR="005A1EAD" w:rsidRPr="00E962B8" w:rsidRDefault="005A1EAD" w:rsidP="005A1EAD">
            <w:pPr>
              <w:jc w:val="center"/>
              <w:rPr>
                <w:rFonts w:ascii="Arial" w:eastAsia="Calibri" w:hAnsi="Arial" w:cs="Arial"/>
                <w:noProof/>
              </w:rPr>
            </w:pPr>
            <w:r w:rsidRPr="00E962B8">
              <w:rPr>
                <w:rFonts w:ascii="Arial" w:eastAsia="Calibri" w:hAnsi="Arial" w:cs="Arial"/>
                <w:noProof/>
              </w:rPr>
              <w:t>24-hour rolling average as determined each operating hour, except during startup and shutdown</w:t>
            </w:r>
          </w:p>
        </w:tc>
      </w:tr>
      <w:tr w:rsidR="005A1EAD" w:rsidRPr="00E962B8" w14:paraId="37439E01" w14:textId="77777777" w:rsidTr="00FD7F8F">
        <w:tc>
          <w:tcPr>
            <w:tcW w:w="1350" w:type="dxa"/>
            <w:shd w:val="clear" w:color="auto" w:fill="auto"/>
          </w:tcPr>
          <w:p w14:paraId="42DA19EC" w14:textId="670A8A04" w:rsidR="005A1EAD" w:rsidRPr="00E962B8" w:rsidRDefault="005A1EAD" w:rsidP="005A1EAD">
            <w:pPr>
              <w:jc w:val="center"/>
              <w:rPr>
                <w:rFonts w:ascii="Arial" w:eastAsia="Calibri" w:hAnsi="Arial" w:cs="Arial"/>
                <w:noProof/>
              </w:rPr>
            </w:pPr>
            <w:r w:rsidRPr="00E962B8">
              <w:rPr>
                <w:rFonts w:ascii="Arial" w:eastAsia="Calibri" w:hAnsi="Arial" w:cs="Arial"/>
                <w:noProof/>
              </w:rPr>
              <w:t>NO</w:t>
            </w:r>
            <w:r w:rsidRPr="00E962B8">
              <w:rPr>
                <w:rFonts w:ascii="Arial" w:eastAsia="Calibri" w:hAnsi="Arial" w:cs="Arial"/>
                <w:noProof/>
                <w:vertAlign w:val="subscript"/>
              </w:rPr>
              <w:t>x</w:t>
            </w:r>
          </w:p>
        </w:tc>
        <w:tc>
          <w:tcPr>
            <w:tcW w:w="1980" w:type="dxa"/>
            <w:shd w:val="clear" w:color="auto" w:fill="auto"/>
          </w:tcPr>
          <w:p w14:paraId="17290266" w14:textId="77777777" w:rsidR="005A1EAD" w:rsidRPr="00E962B8" w:rsidRDefault="005A1EAD" w:rsidP="005A1EAD">
            <w:pPr>
              <w:jc w:val="center"/>
              <w:rPr>
                <w:rFonts w:ascii="Arial" w:eastAsia="Calibri" w:hAnsi="Arial" w:cs="Arial"/>
                <w:noProof/>
              </w:rPr>
            </w:pPr>
            <w:r w:rsidRPr="00E962B8">
              <w:rPr>
                <w:rFonts w:ascii="Arial" w:eastAsia="Calibri" w:hAnsi="Arial" w:cs="Arial"/>
                <w:noProof/>
              </w:rPr>
              <w:t>15 ppm at 15% O</w:t>
            </w:r>
            <w:r w:rsidRPr="00E962B8">
              <w:rPr>
                <w:rFonts w:ascii="Arial" w:eastAsia="Calibri" w:hAnsi="Arial" w:cs="Arial"/>
                <w:noProof/>
                <w:vertAlign w:val="subscript"/>
              </w:rPr>
              <w:t>2</w:t>
            </w:r>
          </w:p>
          <w:p w14:paraId="44215E25" w14:textId="1B4DBD47" w:rsidR="005A1EAD" w:rsidRPr="00E962B8" w:rsidRDefault="005A1EAD" w:rsidP="005A1EAD">
            <w:pPr>
              <w:jc w:val="center"/>
              <w:rPr>
                <w:rFonts w:ascii="Arial" w:eastAsia="Calibri" w:hAnsi="Arial" w:cs="Arial"/>
                <w:noProof/>
              </w:rPr>
            </w:pPr>
            <w:r w:rsidRPr="00E962B8">
              <w:rPr>
                <w:rFonts w:ascii="Arial" w:eastAsia="Calibri" w:hAnsi="Arial" w:cs="Arial"/>
                <w:noProof/>
              </w:rPr>
              <w:t>(each unit)</w:t>
            </w:r>
          </w:p>
        </w:tc>
        <w:tc>
          <w:tcPr>
            <w:tcW w:w="6930" w:type="dxa"/>
            <w:shd w:val="clear" w:color="auto" w:fill="auto"/>
          </w:tcPr>
          <w:p w14:paraId="3E13D513" w14:textId="41D47FD1" w:rsidR="005A1EAD" w:rsidRPr="00E962B8" w:rsidRDefault="005A1EAD" w:rsidP="005A1EAD">
            <w:pPr>
              <w:jc w:val="center"/>
              <w:rPr>
                <w:rFonts w:ascii="Arial" w:eastAsia="Calibri" w:hAnsi="Arial" w:cs="Arial"/>
                <w:noProof/>
              </w:rPr>
            </w:pPr>
            <w:r w:rsidRPr="00E962B8">
              <w:rPr>
                <w:rFonts w:ascii="Arial" w:eastAsia="Calibri" w:hAnsi="Arial" w:cs="Arial"/>
                <w:noProof/>
              </w:rPr>
              <w:t>30-day rolling average as determined each operating day</w:t>
            </w:r>
          </w:p>
        </w:tc>
      </w:tr>
      <w:tr w:rsidR="005A1EAD" w:rsidRPr="00E962B8" w14:paraId="1570129E" w14:textId="77777777" w:rsidTr="00FD7F8F">
        <w:tc>
          <w:tcPr>
            <w:tcW w:w="1350" w:type="dxa"/>
            <w:shd w:val="clear" w:color="auto" w:fill="auto"/>
          </w:tcPr>
          <w:p w14:paraId="5A2CFA51" w14:textId="10383E82" w:rsidR="005A1EAD" w:rsidRPr="00E962B8" w:rsidRDefault="005A1EAD" w:rsidP="005A1EAD">
            <w:pPr>
              <w:jc w:val="center"/>
              <w:rPr>
                <w:rFonts w:ascii="Arial" w:eastAsia="Calibri" w:hAnsi="Arial" w:cs="Arial"/>
                <w:noProof/>
              </w:rPr>
            </w:pPr>
            <w:r w:rsidRPr="00E962B8">
              <w:rPr>
                <w:rFonts w:ascii="Arial" w:eastAsia="Calibri" w:hAnsi="Arial" w:cs="Arial"/>
                <w:noProof/>
              </w:rPr>
              <w:t>NO</w:t>
            </w:r>
            <w:r w:rsidRPr="00E962B8">
              <w:rPr>
                <w:rFonts w:ascii="Arial" w:eastAsia="Calibri" w:hAnsi="Arial" w:cs="Arial"/>
                <w:noProof/>
                <w:vertAlign w:val="subscript"/>
              </w:rPr>
              <w:t>x</w:t>
            </w:r>
          </w:p>
        </w:tc>
        <w:tc>
          <w:tcPr>
            <w:tcW w:w="1980" w:type="dxa"/>
            <w:shd w:val="clear" w:color="auto" w:fill="auto"/>
          </w:tcPr>
          <w:p w14:paraId="58C2C2F0" w14:textId="77777777" w:rsidR="005A1EAD" w:rsidRPr="00E962B8" w:rsidRDefault="005A1EAD" w:rsidP="005A1EAD">
            <w:pPr>
              <w:jc w:val="center"/>
              <w:rPr>
                <w:rFonts w:ascii="Arial" w:eastAsia="Calibri" w:hAnsi="Arial" w:cs="Arial"/>
                <w:noProof/>
              </w:rPr>
            </w:pPr>
            <w:r w:rsidRPr="00E962B8">
              <w:rPr>
                <w:rFonts w:ascii="Arial" w:eastAsia="Calibri" w:hAnsi="Arial" w:cs="Arial"/>
                <w:noProof/>
              </w:rPr>
              <w:t>27.4 pph</w:t>
            </w:r>
          </w:p>
          <w:p w14:paraId="0A8BDAE2" w14:textId="42BD567E" w:rsidR="005A1EAD" w:rsidRPr="00E962B8" w:rsidRDefault="005A1EAD" w:rsidP="005A1EAD">
            <w:pPr>
              <w:jc w:val="center"/>
              <w:rPr>
                <w:rFonts w:ascii="Arial" w:eastAsia="Calibri" w:hAnsi="Arial" w:cs="Arial"/>
                <w:noProof/>
              </w:rPr>
            </w:pPr>
            <w:r w:rsidRPr="00E962B8">
              <w:rPr>
                <w:rFonts w:ascii="Arial" w:eastAsia="Calibri" w:hAnsi="Arial" w:cs="Arial"/>
                <w:noProof/>
              </w:rPr>
              <w:t>(each unit)</w:t>
            </w:r>
          </w:p>
        </w:tc>
        <w:tc>
          <w:tcPr>
            <w:tcW w:w="6930" w:type="dxa"/>
            <w:shd w:val="clear" w:color="auto" w:fill="auto"/>
          </w:tcPr>
          <w:p w14:paraId="3258D855" w14:textId="74ABE96D" w:rsidR="005A1EAD" w:rsidRPr="00E962B8" w:rsidRDefault="005A1EAD" w:rsidP="005A1EAD">
            <w:pPr>
              <w:jc w:val="center"/>
              <w:rPr>
                <w:rFonts w:ascii="Arial" w:eastAsia="Calibri" w:hAnsi="Arial" w:cs="Arial"/>
                <w:noProof/>
              </w:rPr>
            </w:pPr>
            <w:r w:rsidRPr="00E962B8">
              <w:rPr>
                <w:rFonts w:ascii="Arial" w:eastAsia="Calibri" w:hAnsi="Arial" w:cs="Arial"/>
                <w:noProof/>
              </w:rPr>
              <w:t>24-hour rolling average as determined each operating hour, except during startup and shutdown</w:t>
            </w:r>
          </w:p>
        </w:tc>
      </w:tr>
      <w:tr w:rsidR="005A1EAD" w:rsidRPr="00E962B8" w14:paraId="5E5DEA46" w14:textId="77777777" w:rsidTr="00FD7F8F">
        <w:tc>
          <w:tcPr>
            <w:tcW w:w="1350" w:type="dxa"/>
            <w:shd w:val="clear" w:color="auto" w:fill="auto"/>
          </w:tcPr>
          <w:p w14:paraId="47EAD464" w14:textId="0226E9A5" w:rsidR="005A1EAD" w:rsidRPr="00E962B8" w:rsidRDefault="005A1EAD" w:rsidP="005A1EAD">
            <w:pPr>
              <w:jc w:val="center"/>
              <w:rPr>
                <w:rFonts w:ascii="Arial" w:eastAsia="Calibri" w:hAnsi="Arial" w:cs="Arial"/>
                <w:noProof/>
              </w:rPr>
            </w:pPr>
            <w:r w:rsidRPr="00E962B8">
              <w:rPr>
                <w:rFonts w:ascii="Arial" w:eastAsia="Calibri" w:hAnsi="Arial" w:cs="Arial"/>
                <w:noProof/>
              </w:rPr>
              <w:t>NO</w:t>
            </w:r>
            <w:r w:rsidRPr="00E962B8">
              <w:rPr>
                <w:rFonts w:ascii="Arial" w:eastAsia="Calibri" w:hAnsi="Arial" w:cs="Arial"/>
                <w:noProof/>
                <w:vertAlign w:val="subscript"/>
              </w:rPr>
              <w:t>x</w:t>
            </w:r>
          </w:p>
        </w:tc>
        <w:tc>
          <w:tcPr>
            <w:tcW w:w="1980" w:type="dxa"/>
            <w:shd w:val="clear" w:color="auto" w:fill="auto"/>
          </w:tcPr>
          <w:p w14:paraId="29DE19E9" w14:textId="77777777" w:rsidR="005A1EAD" w:rsidRPr="00E962B8" w:rsidRDefault="005A1EAD" w:rsidP="005A1EAD">
            <w:pPr>
              <w:jc w:val="center"/>
              <w:rPr>
                <w:rFonts w:ascii="Arial" w:eastAsia="Calibri" w:hAnsi="Arial" w:cs="Arial"/>
                <w:noProof/>
              </w:rPr>
            </w:pPr>
            <w:r w:rsidRPr="00E962B8">
              <w:rPr>
                <w:rFonts w:ascii="Arial" w:eastAsia="Calibri" w:hAnsi="Arial" w:cs="Arial"/>
                <w:noProof/>
              </w:rPr>
              <w:t>286 pph</w:t>
            </w:r>
          </w:p>
          <w:p w14:paraId="16E2D440" w14:textId="4894D79D" w:rsidR="005A1EAD" w:rsidRPr="00E962B8" w:rsidRDefault="005A1EAD" w:rsidP="005A1EAD">
            <w:pPr>
              <w:jc w:val="center"/>
              <w:rPr>
                <w:rFonts w:ascii="Arial" w:eastAsia="Calibri" w:hAnsi="Arial" w:cs="Arial"/>
                <w:noProof/>
              </w:rPr>
            </w:pPr>
            <w:r w:rsidRPr="00E962B8">
              <w:rPr>
                <w:rFonts w:ascii="Arial" w:eastAsia="Calibri" w:hAnsi="Arial" w:cs="Arial"/>
                <w:noProof/>
              </w:rPr>
              <w:t>(each unit)</w:t>
            </w:r>
          </w:p>
        </w:tc>
        <w:tc>
          <w:tcPr>
            <w:tcW w:w="6930" w:type="dxa"/>
            <w:shd w:val="clear" w:color="auto" w:fill="auto"/>
          </w:tcPr>
          <w:p w14:paraId="16F55F83" w14:textId="112075F5" w:rsidR="005A1EAD" w:rsidRPr="00E962B8" w:rsidRDefault="005A1EAD" w:rsidP="005A1EAD">
            <w:pPr>
              <w:jc w:val="center"/>
              <w:rPr>
                <w:rFonts w:ascii="Arial" w:eastAsia="Calibri" w:hAnsi="Arial" w:cs="Arial"/>
                <w:noProof/>
              </w:rPr>
            </w:pPr>
            <w:r w:rsidRPr="00E962B8">
              <w:rPr>
                <w:rFonts w:ascii="Arial" w:eastAsia="Calibri" w:hAnsi="Arial" w:cs="Arial"/>
                <w:noProof/>
              </w:rPr>
              <w:t>Operating hour during startup or shutdown</w:t>
            </w:r>
          </w:p>
        </w:tc>
      </w:tr>
      <w:tr w:rsidR="005A1EAD" w:rsidRPr="00E962B8" w14:paraId="657726CD" w14:textId="77777777" w:rsidTr="00FD7F8F">
        <w:tc>
          <w:tcPr>
            <w:tcW w:w="1350" w:type="dxa"/>
            <w:shd w:val="clear" w:color="auto" w:fill="auto"/>
          </w:tcPr>
          <w:p w14:paraId="2E3E38E3" w14:textId="2559FC44" w:rsidR="005A1EAD" w:rsidRPr="00E962B8" w:rsidRDefault="005A1EAD" w:rsidP="005A1EAD">
            <w:pPr>
              <w:jc w:val="center"/>
              <w:rPr>
                <w:rFonts w:ascii="Arial" w:eastAsia="Calibri" w:hAnsi="Arial" w:cs="Arial"/>
                <w:noProof/>
              </w:rPr>
            </w:pPr>
            <w:r w:rsidRPr="00E962B8">
              <w:rPr>
                <w:rFonts w:ascii="Arial" w:eastAsia="Calibri" w:hAnsi="Arial" w:cs="Arial"/>
                <w:noProof/>
              </w:rPr>
              <w:t>CO</w:t>
            </w:r>
          </w:p>
        </w:tc>
        <w:tc>
          <w:tcPr>
            <w:tcW w:w="1980" w:type="dxa"/>
            <w:shd w:val="clear" w:color="auto" w:fill="auto"/>
          </w:tcPr>
          <w:p w14:paraId="082F8264" w14:textId="77777777" w:rsidR="005A1EAD" w:rsidRPr="00E962B8" w:rsidRDefault="005A1EAD" w:rsidP="005A1EAD">
            <w:pPr>
              <w:jc w:val="center"/>
              <w:rPr>
                <w:rFonts w:ascii="Arial" w:eastAsia="Calibri" w:hAnsi="Arial" w:cs="Arial"/>
                <w:noProof/>
              </w:rPr>
            </w:pPr>
            <w:r w:rsidRPr="00E962B8">
              <w:rPr>
                <w:rFonts w:ascii="Arial" w:eastAsia="Calibri" w:hAnsi="Arial" w:cs="Arial"/>
                <w:noProof/>
              </w:rPr>
              <w:t>4 ppmvd at 15% O</w:t>
            </w:r>
            <w:r w:rsidRPr="00E962B8">
              <w:rPr>
                <w:rFonts w:ascii="Arial" w:eastAsia="Calibri" w:hAnsi="Arial" w:cs="Arial"/>
                <w:noProof/>
                <w:vertAlign w:val="subscript"/>
              </w:rPr>
              <w:t>2</w:t>
            </w:r>
          </w:p>
          <w:p w14:paraId="24191650" w14:textId="21A9E6F5" w:rsidR="005A1EAD" w:rsidRPr="00E962B8" w:rsidRDefault="005A1EAD" w:rsidP="005A1EAD">
            <w:pPr>
              <w:jc w:val="center"/>
              <w:rPr>
                <w:rFonts w:ascii="Arial" w:eastAsia="Calibri" w:hAnsi="Arial" w:cs="Arial"/>
                <w:noProof/>
              </w:rPr>
            </w:pPr>
            <w:r w:rsidRPr="00E962B8">
              <w:rPr>
                <w:rFonts w:ascii="Arial" w:eastAsia="Calibri" w:hAnsi="Arial" w:cs="Arial"/>
                <w:noProof/>
              </w:rPr>
              <w:t>(each unit)</w:t>
            </w:r>
          </w:p>
        </w:tc>
        <w:tc>
          <w:tcPr>
            <w:tcW w:w="6930" w:type="dxa"/>
            <w:shd w:val="clear" w:color="auto" w:fill="auto"/>
          </w:tcPr>
          <w:p w14:paraId="7179B73A" w14:textId="0E0E1A6D" w:rsidR="005A1EAD" w:rsidRPr="00E962B8" w:rsidRDefault="005A1EAD" w:rsidP="005A1EAD">
            <w:pPr>
              <w:jc w:val="center"/>
              <w:rPr>
                <w:rFonts w:ascii="Arial" w:eastAsia="Calibri" w:hAnsi="Arial" w:cs="Arial"/>
                <w:noProof/>
              </w:rPr>
            </w:pPr>
            <w:r w:rsidRPr="00E962B8">
              <w:rPr>
                <w:rFonts w:ascii="Arial" w:eastAsia="Calibri" w:hAnsi="Arial" w:cs="Arial"/>
                <w:noProof/>
              </w:rPr>
              <w:t>24-hour rolling average as determined each operating hour, except during startup and shutdown</w:t>
            </w:r>
          </w:p>
        </w:tc>
      </w:tr>
      <w:tr w:rsidR="005A1EAD" w:rsidRPr="00E962B8" w14:paraId="0C0650EE" w14:textId="77777777" w:rsidTr="00FD7F8F">
        <w:tc>
          <w:tcPr>
            <w:tcW w:w="1350" w:type="dxa"/>
            <w:shd w:val="clear" w:color="auto" w:fill="auto"/>
          </w:tcPr>
          <w:p w14:paraId="78D9BB61" w14:textId="4E187DC5" w:rsidR="005A1EAD" w:rsidRPr="00E962B8" w:rsidRDefault="005A1EAD" w:rsidP="005A1EAD">
            <w:pPr>
              <w:jc w:val="center"/>
              <w:rPr>
                <w:rFonts w:ascii="Arial" w:eastAsia="Calibri" w:hAnsi="Arial" w:cs="Arial"/>
                <w:noProof/>
              </w:rPr>
            </w:pPr>
            <w:r w:rsidRPr="00E962B8">
              <w:rPr>
                <w:rFonts w:ascii="Arial" w:eastAsia="Calibri" w:hAnsi="Arial" w:cs="Arial"/>
                <w:noProof/>
              </w:rPr>
              <w:t>CO</w:t>
            </w:r>
          </w:p>
        </w:tc>
        <w:tc>
          <w:tcPr>
            <w:tcW w:w="1980" w:type="dxa"/>
            <w:shd w:val="clear" w:color="auto" w:fill="auto"/>
          </w:tcPr>
          <w:p w14:paraId="1C9DD4EC" w14:textId="77777777" w:rsidR="005A1EAD" w:rsidRPr="00E962B8" w:rsidRDefault="005A1EAD" w:rsidP="005A1EAD">
            <w:pPr>
              <w:jc w:val="center"/>
              <w:rPr>
                <w:rFonts w:ascii="Arial" w:eastAsia="Calibri" w:hAnsi="Arial" w:cs="Arial"/>
                <w:noProof/>
              </w:rPr>
            </w:pPr>
            <w:r w:rsidRPr="00E962B8">
              <w:rPr>
                <w:rFonts w:ascii="Arial" w:eastAsia="Calibri" w:hAnsi="Arial" w:cs="Arial"/>
                <w:noProof/>
              </w:rPr>
              <w:t>24.7 pph</w:t>
            </w:r>
          </w:p>
          <w:p w14:paraId="53F6664F" w14:textId="6DFE19DA" w:rsidR="005A1EAD" w:rsidRPr="00E962B8" w:rsidRDefault="005A1EAD" w:rsidP="005A1EAD">
            <w:pPr>
              <w:jc w:val="center"/>
              <w:rPr>
                <w:rFonts w:ascii="Arial" w:eastAsia="Calibri" w:hAnsi="Arial" w:cs="Arial"/>
                <w:noProof/>
              </w:rPr>
            </w:pPr>
            <w:r w:rsidRPr="00E962B8">
              <w:rPr>
                <w:rFonts w:ascii="Arial" w:eastAsia="Calibri" w:hAnsi="Arial" w:cs="Arial"/>
                <w:noProof/>
              </w:rPr>
              <w:t>(each unit)</w:t>
            </w:r>
          </w:p>
        </w:tc>
        <w:tc>
          <w:tcPr>
            <w:tcW w:w="6930" w:type="dxa"/>
            <w:shd w:val="clear" w:color="auto" w:fill="auto"/>
          </w:tcPr>
          <w:p w14:paraId="2EBFB819" w14:textId="4832C245" w:rsidR="005A1EAD" w:rsidRPr="00E962B8" w:rsidRDefault="005A1EAD" w:rsidP="005A1EAD">
            <w:pPr>
              <w:jc w:val="center"/>
              <w:rPr>
                <w:rFonts w:ascii="Arial" w:eastAsia="Calibri" w:hAnsi="Arial" w:cs="Arial"/>
                <w:noProof/>
              </w:rPr>
            </w:pPr>
            <w:r w:rsidRPr="00E962B8">
              <w:rPr>
                <w:rFonts w:ascii="Arial" w:eastAsia="Calibri" w:hAnsi="Arial" w:cs="Arial"/>
                <w:noProof/>
              </w:rPr>
              <w:t>24-hour rolling average as determined each operating hour, except during startup and shutdown</w:t>
            </w:r>
          </w:p>
        </w:tc>
      </w:tr>
      <w:tr w:rsidR="005A1EAD" w:rsidRPr="00E962B8" w14:paraId="5CF9C07E" w14:textId="77777777" w:rsidTr="00FD7F8F">
        <w:tc>
          <w:tcPr>
            <w:tcW w:w="1350" w:type="dxa"/>
            <w:shd w:val="clear" w:color="auto" w:fill="auto"/>
          </w:tcPr>
          <w:p w14:paraId="38FE4E93" w14:textId="5E53B77E" w:rsidR="005A1EAD" w:rsidRPr="00E962B8" w:rsidRDefault="005A1EAD" w:rsidP="005A1EAD">
            <w:pPr>
              <w:jc w:val="center"/>
              <w:rPr>
                <w:rFonts w:ascii="Arial" w:eastAsia="Calibri" w:hAnsi="Arial" w:cs="Arial"/>
                <w:noProof/>
              </w:rPr>
            </w:pPr>
            <w:r w:rsidRPr="00E962B8">
              <w:rPr>
                <w:rFonts w:ascii="Arial" w:eastAsia="Calibri" w:hAnsi="Arial" w:cs="Arial"/>
                <w:noProof/>
              </w:rPr>
              <w:t>CO</w:t>
            </w:r>
          </w:p>
        </w:tc>
        <w:tc>
          <w:tcPr>
            <w:tcW w:w="1980" w:type="dxa"/>
            <w:shd w:val="clear" w:color="auto" w:fill="auto"/>
          </w:tcPr>
          <w:p w14:paraId="4CB3423A" w14:textId="77777777" w:rsidR="005A1EAD" w:rsidRPr="00E962B8" w:rsidRDefault="005A1EAD" w:rsidP="005A1EAD">
            <w:pPr>
              <w:jc w:val="center"/>
              <w:rPr>
                <w:rFonts w:ascii="Arial" w:eastAsia="Calibri" w:hAnsi="Arial" w:cs="Arial"/>
                <w:noProof/>
              </w:rPr>
            </w:pPr>
            <w:r w:rsidRPr="00E962B8">
              <w:rPr>
                <w:rFonts w:ascii="Arial" w:eastAsia="Calibri" w:hAnsi="Arial" w:cs="Arial"/>
                <w:noProof/>
              </w:rPr>
              <w:t>3,537 pph</w:t>
            </w:r>
          </w:p>
          <w:p w14:paraId="0F193E23" w14:textId="140082AA" w:rsidR="005A1EAD" w:rsidRPr="00E962B8" w:rsidRDefault="005A1EAD" w:rsidP="005A1EAD">
            <w:pPr>
              <w:jc w:val="center"/>
              <w:rPr>
                <w:rFonts w:ascii="Arial" w:eastAsia="Calibri" w:hAnsi="Arial" w:cs="Arial"/>
                <w:noProof/>
              </w:rPr>
            </w:pPr>
            <w:r w:rsidRPr="00E962B8">
              <w:rPr>
                <w:rFonts w:ascii="Arial" w:eastAsia="Calibri" w:hAnsi="Arial" w:cs="Arial"/>
                <w:noProof/>
              </w:rPr>
              <w:t>(each unit)</w:t>
            </w:r>
          </w:p>
        </w:tc>
        <w:tc>
          <w:tcPr>
            <w:tcW w:w="6930" w:type="dxa"/>
            <w:shd w:val="clear" w:color="auto" w:fill="auto"/>
          </w:tcPr>
          <w:p w14:paraId="56718B4C" w14:textId="72A17432" w:rsidR="005A1EAD" w:rsidRPr="00E962B8" w:rsidRDefault="005A1EAD" w:rsidP="005A1EAD">
            <w:pPr>
              <w:jc w:val="center"/>
              <w:rPr>
                <w:rFonts w:ascii="Arial" w:eastAsia="Calibri" w:hAnsi="Arial" w:cs="Arial"/>
                <w:noProof/>
              </w:rPr>
            </w:pPr>
            <w:r w:rsidRPr="00E962B8">
              <w:rPr>
                <w:rFonts w:ascii="Arial" w:eastAsia="Calibri" w:hAnsi="Arial" w:cs="Arial"/>
                <w:noProof/>
              </w:rPr>
              <w:t>Operating hour during startup or shutdown</w:t>
            </w:r>
          </w:p>
        </w:tc>
      </w:tr>
    </w:tbl>
    <w:p w14:paraId="1D85E3F5" w14:textId="77777777" w:rsidR="00D438E4" w:rsidRDefault="00D438E4" w:rsidP="00D9587D">
      <w:pPr>
        <w:jc w:val="both"/>
        <w:rPr>
          <w:rFonts w:ascii="Arial" w:hAnsi="Arial" w:cs="Arial"/>
          <w:sz w:val="22"/>
          <w:szCs w:val="22"/>
        </w:rPr>
      </w:pPr>
    </w:p>
    <w:p w14:paraId="1A428047" w14:textId="6AB81ADA" w:rsidR="0062292F" w:rsidRDefault="0062292F" w:rsidP="002E3425">
      <w:pPr>
        <w:jc w:val="both"/>
        <w:rPr>
          <w:rFonts w:ascii="Arial" w:hAnsi="Arial" w:cs="Arial"/>
          <w:sz w:val="22"/>
          <w:szCs w:val="22"/>
        </w:rPr>
      </w:pPr>
      <w:r>
        <w:rPr>
          <w:rFonts w:ascii="Arial" w:hAnsi="Arial" w:cs="Arial"/>
          <w:sz w:val="22"/>
          <w:szCs w:val="22"/>
        </w:rPr>
        <w:t>CO</w:t>
      </w:r>
      <w:r w:rsidRPr="003871CA">
        <w:rPr>
          <w:rFonts w:ascii="Arial" w:hAnsi="Arial" w:cs="Arial"/>
          <w:sz w:val="22"/>
          <w:szCs w:val="22"/>
        </w:rPr>
        <w:t xml:space="preserve"> and </w:t>
      </w:r>
      <w:r w:rsidRPr="0062292F">
        <w:rPr>
          <w:rFonts w:ascii="Arial" w:hAnsi="Arial" w:cs="Arial"/>
          <w:sz w:val="22"/>
          <w:szCs w:val="22"/>
        </w:rPr>
        <w:t>NO</w:t>
      </w:r>
      <w:r w:rsidRPr="0062292F">
        <w:rPr>
          <w:rFonts w:ascii="Arial" w:hAnsi="Arial" w:cs="Arial"/>
          <w:sz w:val="22"/>
          <w:szCs w:val="22"/>
          <w:vertAlign w:val="subscript"/>
        </w:rPr>
        <w:t>x</w:t>
      </w:r>
      <w:r w:rsidRPr="003871CA">
        <w:rPr>
          <w:rFonts w:ascii="Arial" w:hAnsi="Arial" w:cs="Arial"/>
          <w:sz w:val="22"/>
          <w:szCs w:val="22"/>
        </w:rPr>
        <w:t xml:space="preserve"> are directly measured in parts per million (ppm)</w:t>
      </w:r>
      <w:r>
        <w:rPr>
          <w:rFonts w:ascii="Arial" w:hAnsi="Arial" w:cs="Arial"/>
          <w:sz w:val="22"/>
          <w:szCs w:val="22"/>
        </w:rPr>
        <w:t>,</w:t>
      </w:r>
      <w:r w:rsidRPr="003871CA">
        <w:rPr>
          <w:rFonts w:ascii="Arial" w:hAnsi="Arial" w:cs="Arial"/>
          <w:sz w:val="22"/>
          <w:szCs w:val="22"/>
        </w:rPr>
        <w:t xml:space="preserve"> measured on a dry gas basis (</w:t>
      </w:r>
      <w:proofErr w:type="spellStart"/>
      <w:r w:rsidRPr="003871CA">
        <w:rPr>
          <w:rFonts w:ascii="Arial" w:hAnsi="Arial" w:cs="Arial"/>
          <w:sz w:val="22"/>
          <w:szCs w:val="22"/>
        </w:rPr>
        <w:t>ppmvd</w:t>
      </w:r>
      <w:proofErr w:type="spellEnd"/>
      <w:r w:rsidRPr="003871CA">
        <w:rPr>
          <w:rFonts w:ascii="Arial" w:hAnsi="Arial" w:cs="Arial"/>
          <w:sz w:val="22"/>
          <w:szCs w:val="22"/>
        </w:rPr>
        <w:t>)</w:t>
      </w:r>
      <w:r>
        <w:rPr>
          <w:rFonts w:ascii="Arial" w:hAnsi="Arial" w:cs="Arial"/>
          <w:sz w:val="22"/>
          <w:szCs w:val="22"/>
        </w:rPr>
        <w:t>,</w:t>
      </w:r>
      <w:r w:rsidRPr="003871CA">
        <w:rPr>
          <w:rFonts w:ascii="Arial" w:hAnsi="Arial" w:cs="Arial"/>
          <w:sz w:val="22"/>
          <w:szCs w:val="22"/>
        </w:rPr>
        <w:t xml:space="preserve"> and corrected for 15% O</w:t>
      </w:r>
      <w:r w:rsidRPr="0062292F">
        <w:rPr>
          <w:rFonts w:ascii="Arial" w:hAnsi="Arial" w:cs="Arial"/>
          <w:sz w:val="22"/>
          <w:szCs w:val="22"/>
          <w:vertAlign w:val="subscript"/>
        </w:rPr>
        <w:t>2</w:t>
      </w:r>
      <w:r w:rsidRPr="003871CA">
        <w:rPr>
          <w:rFonts w:ascii="Arial" w:hAnsi="Arial" w:cs="Arial"/>
          <w:sz w:val="22"/>
          <w:szCs w:val="22"/>
        </w:rPr>
        <w:t xml:space="preserve"> from the continuous emissions monitoring system (CEMS) and the </w:t>
      </w:r>
      <w:proofErr w:type="spellStart"/>
      <w:r>
        <w:rPr>
          <w:rFonts w:ascii="Arial" w:hAnsi="Arial" w:cs="Arial"/>
          <w:sz w:val="22"/>
          <w:szCs w:val="22"/>
        </w:rPr>
        <w:t>pph</w:t>
      </w:r>
      <w:proofErr w:type="spellEnd"/>
      <w:r w:rsidRPr="003871CA">
        <w:rPr>
          <w:rFonts w:ascii="Arial" w:hAnsi="Arial" w:cs="Arial"/>
          <w:sz w:val="22"/>
          <w:szCs w:val="22"/>
        </w:rPr>
        <w:t xml:space="preserve"> emission rate for </w:t>
      </w:r>
      <w:r>
        <w:rPr>
          <w:rFonts w:ascii="Arial" w:hAnsi="Arial" w:cs="Arial"/>
          <w:sz w:val="22"/>
          <w:szCs w:val="22"/>
        </w:rPr>
        <w:t>CO</w:t>
      </w:r>
      <w:r w:rsidRPr="003871CA">
        <w:rPr>
          <w:rFonts w:ascii="Arial" w:hAnsi="Arial" w:cs="Arial"/>
          <w:sz w:val="22"/>
          <w:szCs w:val="22"/>
        </w:rPr>
        <w:t xml:space="preserve"> and </w:t>
      </w:r>
      <w:r w:rsidRPr="0062292F">
        <w:rPr>
          <w:rFonts w:ascii="Arial" w:hAnsi="Arial" w:cs="Arial"/>
          <w:sz w:val="22"/>
          <w:szCs w:val="22"/>
        </w:rPr>
        <w:t>NO</w:t>
      </w:r>
      <w:r w:rsidRPr="0062292F">
        <w:rPr>
          <w:rFonts w:ascii="Arial" w:hAnsi="Arial" w:cs="Arial"/>
          <w:sz w:val="22"/>
          <w:szCs w:val="22"/>
          <w:vertAlign w:val="subscript"/>
        </w:rPr>
        <w:t>x</w:t>
      </w:r>
      <w:r w:rsidRPr="003871CA">
        <w:rPr>
          <w:rFonts w:ascii="Arial" w:hAnsi="Arial" w:cs="Arial"/>
          <w:sz w:val="22"/>
          <w:szCs w:val="22"/>
        </w:rPr>
        <w:t xml:space="preserve"> are calculated using the ppm emissions from the CEMS for each unit and the gas flow rate, thus meeting the continuous compliance determination method.</w:t>
      </w:r>
    </w:p>
    <w:p w14:paraId="24DB2E12" w14:textId="77777777" w:rsidR="0062292F" w:rsidRDefault="0062292F" w:rsidP="002E3425">
      <w:pPr>
        <w:jc w:val="both"/>
        <w:rPr>
          <w:rFonts w:ascii="Arial" w:hAnsi="Arial" w:cs="Arial"/>
          <w:sz w:val="22"/>
          <w:szCs w:val="22"/>
        </w:rPr>
      </w:pPr>
    </w:p>
    <w:p w14:paraId="40472FCE"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0601D7D1" w14:textId="77777777" w:rsidR="00A73320" w:rsidRDefault="00A73320" w:rsidP="00D9587D">
      <w:pPr>
        <w:rPr>
          <w:rFonts w:ascii="Arial" w:hAnsi="Arial" w:cs="Arial"/>
          <w:sz w:val="22"/>
          <w:szCs w:val="22"/>
        </w:rPr>
      </w:pPr>
    </w:p>
    <w:tbl>
      <w:tblPr>
        <w:tblW w:w="102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00"/>
        <w:gridCol w:w="1170"/>
        <w:gridCol w:w="2160"/>
        <w:gridCol w:w="1260"/>
        <w:gridCol w:w="1350"/>
        <w:gridCol w:w="1530"/>
        <w:gridCol w:w="990"/>
      </w:tblGrid>
      <w:tr w:rsidR="005A1EAD" w14:paraId="50C6005E" w14:textId="77777777" w:rsidTr="00E962B8">
        <w:trPr>
          <w:tblHeader/>
        </w:trPr>
        <w:tc>
          <w:tcPr>
            <w:tcW w:w="1800" w:type="dxa"/>
            <w:shd w:val="clear" w:color="auto" w:fill="D9D9D9"/>
          </w:tcPr>
          <w:p w14:paraId="0FC12892" w14:textId="77777777" w:rsidR="00D9587D" w:rsidRPr="002E3425" w:rsidRDefault="00D9587D" w:rsidP="007F3C6F">
            <w:pPr>
              <w:rPr>
                <w:rFonts w:ascii="Arial" w:eastAsia="Calibri" w:hAnsi="Arial" w:cs="Arial"/>
                <w:b/>
              </w:rPr>
            </w:pPr>
            <w:r w:rsidRPr="002E3425">
              <w:rPr>
                <w:rFonts w:ascii="Arial" w:eastAsia="Calibri" w:hAnsi="Arial" w:cs="Arial"/>
                <w:b/>
              </w:rPr>
              <w:t>Emission Unit/Flexible group ID</w:t>
            </w:r>
          </w:p>
        </w:tc>
        <w:tc>
          <w:tcPr>
            <w:tcW w:w="1170" w:type="dxa"/>
            <w:shd w:val="clear" w:color="auto" w:fill="D9D9D9"/>
          </w:tcPr>
          <w:p w14:paraId="003E32FF" w14:textId="77777777" w:rsidR="00D9587D" w:rsidRPr="002E3425" w:rsidRDefault="00D9587D" w:rsidP="007F3C6F">
            <w:pPr>
              <w:rPr>
                <w:rFonts w:ascii="Arial" w:eastAsia="Calibri" w:hAnsi="Arial" w:cs="Arial"/>
                <w:b/>
              </w:rPr>
            </w:pPr>
            <w:r w:rsidRPr="002E3425">
              <w:rPr>
                <w:rFonts w:ascii="Arial" w:eastAsia="Calibri" w:hAnsi="Arial" w:cs="Arial"/>
                <w:b/>
              </w:rPr>
              <w:t>Pollutant/ Emission Limit</w:t>
            </w:r>
          </w:p>
        </w:tc>
        <w:tc>
          <w:tcPr>
            <w:tcW w:w="2160" w:type="dxa"/>
            <w:shd w:val="clear" w:color="auto" w:fill="D9D9D9"/>
          </w:tcPr>
          <w:p w14:paraId="6D371ED3" w14:textId="77777777" w:rsidR="00D9587D" w:rsidRPr="002E3425" w:rsidRDefault="00D9587D" w:rsidP="007F3C6F">
            <w:pPr>
              <w:rPr>
                <w:rFonts w:ascii="Arial" w:eastAsia="Calibri" w:hAnsi="Arial" w:cs="Arial"/>
                <w:b/>
              </w:rPr>
            </w:pPr>
            <w:r w:rsidRPr="002E3425">
              <w:rPr>
                <w:rFonts w:ascii="Arial" w:eastAsia="Calibri" w:hAnsi="Arial" w:cs="Arial"/>
                <w:b/>
              </w:rPr>
              <w:t>UAR(s)</w:t>
            </w:r>
          </w:p>
        </w:tc>
        <w:tc>
          <w:tcPr>
            <w:tcW w:w="1260" w:type="dxa"/>
            <w:shd w:val="clear" w:color="auto" w:fill="D9D9D9"/>
          </w:tcPr>
          <w:p w14:paraId="76A67BB6" w14:textId="77777777" w:rsidR="00D9587D" w:rsidRPr="002E3425" w:rsidRDefault="00D9587D" w:rsidP="007F3C6F">
            <w:pPr>
              <w:rPr>
                <w:rFonts w:ascii="Arial" w:eastAsia="Calibri" w:hAnsi="Arial" w:cs="Arial"/>
                <w:b/>
              </w:rPr>
            </w:pPr>
            <w:r w:rsidRPr="002E3425">
              <w:rPr>
                <w:rFonts w:ascii="Arial" w:eastAsia="Calibri" w:hAnsi="Arial" w:cs="Arial"/>
                <w:b/>
              </w:rPr>
              <w:t>Control Equipment</w:t>
            </w:r>
          </w:p>
        </w:tc>
        <w:tc>
          <w:tcPr>
            <w:tcW w:w="1350" w:type="dxa"/>
            <w:shd w:val="clear" w:color="auto" w:fill="D9D9D9"/>
          </w:tcPr>
          <w:p w14:paraId="6BE4F578" w14:textId="77777777" w:rsidR="00D9587D" w:rsidRPr="002E3425" w:rsidRDefault="00D9587D" w:rsidP="007F3C6F">
            <w:pPr>
              <w:rPr>
                <w:rFonts w:ascii="Arial" w:eastAsia="Calibri" w:hAnsi="Arial" w:cs="Arial"/>
                <w:b/>
              </w:rPr>
            </w:pPr>
            <w:r w:rsidRPr="002E3425">
              <w:rPr>
                <w:rFonts w:ascii="Arial" w:eastAsia="Calibri" w:hAnsi="Arial" w:cs="Arial"/>
                <w:b/>
              </w:rPr>
              <w:t>Monitoring (Include Monitoring Range)</w:t>
            </w:r>
          </w:p>
        </w:tc>
        <w:tc>
          <w:tcPr>
            <w:tcW w:w="1530" w:type="dxa"/>
            <w:shd w:val="clear" w:color="auto" w:fill="D9D9D9"/>
          </w:tcPr>
          <w:p w14:paraId="49A9DC47" w14:textId="77777777" w:rsidR="00D9587D" w:rsidRPr="002E3425" w:rsidRDefault="00D9587D" w:rsidP="007F3C6F">
            <w:pPr>
              <w:rPr>
                <w:rFonts w:ascii="Arial" w:eastAsia="Calibri" w:hAnsi="Arial" w:cs="Arial"/>
                <w:b/>
              </w:rPr>
            </w:pPr>
            <w:r w:rsidRPr="002E3425">
              <w:rPr>
                <w:rFonts w:ascii="Arial" w:eastAsia="Calibri" w:hAnsi="Arial" w:cs="Arial"/>
                <w:b/>
              </w:rPr>
              <w:t>Emission Unit/Flexible Group for CAM</w:t>
            </w:r>
          </w:p>
        </w:tc>
        <w:tc>
          <w:tcPr>
            <w:tcW w:w="990" w:type="dxa"/>
            <w:shd w:val="clear" w:color="auto" w:fill="D9D9D9"/>
          </w:tcPr>
          <w:p w14:paraId="147467FD" w14:textId="77777777" w:rsidR="00D9587D" w:rsidRPr="002E3425" w:rsidRDefault="00C82F1E" w:rsidP="007F3C6F">
            <w:pPr>
              <w:rPr>
                <w:rFonts w:ascii="Arial" w:eastAsia="Calibri" w:hAnsi="Arial" w:cs="Arial"/>
                <w:b/>
              </w:rPr>
            </w:pPr>
            <w:r w:rsidRPr="002E3425">
              <w:rPr>
                <w:rFonts w:ascii="Arial" w:eastAsia="Calibri" w:hAnsi="Arial" w:cs="Arial"/>
                <w:b/>
              </w:rPr>
              <w:t>PAM? *</w:t>
            </w:r>
          </w:p>
        </w:tc>
      </w:tr>
      <w:tr w:rsidR="005A1EAD" w14:paraId="0C4BAEC9" w14:textId="77777777" w:rsidTr="00E962B8">
        <w:tc>
          <w:tcPr>
            <w:tcW w:w="1800" w:type="dxa"/>
            <w:shd w:val="clear" w:color="auto" w:fill="auto"/>
          </w:tcPr>
          <w:p w14:paraId="720371F8" w14:textId="7C00DEB9" w:rsidR="006B18D3" w:rsidRPr="002E17B6" w:rsidRDefault="006B18D3" w:rsidP="007F3C6F">
            <w:pPr>
              <w:rPr>
                <w:rFonts w:ascii="Arial" w:eastAsia="Calibri" w:hAnsi="Arial" w:cs="Arial"/>
                <w:noProof/>
              </w:rPr>
            </w:pPr>
            <w:r w:rsidRPr="002E17B6">
              <w:rPr>
                <w:rFonts w:ascii="Arial" w:eastAsia="Calibri" w:hAnsi="Arial" w:cs="Arial"/>
                <w:noProof/>
              </w:rPr>
              <w:t>FG</w:t>
            </w:r>
            <w:r w:rsidR="007917FA" w:rsidRPr="002E17B6">
              <w:rPr>
                <w:rFonts w:ascii="Arial" w:eastAsia="Calibri" w:hAnsi="Arial" w:cs="Arial"/>
                <w:noProof/>
              </w:rPr>
              <w:t>CT</w:t>
            </w:r>
            <w:r w:rsidR="002E17B6">
              <w:rPr>
                <w:rFonts w:ascii="Arial" w:eastAsia="Calibri" w:hAnsi="Arial" w:cs="Arial"/>
                <w:noProof/>
              </w:rPr>
              <w:t>G</w:t>
            </w:r>
            <w:r w:rsidR="007917FA" w:rsidRPr="002E17B6">
              <w:rPr>
                <w:rFonts w:ascii="Arial" w:eastAsia="Calibri" w:hAnsi="Arial" w:cs="Arial"/>
                <w:noProof/>
              </w:rPr>
              <w:t>HRSG</w:t>
            </w:r>
          </w:p>
          <w:p w14:paraId="4A07CEE0" w14:textId="77777777" w:rsidR="006B18D3" w:rsidRDefault="006B18D3" w:rsidP="007F3C6F">
            <w:pPr>
              <w:rPr>
                <w:rFonts w:ascii="Arial" w:eastAsia="Calibri" w:hAnsi="Arial" w:cs="Arial"/>
                <w:noProof/>
              </w:rPr>
            </w:pPr>
          </w:p>
          <w:p w14:paraId="44411BBE" w14:textId="662DF514" w:rsidR="00D9587D" w:rsidRPr="00F626BE" w:rsidRDefault="00F626BE" w:rsidP="007F3C6F">
            <w:pPr>
              <w:rPr>
                <w:rFonts w:ascii="Arial" w:eastAsia="Calibri" w:hAnsi="Arial" w:cs="Arial"/>
                <w:noProof/>
              </w:rPr>
            </w:pPr>
            <w:r w:rsidRPr="00F626BE">
              <w:rPr>
                <w:rFonts w:ascii="Arial" w:eastAsia="Calibri" w:hAnsi="Arial" w:cs="Arial"/>
                <w:noProof/>
              </w:rPr>
              <w:t>(</w:t>
            </w:r>
            <w:r w:rsidR="005374EE" w:rsidRPr="00F626BE">
              <w:rPr>
                <w:rFonts w:ascii="Arial" w:eastAsia="Calibri" w:hAnsi="Arial" w:cs="Arial"/>
                <w:noProof/>
              </w:rPr>
              <w:t>EUCTGHRSG1</w:t>
            </w:r>
          </w:p>
          <w:p w14:paraId="5708FD79" w14:textId="0C1FE353" w:rsidR="00F626BE" w:rsidRPr="006B18D3" w:rsidRDefault="00F626BE" w:rsidP="007F3C6F">
            <w:pPr>
              <w:rPr>
                <w:rFonts w:ascii="Arial" w:eastAsia="Calibri" w:hAnsi="Arial" w:cs="Arial"/>
                <w:strike/>
              </w:rPr>
            </w:pPr>
            <w:r w:rsidRPr="00F626BE">
              <w:rPr>
                <w:rFonts w:ascii="Arial" w:eastAsia="Calibri" w:hAnsi="Arial" w:cs="Arial"/>
                <w:noProof/>
              </w:rPr>
              <w:t>EUCTGHRSG2)</w:t>
            </w:r>
          </w:p>
        </w:tc>
        <w:tc>
          <w:tcPr>
            <w:tcW w:w="1170" w:type="dxa"/>
            <w:shd w:val="clear" w:color="auto" w:fill="auto"/>
          </w:tcPr>
          <w:p w14:paraId="454C6731" w14:textId="77777777" w:rsidR="00D9587D" w:rsidRPr="002B6C0A" w:rsidRDefault="005374EE" w:rsidP="007F3C6F">
            <w:pPr>
              <w:rPr>
                <w:rFonts w:ascii="Arial" w:eastAsia="Calibri" w:hAnsi="Arial" w:cs="Arial"/>
                <w:noProof/>
              </w:rPr>
            </w:pPr>
            <w:r w:rsidRPr="002B6C0A">
              <w:rPr>
                <w:rFonts w:ascii="Arial" w:eastAsia="Calibri" w:hAnsi="Arial" w:cs="Arial"/>
                <w:noProof/>
              </w:rPr>
              <w:t>VOC/4 ppmvd at 15% O</w:t>
            </w:r>
            <w:r w:rsidRPr="002B6C0A">
              <w:rPr>
                <w:rFonts w:ascii="Arial" w:eastAsia="Calibri" w:hAnsi="Arial" w:cs="Arial"/>
                <w:noProof/>
                <w:vertAlign w:val="subscript"/>
              </w:rPr>
              <w:t>2</w:t>
            </w:r>
          </w:p>
          <w:p w14:paraId="0EF0F74F" w14:textId="4D6EA319" w:rsidR="00F626BE" w:rsidRPr="002E3425" w:rsidRDefault="00F626BE" w:rsidP="007F3C6F">
            <w:pPr>
              <w:rPr>
                <w:rFonts w:ascii="Arial" w:eastAsia="Calibri" w:hAnsi="Arial" w:cs="Arial"/>
              </w:rPr>
            </w:pPr>
            <w:r w:rsidRPr="002B6C0A">
              <w:rPr>
                <w:rFonts w:ascii="Arial" w:eastAsia="Calibri" w:hAnsi="Arial" w:cs="Arial"/>
                <w:noProof/>
              </w:rPr>
              <w:t xml:space="preserve">(each </w:t>
            </w:r>
            <w:r w:rsidRPr="002B6C0A">
              <w:rPr>
                <w:rFonts w:ascii="Arial" w:eastAsia="Calibri" w:hAnsi="Arial" w:cs="Arial"/>
              </w:rPr>
              <w:t>unit)</w:t>
            </w:r>
          </w:p>
        </w:tc>
        <w:tc>
          <w:tcPr>
            <w:tcW w:w="2160" w:type="dxa"/>
            <w:shd w:val="clear" w:color="auto" w:fill="auto"/>
          </w:tcPr>
          <w:p w14:paraId="5D805151" w14:textId="5B2F08B8" w:rsidR="005374EE" w:rsidRPr="002E3425" w:rsidRDefault="005374EE" w:rsidP="005374EE">
            <w:pPr>
              <w:rPr>
                <w:rFonts w:ascii="Arial" w:eastAsia="Calibri" w:hAnsi="Arial" w:cs="Arial"/>
                <w:noProof/>
              </w:rPr>
            </w:pPr>
            <w:r w:rsidRPr="002E3425">
              <w:rPr>
                <w:rFonts w:ascii="Arial" w:eastAsia="Calibri" w:hAnsi="Arial" w:cs="Arial"/>
                <w:noProof/>
              </w:rPr>
              <w:t>R 336.1205(1)(a)&amp;(b)</w:t>
            </w:r>
          </w:p>
          <w:p w14:paraId="1EBC7774" w14:textId="67058F2B" w:rsidR="005374EE" w:rsidRPr="002E3425" w:rsidRDefault="005374EE" w:rsidP="005374EE">
            <w:pPr>
              <w:rPr>
                <w:rFonts w:ascii="Arial" w:eastAsia="Calibri" w:hAnsi="Arial" w:cs="Arial"/>
                <w:noProof/>
              </w:rPr>
            </w:pPr>
            <w:r w:rsidRPr="002E3425">
              <w:rPr>
                <w:rFonts w:ascii="Arial" w:eastAsia="Calibri" w:hAnsi="Arial" w:cs="Arial"/>
                <w:noProof/>
              </w:rPr>
              <w:t>R 336.1702(a)</w:t>
            </w:r>
          </w:p>
          <w:p w14:paraId="4D4C37D6" w14:textId="08205379" w:rsidR="00D9587D" w:rsidRPr="002E3425" w:rsidRDefault="005374EE" w:rsidP="005374EE">
            <w:pPr>
              <w:rPr>
                <w:rFonts w:ascii="Arial" w:eastAsia="Calibri" w:hAnsi="Arial" w:cs="Arial"/>
              </w:rPr>
            </w:pPr>
            <w:r w:rsidRPr="002E3425">
              <w:rPr>
                <w:rFonts w:ascii="Arial" w:eastAsia="Calibri" w:hAnsi="Arial" w:cs="Arial"/>
                <w:noProof/>
              </w:rPr>
              <w:t>R 336.2810</w:t>
            </w:r>
          </w:p>
        </w:tc>
        <w:tc>
          <w:tcPr>
            <w:tcW w:w="1260" w:type="dxa"/>
            <w:shd w:val="clear" w:color="auto" w:fill="auto"/>
          </w:tcPr>
          <w:p w14:paraId="0006F80B" w14:textId="4CDE52EE" w:rsidR="00D9587D" w:rsidRPr="002E3425" w:rsidRDefault="005374EE" w:rsidP="007F3C6F">
            <w:pPr>
              <w:rPr>
                <w:rFonts w:ascii="Arial" w:eastAsia="Calibri" w:hAnsi="Arial" w:cs="Arial"/>
              </w:rPr>
            </w:pPr>
            <w:r w:rsidRPr="002E3425">
              <w:rPr>
                <w:rFonts w:ascii="Arial" w:eastAsia="Calibri" w:hAnsi="Arial" w:cs="Arial"/>
                <w:noProof/>
              </w:rPr>
              <w:t>Oxidation Catalyst</w:t>
            </w:r>
          </w:p>
        </w:tc>
        <w:tc>
          <w:tcPr>
            <w:tcW w:w="1350" w:type="dxa"/>
            <w:shd w:val="clear" w:color="auto" w:fill="auto"/>
          </w:tcPr>
          <w:p w14:paraId="266675AB" w14:textId="6A850A32" w:rsidR="00D9587D" w:rsidRPr="00C628E4" w:rsidRDefault="005374EE" w:rsidP="007F3C6F">
            <w:pPr>
              <w:rPr>
                <w:rFonts w:ascii="Arial" w:eastAsia="Calibri" w:hAnsi="Arial" w:cs="Arial"/>
              </w:rPr>
            </w:pPr>
            <w:r w:rsidRPr="00C628E4">
              <w:rPr>
                <w:rFonts w:ascii="Arial" w:eastAsia="Calibri" w:hAnsi="Arial" w:cs="Arial"/>
                <w:noProof/>
              </w:rPr>
              <w:t>CO CEMS</w:t>
            </w:r>
            <w:r w:rsidR="00EE2371">
              <w:rPr>
                <w:rFonts w:ascii="Arial" w:eastAsia="Calibri" w:hAnsi="Arial" w:cs="Arial"/>
                <w:noProof/>
              </w:rPr>
              <w:t>;</w:t>
            </w:r>
            <w:r w:rsidRPr="00C628E4">
              <w:rPr>
                <w:rFonts w:ascii="Arial" w:eastAsia="Calibri" w:hAnsi="Arial" w:cs="Arial"/>
                <w:noProof/>
              </w:rPr>
              <w:t xml:space="preserve">  (</w:t>
            </w:r>
            <w:r w:rsidR="003A12D9" w:rsidRPr="00C628E4">
              <w:rPr>
                <w:rFonts w:ascii="Arial" w:eastAsia="Calibri" w:hAnsi="Arial" w:cs="Arial"/>
                <w:noProof/>
              </w:rPr>
              <w:t xml:space="preserve">Outlet </w:t>
            </w:r>
            <w:r w:rsidRPr="00C628E4">
              <w:rPr>
                <w:rFonts w:ascii="Arial" w:eastAsia="Calibri" w:hAnsi="Arial" w:cs="Arial"/>
                <w:noProof/>
              </w:rPr>
              <w:t>CO emissions</w:t>
            </w:r>
            <w:r w:rsidR="003A12D9" w:rsidRPr="00C628E4">
              <w:rPr>
                <w:rFonts w:ascii="Arial" w:eastAsia="Calibri" w:hAnsi="Arial" w:cs="Arial"/>
                <w:noProof/>
              </w:rPr>
              <w:t xml:space="preserve">; less than or equal to </w:t>
            </w:r>
            <w:r w:rsidRPr="00C628E4">
              <w:rPr>
                <w:rFonts w:ascii="Arial" w:eastAsia="Calibri" w:hAnsi="Arial" w:cs="Arial"/>
                <w:noProof/>
              </w:rPr>
              <w:t>4 ppmvd at 15% O</w:t>
            </w:r>
            <w:r w:rsidRPr="00C628E4">
              <w:rPr>
                <w:rFonts w:ascii="Arial" w:eastAsia="Calibri" w:hAnsi="Arial" w:cs="Arial"/>
                <w:noProof/>
                <w:vertAlign w:val="subscript"/>
              </w:rPr>
              <w:t>2</w:t>
            </w:r>
            <w:r w:rsidR="003A12D9" w:rsidRPr="00C628E4">
              <w:rPr>
                <w:rFonts w:ascii="Arial" w:eastAsia="Calibri" w:hAnsi="Arial" w:cs="Arial"/>
                <w:noProof/>
                <w:vertAlign w:val="subscript"/>
              </w:rPr>
              <w:t xml:space="preserve"> </w:t>
            </w:r>
            <w:r w:rsidR="003A12D9" w:rsidRPr="00C628E4">
              <w:rPr>
                <w:rFonts w:ascii="Arial" w:eastAsia="Calibri" w:hAnsi="Arial" w:cs="Arial"/>
                <w:noProof/>
              </w:rPr>
              <w:t>based on an hourly average</w:t>
            </w:r>
            <w:r w:rsidRPr="00C628E4">
              <w:rPr>
                <w:rFonts w:ascii="Arial" w:eastAsia="Calibri" w:hAnsi="Arial" w:cs="Arial"/>
                <w:noProof/>
              </w:rPr>
              <w:t>)</w:t>
            </w:r>
          </w:p>
        </w:tc>
        <w:tc>
          <w:tcPr>
            <w:tcW w:w="1530" w:type="dxa"/>
          </w:tcPr>
          <w:p w14:paraId="43BCF963" w14:textId="42F22534" w:rsidR="00D9587D" w:rsidRPr="002E3425" w:rsidRDefault="001C6FD4" w:rsidP="007F3C6F">
            <w:pPr>
              <w:rPr>
                <w:rFonts w:ascii="Arial" w:eastAsia="Calibri" w:hAnsi="Arial" w:cs="Arial"/>
              </w:rPr>
            </w:pPr>
            <w:r w:rsidRPr="002E3425">
              <w:rPr>
                <w:rFonts w:ascii="Arial" w:eastAsia="Calibri" w:hAnsi="Arial" w:cs="Arial"/>
              </w:rPr>
              <w:t>FGCTGHRSG</w:t>
            </w:r>
          </w:p>
        </w:tc>
        <w:tc>
          <w:tcPr>
            <w:tcW w:w="990" w:type="dxa"/>
            <w:shd w:val="clear" w:color="auto" w:fill="auto"/>
          </w:tcPr>
          <w:p w14:paraId="43B83164" w14:textId="2304FEB0" w:rsidR="00D9587D" w:rsidRPr="002E3425" w:rsidRDefault="00335574" w:rsidP="007F3C6F">
            <w:pPr>
              <w:rPr>
                <w:rFonts w:ascii="Arial" w:eastAsia="Calibri" w:hAnsi="Arial" w:cs="Arial"/>
              </w:rPr>
            </w:pPr>
            <w:r>
              <w:rPr>
                <w:rFonts w:ascii="Arial" w:eastAsia="Calibri" w:hAnsi="Arial" w:cs="Arial"/>
              </w:rPr>
              <w:t>No</w:t>
            </w:r>
          </w:p>
        </w:tc>
      </w:tr>
    </w:tbl>
    <w:p w14:paraId="555A92EB" w14:textId="77777777" w:rsidR="00D9587D" w:rsidRPr="004F6C98" w:rsidRDefault="001111DD" w:rsidP="001111DD">
      <w:pPr>
        <w:rPr>
          <w:rFonts w:ascii="Arial" w:hAnsi="Arial" w:cs="Arial"/>
          <w:sz w:val="22"/>
          <w:szCs w:val="22"/>
        </w:rPr>
      </w:pPr>
      <w:r>
        <w:rPr>
          <w:rFonts w:ascii="Arial" w:hAnsi="Arial" w:cs="Arial"/>
          <w:sz w:val="22"/>
          <w:szCs w:val="22"/>
        </w:rPr>
        <w:t>*</w:t>
      </w:r>
      <w:bookmarkStart w:id="41" w:name="_Hlk507653084"/>
      <w:r w:rsidRPr="004F6C98">
        <w:rPr>
          <w:rFonts w:ascii="Arial" w:hAnsi="Arial" w:cs="Arial"/>
          <w:sz w:val="22"/>
          <w:szCs w:val="22"/>
        </w:rPr>
        <w:t>Presumptively Acceptable Monitoring (PAM)</w:t>
      </w:r>
    </w:p>
    <w:bookmarkEnd w:id="41"/>
    <w:p w14:paraId="0EC3172B" w14:textId="77777777" w:rsidR="00D9587D" w:rsidRPr="00D122B6" w:rsidRDefault="00D9587D" w:rsidP="00A62307">
      <w:pPr>
        <w:jc w:val="both"/>
        <w:rPr>
          <w:rFonts w:ascii="Arial" w:hAnsi="Arial" w:cs="Arial"/>
          <w:sz w:val="22"/>
          <w:szCs w:val="22"/>
        </w:rPr>
      </w:pPr>
    </w:p>
    <w:p w14:paraId="4CC3BBC4" w14:textId="5A4673CD" w:rsidR="00583914" w:rsidRPr="00C10BC6" w:rsidRDefault="009A05EB" w:rsidP="00A62307">
      <w:pPr>
        <w:autoSpaceDE w:val="0"/>
        <w:autoSpaceDN w:val="0"/>
        <w:adjustRightInd w:val="0"/>
        <w:jc w:val="both"/>
        <w:rPr>
          <w:rFonts w:ascii="Arial" w:hAnsi="Arial" w:cs="Arial"/>
          <w:sz w:val="22"/>
          <w:szCs w:val="22"/>
        </w:rPr>
      </w:pPr>
      <w:r w:rsidRPr="009A05EB">
        <w:rPr>
          <w:rFonts w:ascii="Arial" w:hAnsi="Arial" w:cs="Arial"/>
          <w:sz w:val="22"/>
          <w:szCs w:val="22"/>
        </w:rPr>
        <w:t>Each CTG/HRSG train is equipped with an oxidation catalyst to control emissions of VOCs,</w:t>
      </w:r>
      <w:r>
        <w:rPr>
          <w:rFonts w:ascii="Arial" w:hAnsi="Arial" w:cs="Arial"/>
          <w:sz w:val="22"/>
          <w:szCs w:val="22"/>
        </w:rPr>
        <w:t xml:space="preserve"> </w:t>
      </w:r>
      <w:r w:rsidRPr="009A05EB">
        <w:rPr>
          <w:rFonts w:ascii="Arial" w:hAnsi="Arial" w:cs="Arial"/>
          <w:sz w:val="22"/>
          <w:szCs w:val="22"/>
        </w:rPr>
        <w:t>and pre-control emissions of VOCs exceeds 100 tons per year</w:t>
      </w:r>
      <w:r w:rsidR="002E17B6">
        <w:rPr>
          <w:rFonts w:ascii="Arial" w:hAnsi="Arial" w:cs="Arial"/>
          <w:sz w:val="22"/>
          <w:szCs w:val="22"/>
        </w:rPr>
        <w:t xml:space="preserve">.  </w:t>
      </w:r>
      <w:r w:rsidR="00583914" w:rsidRPr="00C10BC6">
        <w:rPr>
          <w:rFonts w:ascii="Arial" w:hAnsi="Arial" w:cs="Arial"/>
          <w:sz w:val="22"/>
          <w:szCs w:val="22"/>
        </w:rPr>
        <w:t xml:space="preserve">Emissions of VOCs and CO are formed as result of incomplete combustion; increased emissions of CO typically occur in conjunction with increased emissions of VOCs. </w:t>
      </w:r>
      <w:r w:rsidR="002E17B6">
        <w:rPr>
          <w:rFonts w:ascii="Arial" w:hAnsi="Arial" w:cs="Arial"/>
          <w:sz w:val="22"/>
          <w:szCs w:val="22"/>
        </w:rPr>
        <w:t xml:space="preserve"> </w:t>
      </w:r>
      <w:r w:rsidR="00583914" w:rsidRPr="00C10BC6">
        <w:rPr>
          <w:rFonts w:ascii="Arial" w:hAnsi="Arial" w:cs="Arial"/>
          <w:sz w:val="22"/>
          <w:szCs w:val="22"/>
        </w:rPr>
        <w:t xml:space="preserve">Catalytic oxidation is used at FGCTGHRSG to reduce the emissions of CO and VOC resulting from the incomplete combustion of natural gas at the turbines. </w:t>
      </w:r>
    </w:p>
    <w:p w14:paraId="3708196A" w14:textId="77777777" w:rsidR="00583914" w:rsidRDefault="00583914" w:rsidP="0078315E">
      <w:pPr>
        <w:autoSpaceDE w:val="0"/>
        <w:autoSpaceDN w:val="0"/>
        <w:adjustRightInd w:val="0"/>
        <w:jc w:val="both"/>
        <w:rPr>
          <w:rFonts w:ascii="Arial" w:hAnsi="Arial" w:cs="Arial"/>
          <w:sz w:val="22"/>
          <w:szCs w:val="22"/>
        </w:rPr>
      </w:pPr>
    </w:p>
    <w:p w14:paraId="3C1FC123" w14:textId="78371300" w:rsidR="00C533A6" w:rsidRPr="00C10BC6" w:rsidRDefault="00C533A6" w:rsidP="0078315E">
      <w:pPr>
        <w:autoSpaceDE w:val="0"/>
        <w:autoSpaceDN w:val="0"/>
        <w:adjustRightInd w:val="0"/>
        <w:jc w:val="both"/>
        <w:rPr>
          <w:rFonts w:ascii="Arial" w:hAnsi="Arial" w:cs="Arial"/>
          <w:sz w:val="22"/>
          <w:szCs w:val="22"/>
        </w:rPr>
      </w:pPr>
      <w:r w:rsidRPr="00C10BC6">
        <w:rPr>
          <w:rFonts w:ascii="Arial" w:hAnsi="Arial" w:cs="Arial"/>
          <w:sz w:val="22"/>
          <w:szCs w:val="22"/>
        </w:rPr>
        <w:t>The oxidation catalysts contain precious metals (such as platinum, palladium, or rhodium) to</w:t>
      </w:r>
      <w:r w:rsidR="00F5611A">
        <w:rPr>
          <w:rFonts w:ascii="Arial" w:hAnsi="Arial" w:cs="Arial"/>
          <w:sz w:val="22"/>
          <w:szCs w:val="22"/>
        </w:rPr>
        <w:t xml:space="preserve"> </w:t>
      </w:r>
      <w:r w:rsidRPr="00C10BC6">
        <w:rPr>
          <w:rFonts w:ascii="Arial" w:hAnsi="Arial" w:cs="Arial"/>
          <w:sz w:val="22"/>
          <w:szCs w:val="22"/>
        </w:rPr>
        <w:t>treat exhaust gas from the CTG/HRSGs for control of VOC emissions, as well as CO</w:t>
      </w:r>
      <w:r w:rsidR="00C10BC6">
        <w:rPr>
          <w:rFonts w:ascii="Arial" w:hAnsi="Arial" w:cs="Arial"/>
          <w:sz w:val="22"/>
          <w:szCs w:val="22"/>
        </w:rPr>
        <w:t xml:space="preserve"> </w:t>
      </w:r>
      <w:r w:rsidRPr="00C10BC6">
        <w:rPr>
          <w:rFonts w:ascii="Arial" w:hAnsi="Arial" w:cs="Arial"/>
          <w:sz w:val="22"/>
          <w:szCs w:val="22"/>
        </w:rPr>
        <w:t xml:space="preserve">emissions. </w:t>
      </w:r>
      <w:r w:rsidR="002E17B6">
        <w:rPr>
          <w:rFonts w:ascii="Arial" w:hAnsi="Arial" w:cs="Arial"/>
          <w:sz w:val="22"/>
          <w:szCs w:val="22"/>
        </w:rPr>
        <w:t xml:space="preserve"> </w:t>
      </w:r>
      <w:r w:rsidRPr="00C10BC6">
        <w:rPr>
          <w:rFonts w:ascii="Arial" w:hAnsi="Arial" w:cs="Arial"/>
          <w:sz w:val="22"/>
          <w:szCs w:val="22"/>
        </w:rPr>
        <w:t>The precious metal(s) catalyze the oxidation reaction of hydrocarbons (VOCs) and</w:t>
      </w:r>
      <w:r w:rsidR="00C10BC6">
        <w:rPr>
          <w:rFonts w:ascii="Arial" w:hAnsi="Arial" w:cs="Arial"/>
          <w:sz w:val="22"/>
          <w:szCs w:val="22"/>
        </w:rPr>
        <w:t xml:space="preserve"> </w:t>
      </w:r>
      <w:r w:rsidRPr="00C10BC6">
        <w:rPr>
          <w:rFonts w:ascii="Arial" w:hAnsi="Arial" w:cs="Arial"/>
          <w:sz w:val="22"/>
          <w:szCs w:val="22"/>
        </w:rPr>
        <w:t xml:space="preserve">CO with available oxygen to convert the compounds to carbon dioxide and water vapor. </w:t>
      </w:r>
      <w:r w:rsidR="008F5CBF">
        <w:rPr>
          <w:rFonts w:ascii="Arial" w:hAnsi="Arial" w:cs="Arial"/>
          <w:sz w:val="22"/>
          <w:szCs w:val="22"/>
        </w:rPr>
        <w:t xml:space="preserve"> </w:t>
      </w:r>
      <w:r w:rsidRPr="00C10BC6">
        <w:rPr>
          <w:rFonts w:ascii="Arial" w:hAnsi="Arial" w:cs="Arial"/>
          <w:sz w:val="22"/>
          <w:szCs w:val="22"/>
        </w:rPr>
        <w:t>With</w:t>
      </w:r>
      <w:r w:rsidR="00C10BC6">
        <w:rPr>
          <w:rFonts w:ascii="Arial" w:hAnsi="Arial" w:cs="Arial"/>
          <w:sz w:val="22"/>
          <w:szCs w:val="22"/>
        </w:rPr>
        <w:t xml:space="preserve"> </w:t>
      </w:r>
      <w:r w:rsidRPr="00C10BC6">
        <w:rPr>
          <w:rFonts w:ascii="Arial" w:hAnsi="Arial" w:cs="Arial"/>
          <w:sz w:val="22"/>
          <w:szCs w:val="22"/>
        </w:rPr>
        <w:t>the use of the oxidation catalyst, each CTG/HRSG train can achieve an emission rate of 4ppmvd VOC at 15% O2 (FGCTGHRSG</w:t>
      </w:r>
      <w:r w:rsidR="00DC704B">
        <w:rPr>
          <w:rFonts w:ascii="Arial" w:hAnsi="Arial" w:cs="Arial"/>
          <w:sz w:val="22"/>
          <w:szCs w:val="22"/>
        </w:rPr>
        <w:t>,</w:t>
      </w:r>
      <w:r w:rsidRPr="00C10BC6">
        <w:rPr>
          <w:rFonts w:ascii="Arial" w:hAnsi="Arial" w:cs="Arial"/>
          <w:sz w:val="22"/>
          <w:szCs w:val="22"/>
        </w:rPr>
        <w:t xml:space="preserve"> SC I.13).</w:t>
      </w:r>
    </w:p>
    <w:p w14:paraId="428B7E78" w14:textId="77777777" w:rsidR="00C533A6" w:rsidRPr="00C10BC6" w:rsidRDefault="00C533A6" w:rsidP="0078315E">
      <w:pPr>
        <w:jc w:val="both"/>
        <w:rPr>
          <w:rFonts w:ascii="Arial" w:hAnsi="Arial" w:cs="Arial"/>
          <w:sz w:val="22"/>
          <w:szCs w:val="22"/>
        </w:rPr>
      </w:pPr>
    </w:p>
    <w:p w14:paraId="3068F888" w14:textId="31F2AE0A" w:rsidR="00FE2EFE" w:rsidRPr="00C10BC6" w:rsidRDefault="00FE2EFE" w:rsidP="0078315E">
      <w:pPr>
        <w:autoSpaceDE w:val="0"/>
        <w:autoSpaceDN w:val="0"/>
        <w:adjustRightInd w:val="0"/>
        <w:jc w:val="both"/>
        <w:rPr>
          <w:rFonts w:ascii="Arial" w:hAnsi="Arial" w:cs="Arial"/>
          <w:sz w:val="22"/>
          <w:szCs w:val="22"/>
        </w:rPr>
      </w:pPr>
      <w:r w:rsidRPr="00C10BC6">
        <w:rPr>
          <w:rFonts w:ascii="Arial" w:hAnsi="Arial" w:cs="Arial"/>
          <w:sz w:val="22"/>
          <w:szCs w:val="22"/>
        </w:rPr>
        <w:t>The oxidation catalyst is necessary to achieve reduction of CO</w:t>
      </w:r>
      <w:r w:rsidR="00583914">
        <w:rPr>
          <w:rFonts w:ascii="Arial" w:hAnsi="Arial" w:cs="Arial"/>
          <w:sz w:val="22"/>
          <w:szCs w:val="22"/>
        </w:rPr>
        <w:t xml:space="preserve"> </w:t>
      </w:r>
      <w:r w:rsidRPr="00C10BC6">
        <w:rPr>
          <w:rFonts w:ascii="Arial" w:hAnsi="Arial" w:cs="Arial"/>
          <w:sz w:val="22"/>
          <w:szCs w:val="22"/>
        </w:rPr>
        <w:t>and VOC emissions resulting from incomplete combustion. CO</w:t>
      </w:r>
      <w:r w:rsidR="00583914">
        <w:rPr>
          <w:rFonts w:ascii="Arial" w:hAnsi="Arial" w:cs="Arial"/>
          <w:sz w:val="22"/>
          <w:szCs w:val="22"/>
        </w:rPr>
        <w:t xml:space="preserve"> </w:t>
      </w:r>
      <w:r w:rsidRPr="00C10BC6">
        <w:rPr>
          <w:rFonts w:ascii="Arial" w:hAnsi="Arial" w:cs="Arial"/>
          <w:sz w:val="22"/>
          <w:szCs w:val="22"/>
        </w:rPr>
        <w:t>emissions data are indicative of oxidation catalyst performance.</w:t>
      </w:r>
    </w:p>
    <w:p w14:paraId="6ECC454A" w14:textId="7786D803" w:rsidR="008F5CBF" w:rsidRDefault="008F5CBF">
      <w:pPr>
        <w:rPr>
          <w:rFonts w:ascii="Arial" w:hAnsi="Arial" w:cs="Arial"/>
          <w:sz w:val="22"/>
          <w:szCs w:val="22"/>
        </w:rPr>
      </w:pPr>
      <w:r>
        <w:rPr>
          <w:rFonts w:ascii="Arial" w:hAnsi="Arial" w:cs="Arial"/>
          <w:sz w:val="22"/>
          <w:szCs w:val="22"/>
        </w:rPr>
        <w:br w:type="page"/>
      </w:r>
    </w:p>
    <w:p w14:paraId="0B19E6BA" w14:textId="77777777" w:rsidR="00FE2EFE" w:rsidRPr="00C10BC6" w:rsidRDefault="00FE2EFE" w:rsidP="0078315E">
      <w:pPr>
        <w:jc w:val="both"/>
        <w:rPr>
          <w:rFonts w:ascii="Arial" w:hAnsi="Arial" w:cs="Arial"/>
          <w:sz w:val="22"/>
          <w:szCs w:val="22"/>
        </w:rPr>
      </w:pPr>
    </w:p>
    <w:p w14:paraId="66B82E09" w14:textId="203B2825" w:rsidR="00EE2371" w:rsidRPr="000E0479" w:rsidRDefault="007F54A1" w:rsidP="00190D0B">
      <w:pPr>
        <w:autoSpaceDE w:val="0"/>
        <w:autoSpaceDN w:val="0"/>
        <w:adjustRightInd w:val="0"/>
        <w:jc w:val="both"/>
        <w:rPr>
          <w:rFonts w:ascii="Arial" w:hAnsi="Arial" w:cs="Arial"/>
          <w:sz w:val="22"/>
          <w:szCs w:val="22"/>
        </w:rPr>
      </w:pPr>
      <w:r w:rsidRPr="00C10BC6">
        <w:rPr>
          <w:rFonts w:ascii="Arial" w:hAnsi="Arial" w:cs="Arial"/>
          <w:sz w:val="22"/>
          <w:szCs w:val="22"/>
        </w:rPr>
        <w:t xml:space="preserve">The emissions of CO, as measured by the CEMS, will be monitored to </w:t>
      </w:r>
      <w:r w:rsidRPr="002E17B6">
        <w:rPr>
          <w:rFonts w:ascii="Arial" w:hAnsi="Arial" w:cs="Arial"/>
          <w:sz w:val="22"/>
          <w:szCs w:val="22"/>
        </w:rPr>
        <w:t xml:space="preserve">verify proper operation of the control equipment and to provide reasonable assurance of compliance with the VOC emission limit.  </w:t>
      </w:r>
      <w:r w:rsidR="00EE2371" w:rsidRPr="00F1566F">
        <w:rPr>
          <w:rFonts w:ascii="Arial" w:hAnsi="Arial" w:cs="Arial"/>
          <w:sz w:val="22"/>
          <w:szCs w:val="22"/>
        </w:rPr>
        <w:t xml:space="preserve">The permitted CO limit is </w:t>
      </w:r>
      <w:r w:rsidR="00DF7519">
        <w:rPr>
          <w:rFonts w:ascii="Arial" w:hAnsi="Arial" w:cs="Arial"/>
          <w:sz w:val="22"/>
          <w:szCs w:val="22"/>
        </w:rPr>
        <w:t xml:space="preserve">4 </w:t>
      </w:r>
      <w:proofErr w:type="spellStart"/>
      <w:r w:rsidR="00DF7519">
        <w:rPr>
          <w:rFonts w:ascii="Arial" w:hAnsi="Arial" w:cs="Arial"/>
          <w:sz w:val="22"/>
          <w:szCs w:val="22"/>
        </w:rPr>
        <w:t>ppmvd</w:t>
      </w:r>
      <w:proofErr w:type="spellEnd"/>
      <w:r w:rsidR="00DF7519">
        <w:rPr>
          <w:rFonts w:ascii="Arial" w:hAnsi="Arial" w:cs="Arial"/>
          <w:sz w:val="22"/>
          <w:szCs w:val="22"/>
        </w:rPr>
        <w:t xml:space="preserve"> at 15% O</w:t>
      </w:r>
      <w:r w:rsidR="00DF7519" w:rsidRPr="009F10F5">
        <w:rPr>
          <w:rFonts w:ascii="Arial" w:hAnsi="Arial" w:cs="Arial"/>
          <w:sz w:val="22"/>
          <w:szCs w:val="22"/>
          <w:vertAlign w:val="subscript"/>
        </w:rPr>
        <w:t>2</w:t>
      </w:r>
      <w:r w:rsidR="00EE2371" w:rsidRPr="00F1566F">
        <w:rPr>
          <w:rFonts w:ascii="Arial" w:hAnsi="Arial" w:cs="Arial"/>
          <w:sz w:val="22"/>
          <w:szCs w:val="22"/>
        </w:rPr>
        <w:t xml:space="preserve">, based on a 24-hour rolling average as determined each operating hour, except during startup and shutdown. </w:t>
      </w:r>
      <w:r w:rsidR="008F5CBF">
        <w:rPr>
          <w:rFonts w:ascii="Arial" w:hAnsi="Arial" w:cs="Arial"/>
          <w:sz w:val="22"/>
          <w:szCs w:val="22"/>
        </w:rPr>
        <w:t xml:space="preserve"> </w:t>
      </w:r>
      <w:r w:rsidR="00EE2371" w:rsidRPr="00F1566F">
        <w:rPr>
          <w:rFonts w:ascii="Arial" w:hAnsi="Arial" w:cs="Arial"/>
          <w:sz w:val="22"/>
          <w:szCs w:val="22"/>
        </w:rPr>
        <w:t xml:space="preserve">To provide a reasonable assurance of compliance </w:t>
      </w:r>
      <w:r w:rsidR="00EE2371" w:rsidRPr="000E0479">
        <w:rPr>
          <w:rFonts w:ascii="Arial" w:hAnsi="Arial" w:cs="Arial"/>
          <w:sz w:val="22"/>
          <w:szCs w:val="22"/>
        </w:rPr>
        <w:t xml:space="preserve">with the VOC emission limits, a more stringent “based on 1-hour average” of the CO emissions would be used as an indicator, instead of the “hourly, 24-hour average” time frame. </w:t>
      </w:r>
      <w:r w:rsidR="008F5CBF">
        <w:rPr>
          <w:rFonts w:ascii="Arial" w:hAnsi="Arial" w:cs="Arial"/>
          <w:sz w:val="22"/>
          <w:szCs w:val="22"/>
        </w:rPr>
        <w:t xml:space="preserve"> </w:t>
      </w:r>
      <w:r w:rsidR="00EE2371" w:rsidRPr="000E0479">
        <w:rPr>
          <w:rFonts w:ascii="Arial" w:hAnsi="Arial" w:cs="Arial"/>
          <w:sz w:val="22"/>
          <w:szCs w:val="22"/>
        </w:rPr>
        <w:t>Use of the shorter averaging time period is to avoid the possibility of a VOC limit exceedance</w:t>
      </w:r>
      <w:r w:rsidR="00F1566F" w:rsidRPr="000E0479">
        <w:rPr>
          <w:rFonts w:ascii="Arial" w:hAnsi="Arial" w:cs="Arial"/>
          <w:sz w:val="22"/>
          <w:szCs w:val="22"/>
        </w:rPr>
        <w:t xml:space="preserve"> because t</w:t>
      </w:r>
      <w:r w:rsidR="00EE2371" w:rsidRPr="000E0479">
        <w:rPr>
          <w:rFonts w:ascii="Arial" w:hAnsi="Arial" w:cs="Arial"/>
          <w:sz w:val="22"/>
          <w:szCs w:val="22"/>
        </w:rPr>
        <w:t>he VOC emission limits are based on hourly averages.</w:t>
      </w:r>
    </w:p>
    <w:p w14:paraId="20B54316" w14:textId="77777777" w:rsidR="00EE2371" w:rsidRPr="000E0479" w:rsidRDefault="00EE2371" w:rsidP="00190D0B">
      <w:pPr>
        <w:jc w:val="both"/>
        <w:rPr>
          <w:rFonts w:ascii="Arial" w:hAnsi="Arial" w:cs="Arial"/>
          <w:sz w:val="22"/>
          <w:szCs w:val="22"/>
        </w:rPr>
      </w:pPr>
    </w:p>
    <w:p w14:paraId="6A41B8FB" w14:textId="7B52538B" w:rsidR="006C543E" w:rsidRPr="002E17B6" w:rsidRDefault="009B566E" w:rsidP="002E17B6">
      <w:pPr>
        <w:jc w:val="both"/>
        <w:rPr>
          <w:rFonts w:ascii="Arial" w:hAnsi="Arial" w:cs="Arial"/>
          <w:sz w:val="22"/>
          <w:szCs w:val="22"/>
        </w:rPr>
      </w:pPr>
      <w:r w:rsidRPr="002E17B6">
        <w:rPr>
          <w:rFonts w:ascii="Arial" w:hAnsi="Arial" w:cs="Arial"/>
          <w:sz w:val="22"/>
          <w:szCs w:val="22"/>
        </w:rPr>
        <w:t>An excursion is defined as a</w:t>
      </w:r>
      <w:r w:rsidR="00B42CE3" w:rsidRPr="002E17B6">
        <w:rPr>
          <w:rFonts w:ascii="Arial" w:hAnsi="Arial" w:cs="Arial"/>
          <w:sz w:val="22"/>
          <w:szCs w:val="22"/>
        </w:rPr>
        <w:t xml:space="preserve"> CO outlet concentration of 4 </w:t>
      </w:r>
      <w:proofErr w:type="spellStart"/>
      <w:r w:rsidR="00B42CE3" w:rsidRPr="002E17B6">
        <w:rPr>
          <w:rFonts w:ascii="Arial" w:hAnsi="Arial" w:cs="Arial"/>
          <w:sz w:val="22"/>
          <w:szCs w:val="22"/>
        </w:rPr>
        <w:t>ppmvd</w:t>
      </w:r>
      <w:proofErr w:type="spellEnd"/>
      <w:r w:rsidR="008A2002" w:rsidRPr="002E17B6">
        <w:rPr>
          <w:rFonts w:ascii="Arial" w:hAnsi="Arial" w:cs="Arial"/>
          <w:sz w:val="22"/>
          <w:szCs w:val="22"/>
        </w:rPr>
        <w:t xml:space="preserve"> at 15% O</w:t>
      </w:r>
      <w:r w:rsidR="008A2002" w:rsidRPr="002E17B6">
        <w:rPr>
          <w:rFonts w:ascii="Arial" w:hAnsi="Arial" w:cs="Arial"/>
          <w:sz w:val="22"/>
          <w:szCs w:val="22"/>
          <w:vertAlign w:val="subscript"/>
        </w:rPr>
        <w:t>2</w:t>
      </w:r>
      <w:r w:rsidR="00B42CE3" w:rsidRPr="002E17B6">
        <w:rPr>
          <w:rFonts w:ascii="Arial" w:hAnsi="Arial" w:cs="Arial"/>
          <w:sz w:val="22"/>
          <w:szCs w:val="22"/>
        </w:rPr>
        <w:t xml:space="preserve"> based on an hourly average</w:t>
      </w:r>
      <w:r w:rsidR="008A2002" w:rsidRPr="002E17B6">
        <w:rPr>
          <w:rFonts w:ascii="Arial" w:hAnsi="Arial" w:cs="Arial"/>
          <w:sz w:val="22"/>
          <w:szCs w:val="22"/>
        </w:rPr>
        <w:t>.</w:t>
      </w:r>
      <w:r w:rsidRPr="002E17B6">
        <w:rPr>
          <w:rFonts w:ascii="Arial" w:hAnsi="Arial" w:cs="Arial"/>
          <w:sz w:val="22"/>
          <w:szCs w:val="22"/>
        </w:rPr>
        <w:t xml:space="preserve"> </w:t>
      </w:r>
      <w:r w:rsidR="002E17B6">
        <w:rPr>
          <w:rFonts w:ascii="Arial" w:hAnsi="Arial" w:cs="Arial"/>
          <w:sz w:val="22"/>
          <w:szCs w:val="22"/>
        </w:rPr>
        <w:t xml:space="preserve"> </w:t>
      </w:r>
      <w:r w:rsidR="006C543E" w:rsidRPr="002E17B6">
        <w:rPr>
          <w:rFonts w:ascii="Arial" w:hAnsi="Arial" w:cs="Arial"/>
          <w:sz w:val="22"/>
          <w:szCs w:val="22"/>
        </w:rPr>
        <w:t>Upon detecting an excursion or exceedance as outlined by performance indicators in Table 2-1</w:t>
      </w:r>
      <w:r w:rsidR="002E17B6">
        <w:rPr>
          <w:rFonts w:ascii="Arial" w:hAnsi="Arial" w:cs="Arial"/>
          <w:sz w:val="22"/>
          <w:szCs w:val="22"/>
        </w:rPr>
        <w:t xml:space="preserve"> of Indeck’s submitted CAM Plan</w:t>
      </w:r>
      <w:r w:rsidR="006C543E" w:rsidRPr="002E17B6">
        <w:rPr>
          <w:rFonts w:ascii="Arial" w:hAnsi="Arial" w:cs="Arial"/>
          <w:sz w:val="22"/>
          <w:szCs w:val="22"/>
        </w:rPr>
        <w:t>,</w:t>
      </w:r>
      <w:r w:rsidR="00390CA2" w:rsidRPr="002E17B6">
        <w:rPr>
          <w:rFonts w:ascii="Arial" w:hAnsi="Arial" w:cs="Arial"/>
          <w:sz w:val="22"/>
          <w:szCs w:val="22"/>
        </w:rPr>
        <w:t xml:space="preserve"> </w:t>
      </w:r>
      <w:r w:rsidR="006C543E" w:rsidRPr="002E17B6">
        <w:rPr>
          <w:rFonts w:ascii="Arial" w:hAnsi="Arial" w:cs="Arial"/>
          <w:sz w:val="22"/>
          <w:szCs w:val="22"/>
        </w:rPr>
        <w:t>Indeck will investigate the cause and initiate corrective action to the oxidation catalyst, if</w:t>
      </w:r>
      <w:r w:rsidR="00583914" w:rsidRPr="002E17B6">
        <w:rPr>
          <w:rFonts w:ascii="Arial" w:hAnsi="Arial" w:cs="Arial"/>
          <w:sz w:val="22"/>
          <w:szCs w:val="22"/>
        </w:rPr>
        <w:t xml:space="preserve"> </w:t>
      </w:r>
      <w:r w:rsidR="006C543E" w:rsidRPr="002E17B6">
        <w:rPr>
          <w:rFonts w:ascii="Arial" w:hAnsi="Arial" w:cs="Arial"/>
          <w:sz w:val="22"/>
          <w:szCs w:val="22"/>
        </w:rPr>
        <w:t>needed, as expeditiously as practicable and in accordance with good air pollution control</w:t>
      </w:r>
      <w:r w:rsidR="00583914" w:rsidRPr="002E17B6">
        <w:rPr>
          <w:rFonts w:ascii="Arial" w:hAnsi="Arial" w:cs="Arial"/>
          <w:sz w:val="22"/>
          <w:szCs w:val="22"/>
        </w:rPr>
        <w:t xml:space="preserve"> </w:t>
      </w:r>
      <w:r w:rsidR="006C543E" w:rsidRPr="002E17B6">
        <w:rPr>
          <w:rFonts w:ascii="Arial" w:hAnsi="Arial" w:cs="Arial"/>
          <w:sz w:val="22"/>
          <w:szCs w:val="22"/>
        </w:rPr>
        <w:t>practices for minimizing emissions.</w:t>
      </w:r>
    </w:p>
    <w:p w14:paraId="39C56E12" w14:textId="77777777" w:rsidR="006C543E" w:rsidRDefault="006C543E" w:rsidP="000F73C3">
      <w:pPr>
        <w:rPr>
          <w:rFonts w:ascii="Arial" w:hAnsi="Arial" w:cs="Arial"/>
          <w:sz w:val="22"/>
          <w:szCs w:val="22"/>
        </w:rPr>
      </w:pPr>
    </w:p>
    <w:p w14:paraId="37A9705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A483B35" w14:textId="77777777" w:rsidR="000F73C3" w:rsidRDefault="000F73C3" w:rsidP="000F73C3">
      <w:pPr>
        <w:jc w:val="both"/>
        <w:rPr>
          <w:rFonts w:ascii="Arial" w:hAnsi="Arial" w:cs="Arial"/>
          <w:sz w:val="22"/>
          <w:szCs w:val="22"/>
        </w:rPr>
      </w:pPr>
    </w:p>
    <w:p w14:paraId="40144C8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5C89CA6" w14:textId="77777777" w:rsidR="000F73C3" w:rsidRPr="00290754" w:rsidRDefault="000F73C3" w:rsidP="000F73C3">
      <w:pPr>
        <w:jc w:val="both"/>
        <w:rPr>
          <w:rFonts w:ascii="Arial" w:hAnsi="Arial" w:cs="Arial"/>
          <w:sz w:val="22"/>
          <w:szCs w:val="22"/>
        </w:rPr>
      </w:pPr>
    </w:p>
    <w:p w14:paraId="5C2E82B1"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F5899D6" w14:textId="77777777" w:rsidR="000F73C3" w:rsidRDefault="000F73C3" w:rsidP="000F73C3">
      <w:pPr>
        <w:jc w:val="both"/>
        <w:rPr>
          <w:rFonts w:ascii="Arial" w:hAnsi="Arial" w:cs="Arial"/>
          <w:sz w:val="22"/>
          <w:szCs w:val="22"/>
        </w:rPr>
      </w:pPr>
    </w:p>
    <w:p w14:paraId="07CE4CE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06A3240" w14:textId="77777777" w:rsidR="000F73C3" w:rsidRPr="00DA122E" w:rsidRDefault="000F73C3" w:rsidP="000F73C3">
      <w:pPr>
        <w:rPr>
          <w:rFonts w:ascii="Arial" w:hAnsi="Arial" w:cs="Arial"/>
          <w:sz w:val="22"/>
          <w:szCs w:val="22"/>
        </w:rPr>
      </w:pPr>
    </w:p>
    <w:p w14:paraId="25B34D58"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AAAE5CF" w14:textId="77777777" w:rsidR="000F73C3" w:rsidRPr="00DA122E" w:rsidRDefault="000F73C3" w:rsidP="000F73C3">
      <w:pPr>
        <w:rPr>
          <w:rFonts w:ascii="Arial" w:hAnsi="Arial" w:cs="Arial"/>
          <w:sz w:val="22"/>
          <w:szCs w:val="22"/>
        </w:rPr>
      </w:pPr>
    </w:p>
    <w:p w14:paraId="393F22E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62B80B7" w14:textId="77777777" w:rsidR="000F73C3" w:rsidRPr="00D122B6" w:rsidRDefault="000F73C3" w:rsidP="000F73C3">
      <w:pPr>
        <w:rPr>
          <w:rFonts w:ascii="Arial" w:hAnsi="Arial" w:cs="Arial"/>
          <w:sz w:val="22"/>
          <w:szCs w:val="22"/>
        </w:rPr>
      </w:pPr>
    </w:p>
    <w:p w14:paraId="0DF5C32D"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84D4EE5" w14:textId="77777777" w:rsidR="000F73C3" w:rsidRPr="00D122B6" w:rsidRDefault="000F73C3" w:rsidP="000F73C3">
      <w:pPr>
        <w:rPr>
          <w:rFonts w:ascii="Arial" w:hAnsi="Arial" w:cs="Arial"/>
          <w:sz w:val="22"/>
          <w:szCs w:val="22"/>
        </w:rPr>
      </w:pPr>
    </w:p>
    <w:p w14:paraId="38D86DD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61FB02AF" w14:textId="77777777" w:rsidR="000F73C3" w:rsidRPr="00290754" w:rsidRDefault="000F73C3" w:rsidP="000F73C3">
      <w:pPr>
        <w:rPr>
          <w:rFonts w:ascii="Arial" w:hAnsi="Arial" w:cs="Arial"/>
          <w:sz w:val="22"/>
          <w:szCs w:val="22"/>
        </w:rPr>
      </w:pPr>
    </w:p>
    <w:p w14:paraId="11C43AC6" w14:textId="77777777" w:rsidR="000F73C3" w:rsidRPr="00B66177" w:rsidRDefault="000F73C3" w:rsidP="000F73C3">
      <w:pPr>
        <w:jc w:val="both"/>
        <w:rPr>
          <w:rFonts w:ascii="Arial" w:hAnsi="Arial" w:cs="Arial"/>
          <w:sz w:val="22"/>
          <w:szCs w:val="22"/>
        </w:rPr>
      </w:pPr>
      <w:r w:rsidRPr="00290754">
        <w:rPr>
          <w:rFonts w:ascii="Arial" w:hAnsi="Arial" w:cs="Arial"/>
          <w:sz w:val="22"/>
          <w:szCs w:val="22"/>
        </w:rPr>
        <w:t xml:space="preserve">There were no </w:t>
      </w:r>
      <w:r w:rsidR="008273F7">
        <w:rPr>
          <w:rFonts w:ascii="Arial" w:hAnsi="Arial" w:cs="Arial"/>
          <w:sz w:val="22"/>
          <w:szCs w:val="22"/>
        </w:rPr>
        <w:t xml:space="preserve">PTI exempt </w:t>
      </w:r>
      <w:r w:rsidRPr="00290754">
        <w:rPr>
          <w:rFonts w:ascii="Arial" w:hAnsi="Arial" w:cs="Arial"/>
          <w:sz w:val="22"/>
          <w:szCs w:val="22"/>
        </w:rPr>
        <w:t xml:space="preserve">processes listed in the ROP </w:t>
      </w:r>
      <w:r w:rsidR="00956132">
        <w:rPr>
          <w:rFonts w:ascii="Arial" w:hAnsi="Arial" w:cs="Arial"/>
          <w:sz w:val="22"/>
          <w:szCs w:val="22"/>
        </w:rPr>
        <w:t>A</w:t>
      </w:r>
      <w:r w:rsidRPr="00290754">
        <w:rPr>
          <w:rFonts w:ascii="Arial" w:hAnsi="Arial" w:cs="Arial"/>
          <w:sz w:val="22"/>
          <w:szCs w:val="22"/>
        </w:rPr>
        <w:t xml:space="preserve">pplication </w:t>
      </w:r>
      <w:r w:rsidR="000D38DB" w:rsidRPr="00DA122E">
        <w:rPr>
          <w:rFonts w:ascii="Arial" w:hAnsi="Arial" w:cs="Arial"/>
          <w:sz w:val="22"/>
          <w:szCs w:val="22"/>
        </w:rPr>
        <w:t>pursuant to</w:t>
      </w:r>
      <w:r w:rsidR="000D38DB" w:rsidRPr="00290754">
        <w:rPr>
          <w:rFonts w:ascii="Arial" w:hAnsi="Arial" w:cs="Arial"/>
          <w:sz w:val="22"/>
          <w:szCs w:val="22"/>
        </w:rPr>
        <w:t xml:space="preserve"> </w:t>
      </w:r>
      <w:r w:rsidRPr="00290754">
        <w:rPr>
          <w:rFonts w:ascii="Arial" w:hAnsi="Arial" w:cs="Arial"/>
          <w:sz w:val="22"/>
          <w:szCs w:val="22"/>
        </w:rPr>
        <w:t>Rule 212(</w:t>
      </w:r>
      <w:r>
        <w:rPr>
          <w:rFonts w:ascii="Arial" w:hAnsi="Arial" w:cs="Arial"/>
          <w:sz w:val="22"/>
          <w:szCs w:val="22"/>
        </w:rPr>
        <w:t>4</w:t>
      </w:r>
      <w:r w:rsidRPr="00290754">
        <w:rPr>
          <w:rFonts w:ascii="Arial" w:hAnsi="Arial" w:cs="Arial"/>
          <w:sz w:val="22"/>
          <w:szCs w:val="22"/>
        </w:rPr>
        <w:t>)</w:t>
      </w:r>
      <w:r w:rsidR="008273F7" w:rsidRPr="00B66177">
        <w:rPr>
          <w:rFonts w:ascii="Arial" w:hAnsi="Arial" w:cs="Arial"/>
          <w:sz w:val="22"/>
          <w:szCs w:val="22"/>
        </w:rPr>
        <w:t xml:space="preserve"> that were not included in the Draft ROP</w:t>
      </w:r>
      <w:r w:rsidRPr="00B66177">
        <w:rPr>
          <w:rFonts w:ascii="Arial" w:hAnsi="Arial" w:cs="Arial"/>
          <w:sz w:val="22"/>
          <w:szCs w:val="22"/>
        </w:rPr>
        <w:t xml:space="preserve">.  </w:t>
      </w:r>
    </w:p>
    <w:p w14:paraId="300F6E1C" w14:textId="77777777" w:rsidR="00DE6E0D" w:rsidRPr="00290754" w:rsidRDefault="00DE6E0D" w:rsidP="000F73C3">
      <w:pPr>
        <w:rPr>
          <w:rFonts w:ascii="Arial" w:hAnsi="Arial" w:cs="Arial"/>
          <w:sz w:val="22"/>
          <w:szCs w:val="22"/>
        </w:rPr>
      </w:pPr>
    </w:p>
    <w:p w14:paraId="389D35C4" w14:textId="77777777" w:rsidR="002D17CD" w:rsidRPr="00290754" w:rsidRDefault="002D17CD" w:rsidP="002D17CD">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2246A16" w14:textId="77777777" w:rsidR="002D17CD" w:rsidRPr="00290754" w:rsidRDefault="002D17CD" w:rsidP="002D17CD">
      <w:pPr>
        <w:rPr>
          <w:rFonts w:ascii="Arial" w:hAnsi="Arial" w:cs="Arial"/>
          <w:sz w:val="22"/>
          <w:szCs w:val="22"/>
        </w:rPr>
      </w:pPr>
    </w:p>
    <w:p w14:paraId="36E95FA0" w14:textId="77777777" w:rsidR="002D17CD" w:rsidRPr="00290754" w:rsidRDefault="002D17CD" w:rsidP="002D17CD">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580968EF" w14:textId="77777777" w:rsidR="002D17CD" w:rsidRDefault="002D17CD" w:rsidP="000F73C3">
      <w:pPr>
        <w:rPr>
          <w:rFonts w:ascii="Arial" w:hAnsi="Arial" w:cs="Arial"/>
          <w:b/>
          <w:sz w:val="22"/>
          <w:szCs w:val="22"/>
          <w:u w:val="single"/>
        </w:rPr>
      </w:pPr>
    </w:p>
    <w:p w14:paraId="7305CC48" w14:textId="0923F6FB"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07AE875" w14:textId="77777777" w:rsidR="000F73C3" w:rsidRPr="00EC0D9E" w:rsidRDefault="000F73C3" w:rsidP="000F73C3">
      <w:pPr>
        <w:rPr>
          <w:rFonts w:ascii="Arial" w:hAnsi="Arial" w:cs="Arial"/>
          <w:sz w:val="22"/>
          <w:szCs w:val="22"/>
        </w:rPr>
      </w:pPr>
    </w:p>
    <w:p w14:paraId="7DBBF85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F337128" w14:textId="73E0D13F" w:rsidR="00DC704B" w:rsidRDefault="00DC704B">
      <w:pPr>
        <w:rPr>
          <w:rFonts w:ascii="Arial" w:hAnsi="Arial" w:cs="Arial"/>
          <w:sz w:val="22"/>
          <w:szCs w:val="22"/>
        </w:rPr>
      </w:pPr>
      <w:r>
        <w:rPr>
          <w:rFonts w:ascii="Arial" w:hAnsi="Arial" w:cs="Arial"/>
          <w:sz w:val="22"/>
          <w:szCs w:val="22"/>
        </w:rPr>
        <w:br w:type="page"/>
      </w:r>
    </w:p>
    <w:p w14:paraId="12C84D9C" w14:textId="77777777" w:rsidR="000F73C3" w:rsidRDefault="000F73C3" w:rsidP="000F73C3">
      <w:pPr>
        <w:jc w:val="both"/>
        <w:rPr>
          <w:rFonts w:ascii="Arial" w:hAnsi="Arial" w:cs="Arial"/>
          <w:sz w:val="22"/>
          <w:szCs w:val="22"/>
        </w:rPr>
      </w:pPr>
    </w:p>
    <w:p w14:paraId="6388EB10"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6AEB55C" w14:textId="77777777" w:rsidR="000F73C3" w:rsidRPr="00290754" w:rsidRDefault="000F73C3" w:rsidP="000F73C3">
      <w:pPr>
        <w:jc w:val="both"/>
        <w:rPr>
          <w:rFonts w:ascii="Arial" w:hAnsi="Arial" w:cs="Arial"/>
          <w:sz w:val="22"/>
          <w:szCs w:val="22"/>
        </w:rPr>
      </w:pPr>
    </w:p>
    <w:p w14:paraId="47703727" w14:textId="2F83BB91"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90D0B">
        <w:rPr>
          <w:rFonts w:ascii="Arial" w:hAnsi="Arial" w:cs="Arial"/>
          <w:sz w:val="22"/>
          <w:szCs w:val="22"/>
        </w:rPr>
        <w:t>Julie Brunner</w:t>
      </w:r>
      <w:r w:rsidRPr="00290754">
        <w:rPr>
          <w:rFonts w:ascii="Arial" w:hAnsi="Arial" w:cs="Arial"/>
          <w:sz w:val="22"/>
          <w:szCs w:val="22"/>
        </w:rPr>
        <w:t xml:space="preserve">, </w:t>
      </w:r>
      <w:r w:rsidR="00190D0B">
        <w:rPr>
          <w:rFonts w:ascii="Arial" w:hAnsi="Arial" w:cs="Arial"/>
          <w:sz w:val="22"/>
          <w:szCs w:val="22"/>
        </w:rPr>
        <w:t>ROP Central Unit</w:t>
      </w:r>
      <w:r w:rsidRPr="00290754">
        <w:rPr>
          <w:rFonts w:ascii="Arial" w:hAnsi="Arial" w:cs="Arial"/>
          <w:sz w:val="22"/>
          <w:szCs w:val="22"/>
        </w:rPr>
        <w:t xml:space="preserve">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8C9D592" w14:textId="12130999" w:rsidR="004E3458" w:rsidRDefault="004E3458">
      <w:pPr>
        <w:rPr>
          <w:rFonts w:ascii="Arial" w:hAnsi="Arial" w:cs="Arial"/>
          <w:sz w:val="22"/>
          <w:szCs w:val="22"/>
        </w:rPr>
      </w:pPr>
      <w:r>
        <w:rPr>
          <w:rFonts w:ascii="Arial" w:hAnsi="Arial" w:cs="Arial"/>
          <w:sz w:val="22"/>
          <w:szCs w:val="22"/>
        </w:rPr>
        <w:br w:type="page"/>
      </w:r>
    </w:p>
    <w:p w14:paraId="4ED2064F" w14:textId="77777777" w:rsidR="004E3458" w:rsidRDefault="004E3458" w:rsidP="004E345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4E3458" w14:paraId="3D4EAD0E" w14:textId="77777777" w:rsidTr="00FC5E7D">
        <w:tc>
          <w:tcPr>
            <w:tcW w:w="2250" w:type="dxa"/>
          </w:tcPr>
          <w:p w14:paraId="6A48F158" w14:textId="77777777" w:rsidR="004E3458" w:rsidRDefault="004E3458" w:rsidP="00FC5E7D">
            <w:pPr>
              <w:jc w:val="center"/>
              <w:rPr>
                <w:rFonts w:ascii="Arial" w:hAnsi="Arial"/>
                <w:sz w:val="16"/>
              </w:rPr>
            </w:pPr>
          </w:p>
        </w:tc>
        <w:tc>
          <w:tcPr>
            <w:tcW w:w="5670" w:type="dxa"/>
          </w:tcPr>
          <w:p w14:paraId="0B5FA559" w14:textId="77777777" w:rsidR="004E3458" w:rsidRDefault="004E3458" w:rsidP="00FC5E7D">
            <w:pPr>
              <w:ind w:left="-108" w:right="-140"/>
              <w:jc w:val="center"/>
              <w:rPr>
                <w:rFonts w:ascii="Arial" w:hAnsi="Arial"/>
              </w:rPr>
            </w:pPr>
            <w:r>
              <w:rPr>
                <w:rFonts w:ascii="Arial" w:hAnsi="Arial"/>
              </w:rPr>
              <w:t>Michigan Department of Environment, Great Lakes, and Energy</w:t>
            </w:r>
          </w:p>
          <w:p w14:paraId="6F56FBC7" w14:textId="77777777" w:rsidR="004E3458" w:rsidRDefault="004E3458" w:rsidP="00FC5E7D">
            <w:pPr>
              <w:jc w:val="center"/>
              <w:rPr>
                <w:rFonts w:ascii="Arial" w:hAnsi="Arial"/>
                <w:sz w:val="16"/>
              </w:rPr>
            </w:pPr>
            <w:r>
              <w:rPr>
                <w:rFonts w:ascii="Arial" w:hAnsi="Arial"/>
              </w:rPr>
              <w:t>Air Quality Division</w:t>
            </w:r>
          </w:p>
        </w:tc>
        <w:tc>
          <w:tcPr>
            <w:tcW w:w="2430" w:type="dxa"/>
          </w:tcPr>
          <w:p w14:paraId="77060730" w14:textId="77777777" w:rsidR="004E3458" w:rsidRDefault="004E3458" w:rsidP="00FC5E7D">
            <w:pPr>
              <w:jc w:val="center"/>
              <w:rPr>
                <w:rFonts w:ascii="Arial" w:hAnsi="Arial"/>
                <w:b/>
                <w:sz w:val="24"/>
              </w:rPr>
            </w:pPr>
          </w:p>
        </w:tc>
      </w:tr>
      <w:tr w:rsidR="004E3458" w14:paraId="429FA01D" w14:textId="77777777" w:rsidTr="00FC5E7D">
        <w:trPr>
          <w:cantSplit/>
          <w:trHeight w:val="146"/>
        </w:trPr>
        <w:tc>
          <w:tcPr>
            <w:tcW w:w="2250" w:type="dxa"/>
          </w:tcPr>
          <w:p w14:paraId="0E51CC3A" w14:textId="77777777" w:rsidR="004E3458" w:rsidRPr="00DB5924" w:rsidRDefault="004E3458" w:rsidP="00FC5E7D">
            <w:pPr>
              <w:pStyle w:val="Header"/>
              <w:jc w:val="center"/>
              <w:rPr>
                <w:rFonts w:ascii="Arial" w:hAnsi="Arial"/>
                <w:b/>
                <w:sz w:val="16"/>
              </w:rPr>
            </w:pPr>
            <w:r w:rsidRPr="00DB5924">
              <w:rPr>
                <w:rFonts w:ascii="Arial" w:hAnsi="Arial"/>
                <w:b/>
                <w:sz w:val="16"/>
              </w:rPr>
              <w:t>State Registration Number</w:t>
            </w:r>
          </w:p>
        </w:tc>
        <w:tc>
          <w:tcPr>
            <w:tcW w:w="5670" w:type="dxa"/>
          </w:tcPr>
          <w:p w14:paraId="73149440" w14:textId="77777777" w:rsidR="004E3458" w:rsidRDefault="004E3458" w:rsidP="00FC5E7D">
            <w:pPr>
              <w:pStyle w:val="Header"/>
              <w:jc w:val="center"/>
              <w:rPr>
                <w:rFonts w:ascii="Arial" w:hAnsi="Arial"/>
                <w:b/>
                <w:sz w:val="28"/>
              </w:rPr>
            </w:pPr>
            <w:r>
              <w:rPr>
                <w:rFonts w:ascii="Arial" w:hAnsi="Arial"/>
                <w:b/>
                <w:sz w:val="28"/>
              </w:rPr>
              <w:t>RENEWABLE OPERATING PERMIT</w:t>
            </w:r>
          </w:p>
        </w:tc>
        <w:tc>
          <w:tcPr>
            <w:tcW w:w="2430" w:type="dxa"/>
          </w:tcPr>
          <w:p w14:paraId="77884A84" w14:textId="77777777" w:rsidR="004E3458" w:rsidRPr="00DB5924" w:rsidRDefault="004E3458" w:rsidP="00FC5E7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E3458" w14:paraId="663FF19C" w14:textId="77777777" w:rsidTr="00FC5E7D">
        <w:trPr>
          <w:cantSplit/>
          <w:trHeight w:val="145"/>
        </w:trPr>
        <w:tc>
          <w:tcPr>
            <w:tcW w:w="2250" w:type="dxa"/>
          </w:tcPr>
          <w:p w14:paraId="00CE639D" w14:textId="45F5615E" w:rsidR="004E3458" w:rsidRPr="00910FEA" w:rsidRDefault="004E3458" w:rsidP="00FC5E7D">
            <w:pPr>
              <w:pStyle w:val="Header"/>
              <w:jc w:val="center"/>
              <w:rPr>
                <w:rFonts w:ascii="Arial" w:hAnsi="Arial"/>
                <w:sz w:val="22"/>
                <w:szCs w:val="22"/>
              </w:rPr>
            </w:pPr>
            <w:r>
              <w:rPr>
                <w:rFonts w:ascii="Arial" w:hAnsi="Arial"/>
                <w:sz w:val="22"/>
              </w:rPr>
              <w:t>N6921</w:t>
            </w:r>
          </w:p>
        </w:tc>
        <w:tc>
          <w:tcPr>
            <w:tcW w:w="5670" w:type="dxa"/>
          </w:tcPr>
          <w:p w14:paraId="08D020CE" w14:textId="30E0CEFD" w:rsidR="004E3458" w:rsidRPr="003D3F6C" w:rsidRDefault="00F37AFD" w:rsidP="00FC5E7D">
            <w:pPr>
              <w:pStyle w:val="Heading1"/>
              <w:spacing w:before="120"/>
              <w:rPr>
                <w:sz w:val="22"/>
                <w:szCs w:val="22"/>
              </w:rPr>
            </w:pPr>
            <w:bookmarkStart w:id="42" w:name="_Toc175648643"/>
            <w:r>
              <w:rPr>
                <w:sz w:val="22"/>
                <w:szCs w:val="22"/>
              </w:rPr>
              <w:t>JULY 11, 2024</w:t>
            </w:r>
            <w:r w:rsidR="004E3458" w:rsidRPr="003D3F6C">
              <w:rPr>
                <w:sz w:val="22"/>
                <w:szCs w:val="22"/>
              </w:rPr>
              <w:t xml:space="preserve"> - STAFF REPORT ADDENDUM</w:t>
            </w:r>
            <w:bookmarkEnd w:id="42"/>
          </w:p>
        </w:tc>
        <w:tc>
          <w:tcPr>
            <w:tcW w:w="2430" w:type="dxa"/>
          </w:tcPr>
          <w:p w14:paraId="33873D1B" w14:textId="3FA8708D" w:rsidR="004E3458" w:rsidRPr="00910FEA" w:rsidRDefault="004E3458" w:rsidP="00FC5E7D">
            <w:pPr>
              <w:pStyle w:val="Header"/>
              <w:jc w:val="center"/>
              <w:rPr>
                <w:rFonts w:ascii="Arial" w:hAnsi="Arial"/>
                <w:sz w:val="22"/>
                <w:szCs w:val="22"/>
              </w:rPr>
            </w:pPr>
            <w:r>
              <w:rPr>
                <w:rFonts w:ascii="Arial" w:hAnsi="Arial"/>
                <w:sz w:val="22"/>
                <w:szCs w:val="22"/>
              </w:rPr>
              <w:t>MI-ROP-N6921-20</w:t>
            </w:r>
            <w:r w:rsidR="00120F59">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FB61D2">
              <w:rPr>
                <w:rFonts w:ascii="Arial" w:hAnsi="Arial"/>
                <w:sz w:val="22"/>
                <w:szCs w:val="22"/>
              </w:rPr>
            </w:r>
            <w:r w:rsidR="00FB61D2">
              <w:rPr>
                <w:rFonts w:ascii="Arial" w:hAnsi="Arial"/>
                <w:sz w:val="22"/>
                <w:szCs w:val="22"/>
              </w:rPr>
              <w:fldChar w:fldCharType="separate"/>
            </w:r>
            <w:r w:rsidRPr="00910FEA">
              <w:rPr>
                <w:rFonts w:ascii="Arial" w:hAnsi="Arial"/>
                <w:sz w:val="22"/>
                <w:szCs w:val="22"/>
              </w:rPr>
              <w:fldChar w:fldCharType="end"/>
            </w:r>
          </w:p>
        </w:tc>
      </w:tr>
    </w:tbl>
    <w:p w14:paraId="3E24EA17" w14:textId="77777777" w:rsidR="004E3458" w:rsidRDefault="004E3458" w:rsidP="004E3458">
      <w:pPr>
        <w:pStyle w:val="Header"/>
        <w:tabs>
          <w:tab w:val="clear" w:pos="4320"/>
          <w:tab w:val="clear" w:pos="8640"/>
        </w:tabs>
        <w:rPr>
          <w:rFonts w:ascii="Arial" w:hAnsi="Arial"/>
          <w:sz w:val="18"/>
        </w:rPr>
      </w:pPr>
    </w:p>
    <w:p w14:paraId="2935529E" w14:textId="77777777" w:rsidR="004E3458" w:rsidRDefault="004E3458" w:rsidP="004E3458">
      <w:pPr>
        <w:rPr>
          <w:rFonts w:ascii="Arial" w:hAnsi="Arial"/>
          <w:sz w:val="22"/>
        </w:rPr>
      </w:pPr>
    </w:p>
    <w:p w14:paraId="7DAF3E34" w14:textId="77777777" w:rsidR="004E3458" w:rsidRDefault="004E3458" w:rsidP="004E3458">
      <w:pPr>
        <w:rPr>
          <w:rFonts w:ascii="Arial" w:hAnsi="Arial"/>
          <w:b/>
          <w:sz w:val="22"/>
          <w:u w:val="single"/>
        </w:rPr>
      </w:pPr>
      <w:bookmarkStart w:id="43" w:name="_Toc482691122"/>
      <w:r>
        <w:rPr>
          <w:rFonts w:ascii="Arial" w:hAnsi="Arial"/>
          <w:b/>
          <w:sz w:val="22"/>
          <w:u w:val="single"/>
        </w:rPr>
        <w:t>Purpose</w:t>
      </w:r>
      <w:bookmarkEnd w:id="43"/>
    </w:p>
    <w:p w14:paraId="46F243AE" w14:textId="77777777" w:rsidR="004E3458" w:rsidRDefault="004E3458" w:rsidP="004E3458">
      <w:pPr>
        <w:rPr>
          <w:rFonts w:ascii="Arial" w:hAnsi="Arial"/>
          <w:sz w:val="22"/>
        </w:rPr>
      </w:pPr>
    </w:p>
    <w:p w14:paraId="571B4E8A" w14:textId="564EC105" w:rsidR="004E3458" w:rsidRDefault="004E3458" w:rsidP="004E3458">
      <w:pPr>
        <w:jc w:val="both"/>
        <w:rPr>
          <w:rFonts w:ascii="Arial" w:hAnsi="Arial"/>
          <w:sz w:val="22"/>
        </w:rPr>
      </w:pPr>
      <w:r>
        <w:rPr>
          <w:rFonts w:ascii="Arial" w:hAnsi="Arial"/>
          <w:sz w:val="22"/>
        </w:rPr>
        <w:t xml:space="preserve">A Staff Report dated </w:t>
      </w:r>
      <w:r>
        <w:rPr>
          <w:rFonts w:ascii="Arial" w:hAnsi="Arial" w:cs="Arial"/>
          <w:sz w:val="22"/>
          <w:szCs w:val="22"/>
        </w:rPr>
        <w:t>June 10,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37AFD">
        <w:rPr>
          <w:rFonts w:ascii="Arial" w:hAnsi="Arial"/>
          <w:sz w:val="22"/>
        </w:rPr>
        <w:t>30-day public</w:t>
      </w:r>
      <w:r>
        <w:rPr>
          <w:rFonts w:ascii="Arial" w:hAnsi="Arial"/>
          <w:sz w:val="22"/>
        </w:rPr>
        <w:t xml:space="preserve"> comment period as described in </w:t>
      </w:r>
      <w:r w:rsidR="00F37AFD">
        <w:rPr>
          <w:rFonts w:ascii="Arial" w:hAnsi="Arial"/>
          <w:sz w:val="22"/>
        </w:rPr>
        <w:t>Rule 214(3)</w:t>
      </w:r>
      <w:r>
        <w:rPr>
          <w:rFonts w:ascii="Arial" w:hAnsi="Arial"/>
          <w:sz w:val="22"/>
        </w:rPr>
        <w:t xml:space="preserve">.  In addition, this addendum describes any changes to the </w:t>
      </w:r>
      <w:r w:rsidR="00F37AF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DA0E64A" w14:textId="77777777" w:rsidR="004E3458" w:rsidRDefault="004E3458" w:rsidP="004E3458">
      <w:pPr>
        <w:rPr>
          <w:rFonts w:ascii="Arial" w:hAnsi="Arial"/>
          <w:sz w:val="22"/>
        </w:rPr>
      </w:pPr>
    </w:p>
    <w:p w14:paraId="30AF7CC6" w14:textId="77777777" w:rsidR="004E3458" w:rsidRDefault="004E3458" w:rsidP="004E3458">
      <w:pPr>
        <w:rPr>
          <w:rFonts w:ascii="Arial" w:hAnsi="Arial"/>
          <w:b/>
          <w:sz w:val="22"/>
          <w:u w:val="single"/>
        </w:rPr>
      </w:pPr>
      <w:r>
        <w:rPr>
          <w:rFonts w:ascii="Arial" w:hAnsi="Arial"/>
          <w:b/>
          <w:sz w:val="22"/>
          <w:u w:val="single"/>
        </w:rPr>
        <w:t>General Information</w:t>
      </w:r>
    </w:p>
    <w:p w14:paraId="5752943E" w14:textId="77777777" w:rsidR="004E3458" w:rsidRDefault="004E3458" w:rsidP="004E3458">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E3458" w14:paraId="113F56B6" w14:textId="77777777" w:rsidTr="004E3458">
        <w:tc>
          <w:tcPr>
            <w:tcW w:w="4464" w:type="dxa"/>
          </w:tcPr>
          <w:p w14:paraId="160DDFF9" w14:textId="12558E9B" w:rsidR="004E3458" w:rsidRDefault="004E3458" w:rsidP="004E3458">
            <w:pPr>
              <w:tabs>
                <w:tab w:val="left" w:pos="3424"/>
              </w:tabs>
              <w:rPr>
                <w:rFonts w:ascii="Arial" w:hAnsi="Arial"/>
                <w:sz w:val="22"/>
              </w:rPr>
            </w:pPr>
            <w:r w:rsidRPr="00290754">
              <w:rPr>
                <w:rFonts w:ascii="Arial" w:hAnsi="Arial" w:cs="Arial"/>
                <w:sz w:val="22"/>
                <w:szCs w:val="22"/>
              </w:rPr>
              <w:t>Responsible Official:</w:t>
            </w:r>
          </w:p>
        </w:tc>
        <w:tc>
          <w:tcPr>
            <w:tcW w:w="5796" w:type="dxa"/>
          </w:tcPr>
          <w:p w14:paraId="51455B34" w14:textId="77777777" w:rsidR="004E3458" w:rsidRPr="00290754" w:rsidRDefault="004E3458" w:rsidP="004E3458">
            <w:pPr>
              <w:rPr>
                <w:rFonts w:ascii="Arial" w:hAnsi="Arial" w:cs="Arial"/>
                <w:sz w:val="22"/>
                <w:szCs w:val="22"/>
              </w:rPr>
            </w:pPr>
            <w:r>
              <w:rPr>
                <w:rFonts w:ascii="Arial" w:hAnsi="Arial" w:cs="Arial"/>
                <w:sz w:val="22"/>
                <w:szCs w:val="22"/>
              </w:rPr>
              <w:t>Mike Ferguson, Vice President of Operations</w:t>
            </w:r>
          </w:p>
          <w:p w14:paraId="5AE15323" w14:textId="6CC8B53A" w:rsidR="004E3458" w:rsidRDefault="004E3458" w:rsidP="004E3458">
            <w:pPr>
              <w:rPr>
                <w:rFonts w:ascii="Arial" w:hAnsi="Arial"/>
                <w:sz w:val="22"/>
              </w:rPr>
            </w:pPr>
            <w:r>
              <w:rPr>
                <w:rFonts w:ascii="Arial" w:hAnsi="Arial" w:cs="Arial"/>
                <w:sz w:val="22"/>
                <w:szCs w:val="22"/>
              </w:rPr>
              <w:t>847-520-3212</w:t>
            </w:r>
          </w:p>
        </w:tc>
      </w:tr>
      <w:tr w:rsidR="004E3458" w14:paraId="306D48A6" w14:textId="77777777" w:rsidTr="004E3458">
        <w:tc>
          <w:tcPr>
            <w:tcW w:w="4464" w:type="dxa"/>
          </w:tcPr>
          <w:p w14:paraId="45EE344C" w14:textId="491FFFA9" w:rsidR="004E3458" w:rsidRDefault="004E3458" w:rsidP="004E3458">
            <w:pPr>
              <w:rPr>
                <w:rFonts w:ascii="Arial" w:hAnsi="Arial"/>
                <w:sz w:val="22"/>
              </w:rPr>
            </w:pPr>
            <w:r>
              <w:rPr>
                <w:rFonts w:ascii="Arial" w:hAnsi="Arial" w:cs="Arial"/>
                <w:sz w:val="22"/>
                <w:szCs w:val="22"/>
              </w:rPr>
              <w:t>AQD Contact – District Inspector:</w:t>
            </w:r>
          </w:p>
        </w:tc>
        <w:tc>
          <w:tcPr>
            <w:tcW w:w="5796" w:type="dxa"/>
          </w:tcPr>
          <w:p w14:paraId="6E7FCE65" w14:textId="77777777" w:rsidR="004E3458" w:rsidRDefault="004E3458" w:rsidP="004E3458">
            <w:pPr>
              <w:rPr>
                <w:rFonts w:ascii="Arial" w:hAnsi="Arial" w:cs="Arial"/>
                <w:sz w:val="22"/>
                <w:szCs w:val="22"/>
              </w:rPr>
            </w:pPr>
            <w:r>
              <w:rPr>
                <w:rFonts w:ascii="Arial" w:hAnsi="Arial" w:cs="Arial"/>
                <w:sz w:val="22"/>
                <w:szCs w:val="22"/>
              </w:rPr>
              <w:t>Mariah Scott, Environmental Quality Analyst</w:t>
            </w:r>
          </w:p>
          <w:p w14:paraId="1B373808" w14:textId="381DF1B4" w:rsidR="004E3458" w:rsidRDefault="004E3458" w:rsidP="004E3458">
            <w:pPr>
              <w:rPr>
                <w:rFonts w:ascii="Arial" w:hAnsi="Arial"/>
                <w:sz w:val="22"/>
              </w:rPr>
            </w:pPr>
            <w:r w:rsidRPr="00B876E0">
              <w:rPr>
                <w:rFonts w:ascii="Arial" w:hAnsi="Arial" w:cs="Arial"/>
                <w:sz w:val="22"/>
                <w:szCs w:val="22"/>
              </w:rPr>
              <w:t>517-899-3519</w:t>
            </w:r>
          </w:p>
        </w:tc>
      </w:tr>
      <w:tr w:rsidR="004E3458" w14:paraId="07BAB35A" w14:textId="77777777" w:rsidTr="004E3458">
        <w:tc>
          <w:tcPr>
            <w:tcW w:w="4464" w:type="dxa"/>
          </w:tcPr>
          <w:p w14:paraId="1D16D1A0" w14:textId="6FCE475A" w:rsidR="004E3458" w:rsidRDefault="004E3458" w:rsidP="004E3458">
            <w:pPr>
              <w:rPr>
                <w:rFonts w:ascii="Arial" w:hAnsi="Arial"/>
                <w:sz w:val="22"/>
              </w:rPr>
            </w:pPr>
            <w:r w:rsidRPr="00290754">
              <w:rPr>
                <w:rFonts w:ascii="Arial" w:hAnsi="Arial" w:cs="Arial"/>
                <w:sz w:val="22"/>
                <w:szCs w:val="22"/>
              </w:rPr>
              <w:t>AQD Contact</w:t>
            </w:r>
            <w:r>
              <w:rPr>
                <w:rFonts w:ascii="Arial" w:hAnsi="Arial" w:cs="Arial"/>
                <w:sz w:val="22"/>
                <w:szCs w:val="22"/>
              </w:rPr>
              <w:t xml:space="preserve"> – ROP Writer</w:t>
            </w:r>
            <w:r w:rsidRPr="00290754">
              <w:rPr>
                <w:rFonts w:ascii="Arial" w:hAnsi="Arial" w:cs="Arial"/>
                <w:sz w:val="22"/>
                <w:szCs w:val="22"/>
              </w:rPr>
              <w:t>:</w:t>
            </w:r>
          </w:p>
        </w:tc>
        <w:tc>
          <w:tcPr>
            <w:tcW w:w="5796" w:type="dxa"/>
          </w:tcPr>
          <w:p w14:paraId="5794340A" w14:textId="77777777" w:rsidR="004E3458" w:rsidRPr="00290754" w:rsidRDefault="004E3458" w:rsidP="004E3458">
            <w:pPr>
              <w:rPr>
                <w:rFonts w:ascii="Arial" w:hAnsi="Arial" w:cs="Arial"/>
                <w:sz w:val="22"/>
                <w:szCs w:val="22"/>
              </w:rPr>
            </w:pPr>
            <w:r>
              <w:rPr>
                <w:rFonts w:ascii="Arial" w:hAnsi="Arial" w:cs="Arial"/>
                <w:sz w:val="22"/>
                <w:szCs w:val="22"/>
              </w:rPr>
              <w:t>Rachel Benaway</w:t>
            </w:r>
            <w:r w:rsidRPr="00290754">
              <w:rPr>
                <w:rFonts w:ascii="Arial" w:hAnsi="Arial" w:cs="Arial"/>
                <w:sz w:val="22"/>
                <w:szCs w:val="22"/>
              </w:rPr>
              <w:t xml:space="preserve">, </w:t>
            </w:r>
            <w:r>
              <w:rPr>
                <w:rFonts w:ascii="Arial" w:hAnsi="Arial" w:cs="Arial"/>
                <w:sz w:val="22"/>
                <w:szCs w:val="22"/>
              </w:rPr>
              <w:t>Environmental Quality Analyst</w:t>
            </w:r>
          </w:p>
          <w:p w14:paraId="0F749D14" w14:textId="6B9D56A5" w:rsidR="004E3458" w:rsidRDefault="004E3458" w:rsidP="004E3458">
            <w:pPr>
              <w:rPr>
                <w:rFonts w:ascii="Arial" w:hAnsi="Arial" w:cs="Arial"/>
                <w:sz w:val="22"/>
                <w:szCs w:val="22"/>
              </w:rPr>
            </w:pPr>
            <w:r>
              <w:rPr>
                <w:rFonts w:ascii="Arial" w:hAnsi="Arial" w:cs="Arial"/>
                <w:sz w:val="22"/>
                <w:szCs w:val="22"/>
              </w:rPr>
              <w:t>269-370-2170</w:t>
            </w:r>
          </w:p>
        </w:tc>
      </w:tr>
    </w:tbl>
    <w:p w14:paraId="6B88D58E" w14:textId="77777777" w:rsidR="004E3458" w:rsidRDefault="004E3458" w:rsidP="004E3458">
      <w:pPr>
        <w:jc w:val="both"/>
        <w:rPr>
          <w:rFonts w:ascii="Arial" w:hAnsi="Arial"/>
          <w:sz w:val="22"/>
        </w:rPr>
      </w:pPr>
    </w:p>
    <w:p w14:paraId="7B758CD6" w14:textId="77777777" w:rsidR="004E3458" w:rsidRDefault="004E3458" w:rsidP="004E3458">
      <w:pPr>
        <w:rPr>
          <w:rFonts w:ascii="Arial" w:hAnsi="Arial"/>
          <w:b/>
          <w:sz w:val="22"/>
          <w:u w:val="single"/>
        </w:rPr>
      </w:pPr>
      <w:bookmarkStart w:id="44" w:name="_Toc482691123"/>
      <w:r>
        <w:rPr>
          <w:rFonts w:ascii="Arial" w:hAnsi="Arial"/>
          <w:b/>
          <w:sz w:val="22"/>
          <w:u w:val="single"/>
        </w:rPr>
        <w:t>Summary of Pertinent Comments</w:t>
      </w:r>
      <w:bookmarkEnd w:id="44"/>
    </w:p>
    <w:p w14:paraId="67A8EF71" w14:textId="77777777" w:rsidR="004E3458" w:rsidRDefault="004E3458" w:rsidP="004E3458">
      <w:pPr>
        <w:rPr>
          <w:rFonts w:ascii="Arial" w:hAnsi="Arial"/>
          <w:b/>
          <w:sz w:val="22"/>
          <w:u w:val="single"/>
        </w:rPr>
      </w:pPr>
    </w:p>
    <w:p w14:paraId="56F6AC13" w14:textId="203EF145" w:rsidR="004E3458" w:rsidRDefault="004E3458" w:rsidP="004E3458">
      <w:pPr>
        <w:outlineLvl w:val="0"/>
        <w:rPr>
          <w:rFonts w:ascii="Arial" w:hAnsi="Arial"/>
          <w:sz w:val="22"/>
        </w:rPr>
      </w:pPr>
      <w:r>
        <w:rPr>
          <w:rFonts w:ascii="Arial" w:hAnsi="Arial"/>
          <w:sz w:val="22"/>
        </w:rPr>
        <w:t xml:space="preserve">No pertinent comments were received during the </w:t>
      </w:r>
      <w:r w:rsidR="00F37AFD">
        <w:rPr>
          <w:rFonts w:ascii="Arial" w:hAnsi="Arial"/>
          <w:sz w:val="22"/>
        </w:rPr>
        <w:t>30-day public</w:t>
      </w:r>
      <w:r>
        <w:rPr>
          <w:rFonts w:ascii="Arial" w:hAnsi="Arial"/>
          <w:sz w:val="22"/>
        </w:rPr>
        <w:t xml:space="preserve"> comment period.</w:t>
      </w:r>
    </w:p>
    <w:p w14:paraId="50342F91" w14:textId="77777777" w:rsidR="004E3458" w:rsidRDefault="004E3458" w:rsidP="004E3458">
      <w:pPr>
        <w:rPr>
          <w:rFonts w:ascii="Arial" w:hAnsi="Arial"/>
          <w:sz w:val="22"/>
        </w:rPr>
      </w:pPr>
    </w:p>
    <w:p w14:paraId="0F87A2E1" w14:textId="77777777" w:rsidR="004E3458" w:rsidRDefault="004E3458" w:rsidP="004E3458">
      <w:pPr>
        <w:rPr>
          <w:rFonts w:ascii="Arial" w:hAnsi="Arial"/>
          <w:b/>
          <w:sz w:val="22"/>
        </w:rPr>
      </w:pPr>
    </w:p>
    <w:p w14:paraId="61803A7F" w14:textId="25E00A78" w:rsidR="004E3458" w:rsidRDefault="004E3458" w:rsidP="004E3458">
      <w:pPr>
        <w:rPr>
          <w:rFonts w:ascii="Arial" w:hAnsi="Arial"/>
          <w:b/>
          <w:sz w:val="22"/>
          <w:u w:val="single"/>
        </w:rPr>
      </w:pPr>
      <w:bookmarkStart w:id="45" w:name="_Toc482691124"/>
      <w:r>
        <w:rPr>
          <w:rFonts w:ascii="Arial" w:hAnsi="Arial"/>
          <w:b/>
          <w:sz w:val="22"/>
          <w:u w:val="single"/>
        </w:rPr>
        <w:t xml:space="preserve">Changes to the </w:t>
      </w:r>
      <w:r>
        <w:rPr>
          <w:rFonts w:ascii="Arial" w:hAnsi="Arial" w:cs="Arial"/>
          <w:b/>
          <w:sz w:val="22"/>
          <w:szCs w:val="22"/>
          <w:u w:val="single"/>
        </w:rPr>
        <w:t xml:space="preserve">June 10, </w:t>
      </w:r>
      <w:proofErr w:type="gramStart"/>
      <w:r>
        <w:rPr>
          <w:rFonts w:ascii="Arial" w:hAnsi="Arial" w:cs="Arial"/>
          <w:b/>
          <w:sz w:val="22"/>
          <w:szCs w:val="22"/>
          <w:u w:val="single"/>
        </w:rPr>
        <w:t>2024</w:t>
      </w:r>
      <w:proofErr w:type="gramEnd"/>
      <w:r>
        <w:rPr>
          <w:rFonts w:ascii="Arial" w:hAnsi="Arial"/>
          <w:b/>
          <w:sz w:val="22"/>
          <w:u w:val="single"/>
        </w:rPr>
        <w:t xml:space="preserve"> </w:t>
      </w:r>
      <w:r w:rsidR="00F37AFD">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14:paraId="0F511326" w14:textId="77777777" w:rsidR="004E3458" w:rsidRDefault="004E3458" w:rsidP="004E3458">
      <w:pPr>
        <w:rPr>
          <w:rFonts w:ascii="Arial" w:hAnsi="Arial"/>
          <w:b/>
          <w:sz w:val="22"/>
        </w:rPr>
      </w:pPr>
    </w:p>
    <w:p w14:paraId="345859B2" w14:textId="5BDFB409" w:rsidR="004E3458" w:rsidRDefault="004E3458" w:rsidP="004E3458">
      <w:pPr>
        <w:outlineLvl w:val="0"/>
        <w:rPr>
          <w:rFonts w:ascii="Arial" w:hAnsi="Arial"/>
          <w:sz w:val="22"/>
        </w:rPr>
      </w:pPr>
      <w:r>
        <w:rPr>
          <w:rFonts w:ascii="Arial" w:hAnsi="Arial"/>
          <w:sz w:val="22"/>
        </w:rPr>
        <w:t xml:space="preserve">No changes were made to the </w:t>
      </w:r>
      <w:r w:rsidR="00F37AF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C75C0AE" w14:textId="77777777" w:rsidR="004E3458" w:rsidRDefault="004E3458" w:rsidP="004E3458">
      <w:pPr>
        <w:rPr>
          <w:rFonts w:ascii="Arial" w:hAnsi="Arial"/>
          <w:sz w:val="22"/>
        </w:rPr>
      </w:pPr>
    </w:p>
    <w:sectPr w:rsidR="004E345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80C91" w14:textId="77777777" w:rsidR="00687506" w:rsidRDefault="00687506">
      <w:r>
        <w:separator/>
      </w:r>
    </w:p>
  </w:endnote>
  <w:endnote w:type="continuationSeparator" w:id="0">
    <w:p w14:paraId="3BF85460" w14:textId="77777777" w:rsidR="00687506" w:rsidRDefault="0068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B3E16"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09BD"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F395"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AAB7C89"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D89AC" w14:textId="77777777" w:rsidR="00687506" w:rsidRDefault="00687506">
      <w:r>
        <w:separator/>
      </w:r>
    </w:p>
  </w:footnote>
  <w:footnote w:type="continuationSeparator" w:id="0">
    <w:p w14:paraId="4B29C84B" w14:textId="77777777" w:rsidR="00687506" w:rsidRDefault="00687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FBC16"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34D7"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0DDCA"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3176CDA"/>
    <w:multiLevelType w:val="hybridMultilevel"/>
    <w:tmpl w:val="A42EEF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10"/>
  </w:num>
  <w:num w:numId="5" w16cid:durableId="1102992585">
    <w:abstractNumId w:val="5"/>
  </w:num>
  <w:num w:numId="6" w16cid:durableId="1214347478">
    <w:abstractNumId w:val="6"/>
  </w:num>
  <w:num w:numId="7" w16cid:durableId="1532954251">
    <w:abstractNumId w:val="11"/>
  </w:num>
  <w:num w:numId="8" w16cid:durableId="165361788">
    <w:abstractNumId w:val="8"/>
  </w:num>
  <w:num w:numId="9" w16cid:durableId="363756201">
    <w:abstractNumId w:val="12"/>
  </w:num>
  <w:num w:numId="10" w16cid:durableId="1442073551">
    <w:abstractNumId w:val="13"/>
  </w:num>
  <w:num w:numId="11" w16cid:durableId="1612667198">
    <w:abstractNumId w:val="2"/>
  </w:num>
  <w:num w:numId="12" w16cid:durableId="628896663">
    <w:abstractNumId w:val="4"/>
  </w:num>
  <w:num w:numId="13" w16cid:durableId="378434030">
    <w:abstractNumId w:val="9"/>
  </w:num>
  <w:num w:numId="14" w16cid:durableId="12395594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80"/>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5744"/>
    <w:rsid w:val="0004693A"/>
    <w:rsid w:val="00053310"/>
    <w:rsid w:val="00056A06"/>
    <w:rsid w:val="00057978"/>
    <w:rsid w:val="00060FD0"/>
    <w:rsid w:val="00070B20"/>
    <w:rsid w:val="00082A06"/>
    <w:rsid w:val="00083979"/>
    <w:rsid w:val="00086493"/>
    <w:rsid w:val="000901C4"/>
    <w:rsid w:val="0009079D"/>
    <w:rsid w:val="000A3504"/>
    <w:rsid w:val="000A463D"/>
    <w:rsid w:val="000A7395"/>
    <w:rsid w:val="000B78C9"/>
    <w:rsid w:val="000C1E62"/>
    <w:rsid w:val="000C35CB"/>
    <w:rsid w:val="000C4F65"/>
    <w:rsid w:val="000C7915"/>
    <w:rsid w:val="000C7F27"/>
    <w:rsid w:val="000D38DB"/>
    <w:rsid w:val="000D6F52"/>
    <w:rsid w:val="000E00CE"/>
    <w:rsid w:val="000E0479"/>
    <w:rsid w:val="000E1BBC"/>
    <w:rsid w:val="000E2E60"/>
    <w:rsid w:val="000E43A8"/>
    <w:rsid w:val="000E73AD"/>
    <w:rsid w:val="000E781D"/>
    <w:rsid w:val="000F32F4"/>
    <w:rsid w:val="000F73C3"/>
    <w:rsid w:val="001002E3"/>
    <w:rsid w:val="00100562"/>
    <w:rsid w:val="00102B51"/>
    <w:rsid w:val="0010361E"/>
    <w:rsid w:val="001111DD"/>
    <w:rsid w:val="00111DE5"/>
    <w:rsid w:val="00112080"/>
    <w:rsid w:val="00113B82"/>
    <w:rsid w:val="001159B4"/>
    <w:rsid w:val="00115DF5"/>
    <w:rsid w:val="00120F59"/>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3A39"/>
    <w:rsid w:val="001647D7"/>
    <w:rsid w:val="00167B85"/>
    <w:rsid w:val="00172178"/>
    <w:rsid w:val="001723A8"/>
    <w:rsid w:val="00172BD9"/>
    <w:rsid w:val="00175DF5"/>
    <w:rsid w:val="00177285"/>
    <w:rsid w:val="001801BE"/>
    <w:rsid w:val="001808E7"/>
    <w:rsid w:val="00182993"/>
    <w:rsid w:val="00185993"/>
    <w:rsid w:val="001900AD"/>
    <w:rsid w:val="00190D0B"/>
    <w:rsid w:val="00191106"/>
    <w:rsid w:val="001A21E9"/>
    <w:rsid w:val="001A6D8D"/>
    <w:rsid w:val="001B5D76"/>
    <w:rsid w:val="001B634B"/>
    <w:rsid w:val="001C45A8"/>
    <w:rsid w:val="001C6FD4"/>
    <w:rsid w:val="001D0502"/>
    <w:rsid w:val="001D0646"/>
    <w:rsid w:val="001D6952"/>
    <w:rsid w:val="001D6B5F"/>
    <w:rsid w:val="001D7607"/>
    <w:rsid w:val="001E3216"/>
    <w:rsid w:val="001E3D60"/>
    <w:rsid w:val="001E49D1"/>
    <w:rsid w:val="001E6273"/>
    <w:rsid w:val="001F1448"/>
    <w:rsid w:val="001F287A"/>
    <w:rsid w:val="001F2F32"/>
    <w:rsid w:val="001F3B26"/>
    <w:rsid w:val="001F742A"/>
    <w:rsid w:val="00201CC7"/>
    <w:rsid w:val="0020224E"/>
    <w:rsid w:val="002028CA"/>
    <w:rsid w:val="00202FEB"/>
    <w:rsid w:val="00203061"/>
    <w:rsid w:val="00203072"/>
    <w:rsid w:val="00203E24"/>
    <w:rsid w:val="00204A58"/>
    <w:rsid w:val="002065AF"/>
    <w:rsid w:val="00216EBD"/>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6759A"/>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6C0A"/>
    <w:rsid w:val="002B7F84"/>
    <w:rsid w:val="002C0333"/>
    <w:rsid w:val="002C652F"/>
    <w:rsid w:val="002D06FC"/>
    <w:rsid w:val="002D10C6"/>
    <w:rsid w:val="002D148E"/>
    <w:rsid w:val="002D17CD"/>
    <w:rsid w:val="002D6ACE"/>
    <w:rsid w:val="002E0E12"/>
    <w:rsid w:val="002E17B6"/>
    <w:rsid w:val="002E3425"/>
    <w:rsid w:val="002E67B8"/>
    <w:rsid w:val="002F0CC3"/>
    <w:rsid w:val="002F13C4"/>
    <w:rsid w:val="002F1D39"/>
    <w:rsid w:val="002F5B86"/>
    <w:rsid w:val="003023FC"/>
    <w:rsid w:val="00302FA1"/>
    <w:rsid w:val="003037CA"/>
    <w:rsid w:val="003049AC"/>
    <w:rsid w:val="003061C0"/>
    <w:rsid w:val="00306FD5"/>
    <w:rsid w:val="00310006"/>
    <w:rsid w:val="0031080C"/>
    <w:rsid w:val="003173E8"/>
    <w:rsid w:val="00323B48"/>
    <w:rsid w:val="00333AE9"/>
    <w:rsid w:val="00335574"/>
    <w:rsid w:val="00335641"/>
    <w:rsid w:val="00337750"/>
    <w:rsid w:val="00340C1D"/>
    <w:rsid w:val="00344499"/>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4D88"/>
    <w:rsid w:val="00385544"/>
    <w:rsid w:val="00387A7B"/>
    <w:rsid w:val="00390CA2"/>
    <w:rsid w:val="00392077"/>
    <w:rsid w:val="00392731"/>
    <w:rsid w:val="003946CC"/>
    <w:rsid w:val="003950E9"/>
    <w:rsid w:val="0039520D"/>
    <w:rsid w:val="003955A4"/>
    <w:rsid w:val="003A0C78"/>
    <w:rsid w:val="003A12D9"/>
    <w:rsid w:val="003A1467"/>
    <w:rsid w:val="003A2108"/>
    <w:rsid w:val="003A75B8"/>
    <w:rsid w:val="003B36CE"/>
    <w:rsid w:val="003B3A3A"/>
    <w:rsid w:val="003B430D"/>
    <w:rsid w:val="003B598E"/>
    <w:rsid w:val="003B5E83"/>
    <w:rsid w:val="003C0BEC"/>
    <w:rsid w:val="003C4B9D"/>
    <w:rsid w:val="003D6336"/>
    <w:rsid w:val="003D6A01"/>
    <w:rsid w:val="003D6B07"/>
    <w:rsid w:val="003D6C8F"/>
    <w:rsid w:val="003E3ECF"/>
    <w:rsid w:val="003E54BC"/>
    <w:rsid w:val="003E6F49"/>
    <w:rsid w:val="003F16E7"/>
    <w:rsid w:val="003F18CA"/>
    <w:rsid w:val="003F318D"/>
    <w:rsid w:val="003F75CA"/>
    <w:rsid w:val="0040112A"/>
    <w:rsid w:val="00402D14"/>
    <w:rsid w:val="00403632"/>
    <w:rsid w:val="004039E8"/>
    <w:rsid w:val="0040498A"/>
    <w:rsid w:val="00411971"/>
    <w:rsid w:val="004127B6"/>
    <w:rsid w:val="00425C80"/>
    <w:rsid w:val="004266E1"/>
    <w:rsid w:val="00433BF1"/>
    <w:rsid w:val="00433C6D"/>
    <w:rsid w:val="00436CA9"/>
    <w:rsid w:val="00441393"/>
    <w:rsid w:val="00443561"/>
    <w:rsid w:val="00444D94"/>
    <w:rsid w:val="00444F0F"/>
    <w:rsid w:val="004454BE"/>
    <w:rsid w:val="0044576F"/>
    <w:rsid w:val="00445883"/>
    <w:rsid w:val="00446B88"/>
    <w:rsid w:val="00451C04"/>
    <w:rsid w:val="004541F4"/>
    <w:rsid w:val="00454308"/>
    <w:rsid w:val="00454B1D"/>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5F9"/>
    <w:rsid w:val="004C46DF"/>
    <w:rsid w:val="004C48F7"/>
    <w:rsid w:val="004C51C5"/>
    <w:rsid w:val="004C7125"/>
    <w:rsid w:val="004C78FD"/>
    <w:rsid w:val="004D1F5F"/>
    <w:rsid w:val="004D4B7D"/>
    <w:rsid w:val="004D5012"/>
    <w:rsid w:val="004D7909"/>
    <w:rsid w:val="004D7ACD"/>
    <w:rsid w:val="004E0003"/>
    <w:rsid w:val="004E13FD"/>
    <w:rsid w:val="004E3458"/>
    <w:rsid w:val="004E713D"/>
    <w:rsid w:val="004F0976"/>
    <w:rsid w:val="004F283B"/>
    <w:rsid w:val="004F6C98"/>
    <w:rsid w:val="004F712D"/>
    <w:rsid w:val="00502068"/>
    <w:rsid w:val="0050260F"/>
    <w:rsid w:val="00506F21"/>
    <w:rsid w:val="00506F9E"/>
    <w:rsid w:val="0050744F"/>
    <w:rsid w:val="005122AD"/>
    <w:rsid w:val="005204BA"/>
    <w:rsid w:val="00520FA0"/>
    <w:rsid w:val="005224A0"/>
    <w:rsid w:val="00532985"/>
    <w:rsid w:val="0053606A"/>
    <w:rsid w:val="005374EE"/>
    <w:rsid w:val="00537997"/>
    <w:rsid w:val="005426C1"/>
    <w:rsid w:val="00543DF8"/>
    <w:rsid w:val="0054408B"/>
    <w:rsid w:val="005451BC"/>
    <w:rsid w:val="0055232C"/>
    <w:rsid w:val="0055244E"/>
    <w:rsid w:val="005553AB"/>
    <w:rsid w:val="005619EA"/>
    <w:rsid w:val="00562E17"/>
    <w:rsid w:val="00562E6E"/>
    <w:rsid w:val="00566446"/>
    <w:rsid w:val="00566902"/>
    <w:rsid w:val="00570468"/>
    <w:rsid w:val="00572826"/>
    <w:rsid w:val="005728E4"/>
    <w:rsid w:val="00572F51"/>
    <w:rsid w:val="0057400E"/>
    <w:rsid w:val="005758FF"/>
    <w:rsid w:val="005768C3"/>
    <w:rsid w:val="00583914"/>
    <w:rsid w:val="00587FAA"/>
    <w:rsid w:val="0059043D"/>
    <w:rsid w:val="0059259B"/>
    <w:rsid w:val="00592ED5"/>
    <w:rsid w:val="00596804"/>
    <w:rsid w:val="00596B15"/>
    <w:rsid w:val="00597110"/>
    <w:rsid w:val="00597E47"/>
    <w:rsid w:val="005A054B"/>
    <w:rsid w:val="005A1660"/>
    <w:rsid w:val="005A1999"/>
    <w:rsid w:val="005A1EAD"/>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5F4105"/>
    <w:rsid w:val="00600D78"/>
    <w:rsid w:val="0060352A"/>
    <w:rsid w:val="00604E76"/>
    <w:rsid w:val="006051CB"/>
    <w:rsid w:val="00610D52"/>
    <w:rsid w:val="00611F67"/>
    <w:rsid w:val="0061223B"/>
    <w:rsid w:val="006138D1"/>
    <w:rsid w:val="00614528"/>
    <w:rsid w:val="0061488E"/>
    <w:rsid w:val="00615F8C"/>
    <w:rsid w:val="00616FFF"/>
    <w:rsid w:val="00621F23"/>
    <w:rsid w:val="0062292F"/>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67C63"/>
    <w:rsid w:val="00670DC2"/>
    <w:rsid w:val="00672218"/>
    <w:rsid w:val="00675B1A"/>
    <w:rsid w:val="00676680"/>
    <w:rsid w:val="00676CAB"/>
    <w:rsid w:val="00680643"/>
    <w:rsid w:val="00683CEC"/>
    <w:rsid w:val="00684786"/>
    <w:rsid w:val="0068541F"/>
    <w:rsid w:val="00687506"/>
    <w:rsid w:val="00687559"/>
    <w:rsid w:val="00690FF9"/>
    <w:rsid w:val="0069759E"/>
    <w:rsid w:val="006976A6"/>
    <w:rsid w:val="006978FD"/>
    <w:rsid w:val="00697E2F"/>
    <w:rsid w:val="006A2CA7"/>
    <w:rsid w:val="006A43CB"/>
    <w:rsid w:val="006B18D3"/>
    <w:rsid w:val="006B4DBB"/>
    <w:rsid w:val="006B7EC5"/>
    <w:rsid w:val="006C0886"/>
    <w:rsid w:val="006C543E"/>
    <w:rsid w:val="006C5DF1"/>
    <w:rsid w:val="006D53A4"/>
    <w:rsid w:val="006D57EE"/>
    <w:rsid w:val="006D7383"/>
    <w:rsid w:val="006E04EE"/>
    <w:rsid w:val="006E3E47"/>
    <w:rsid w:val="006E4042"/>
    <w:rsid w:val="006F1886"/>
    <w:rsid w:val="006F5818"/>
    <w:rsid w:val="006F61D2"/>
    <w:rsid w:val="00701F63"/>
    <w:rsid w:val="0070306D"/>
    <w:rsid w:val="00703588"/>
    <w:rsid w:val="00703F50"/>
    <w:rsid w:val="00710154"/>
    <w:rsid w:val="00710F06"/>
    <w:rsid w:val="007129B8"/>
    <w:rsid w:val="007140AB"/>
    <w:rsid w:val="0071648A"/>
    <w:rsid w:val="00716A21"/>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575C"/>
    <w:rsid w:val="00777549"/>
    <w:rsid w:val="007800F5"/>
    <w:rsid w:val="007805D9"/>
    <w:rsid w:val="007810BF"/>
    <w:rsid w:val="00781313"/>
    <w:rsid w:val="00781399"/>
    <w:rsid w:val="00782FCE"/>
    <w:rsid w:val="0078315E"/>
    <w:rsid w:val="007870F6"/>
    <w:rsid w:val="0079109F"/>
    <w:rsid w:val="007917FA"/>
    <w:rsid w:val="00795CB5"/>
    <w:rsid w:val="00795D6C"/>
    <w:rsid w:val="00796375"/>
    <w:rsid w:val="00796F90"/>
    <w:rsid w:val="007A22BD"/>
    <w:rsid w:val="007A6504"/>
    <w:rsid w:val="007A77F1"/>
    <w:rsid w:val="007B199C"/>
    <w:rsid w:val="007B41C7"/>
    <w:rsid w:val="007B565A"/>
    <w:rsid w:val="007C0501"/>
    <w:rsid w:val="007C2B15"/>
    <w:rsid w:val="007C416D"/>
    <w:rsid w:val="007C55C5"/>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4980"/>
    <w:rsid w:val="007F54A1"/>
    <w:rsid w:val="007F62B1"/>
    <w:rsid w:val="007F73D0"/>
    <w:rsid w:val="00800330"/>
    <w:rsid w:val="0080151E"/>
    <w:rsid w:val="008051A8"/>
    <w:rsid w:val="00805D25"/>
    <w:rsid w:val="00813FB1"/>
    <w:rsid w:val="00820C34"/>
    <w:rsid w:val="008273F7"/>
    <w:rsid w:val="00827EF4"/>
    <w:rsid w:val="00833053"/>
    <w:rsid w:val="00840CB9"/>
    <w:rsid w:val="008418BB"/>
    <w:rsid w:val="008419E3"/>
    <w:rsid w:val="00844DE4"/>
    <w:rsid w:val="00846500"/>
    <w:rsid w:val="00846C89"/>
    <w:rsid w:val="0084712F"/>
    <w:rsid w:val="0084741D"/>
    <w:rsid w:val="0085138A"/>
    <w:rsid w:val="008537FA"/>
    <w:rsid w:val="00853AF4"/>
    <w:rsid w:val="00854273"/>
    <w:rsid w:val="00854F8B"/>
    <w:rsid w:val="0085642C"/>
    <w:rsid w:val="00857B39"/>
    <w:rsid w:val="00861C6E"/>
    <w:rsid w:val="00862083"/>
    <w:rsid w:val="00862EC5"/>
    <w:rsid w:val="008637A1"/>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2002"/>
    <w:rsid w:val="008A38F5"/>
    <w:rsid w:val="008A7A41"/>
    <w:rsid w:val="008B0AB4"/>
    <w:rsid w:val="008B1972"/>
    <w:rsid w:val="008B3BE9"/>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5CBF"/>
    <w:rsid w:val="008F69B6"/>
    <w:rsid w:val="0090224B"/>
    <w:rsid w:val="00903A1A"/>
    <w:rsid w:val="00905F9C"/>
    <w:rsid w:val="00906AE8"/>
    <w:rsid w:val="00906D69"/>
    <w:rsid w:val="009108A8"/>
    <w:rsid w:val="00910D69"/>
    <w:rsid w:val="00910FEA"/>
    <w:rsid w:val="009158BE"/>
    <w:rsid w:val="00923129"/>
    <w:rsid w:val="00923ADB"/>
    <w:rsid w:val="00923ED1"/>
    <w:rsid w:val="00932ECF"/>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05EB"/>
    <w:rsid w:val="009A1A88"/>
    <w:rsid w:val="009A58E1"/>
    <w:rsid w:val="009A5F7D"/>
    <w:rsid w:val="009A6697"/>
    <w:rsid w:val="009A6835"/>
    <w:rsid w:val="009A70EF"/>
    <w:rsid w:val="009B2268"/>
    <w:rsid w:val="009B3617"/>
    <w:rsid w:val="009B3DAC"/>
    <w:rsid w:val="009B566E"/>
    <w:rsid w:val="009C19C6"/>
    <w:rsid w:val="009C4E62"/>
    <w:rsid w:val="009C5CE5"/>
    <w:rsid w:val="009C76F1"/>
    <w:rsid w:val="009D08A3"/>
    <w:rsid w:val="009D0C37"/>
    <w:rsid w:val="009D54F7"/>
    <w:rsid w:val="009D5EBC"/>
    <w:rsid w:val="009E10CB"/>
    <w:rsid w:val="009E2122"/>
    <w:rsid w:val="009E4796"/>
    <w:rsid w:val="009F10F5"/>
    <w:rsid w:val="009F584A"/>
    <w:rsid w:val="009F7D88"/>
    <w:rsid w:val="00A0136A"/>
    <w:rsid w:val="00A0363B"/>
    <w:rsid w:val="00A04B84"/>
    <w:rsid w:val="00A05E44"/>
    <w:rsid w:val="00A14B32"/>
    <w:rsid w:val="00A15A87"/>
    <w:rsid w:val="00A16A4A"/>
    <w:rsid w:val="00A21F9D"/>
    <w:rsid w:val="00A22304"/>
    <w:rsid w:val="00A23898"/>
    <w:rsid w:val="00A27D2C"/>
    <w:rsid w:val="00A27FB6"/>
    <w:rsid w:val="00A30B26"/>
    <w:rsid w:val="00A30B5F"/>
    <w:rsid w:val="00A320C2"/>
    <w:rsid w:val="00A37849"/>
    <w:rsid w:val="00A4048D"/>
    <w:rsid w:val="00A40DFE"/>
    <w:rsid w:val="00A444F3"/>
    <w:rsid w:val="00A458A7"/>
    <w:rsid w:val="00A479C2"/>
    <w:rsid w:val="00A57739"/>
    <w:rsid w:val="00A57799"/>
    <w:rsid w:val="00A61FF1"/>
    <w:rsid w:val="00A62307"/>
    <w:rsid w:val="00A62B77"/>
    <w:rsid w:val="00A64289"/>
    <w:rsid w:val="00A649E5"/>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1343D"/>
    <w:rsid w:val="00B17134"/>
    <w:rsid w:val="00B17711"/>
    <w:rsid w:val="00B20017"/>
    <w:rsid w:val="00B20A6D"/>
    <w:rsid w:val="00B22FD6"/>
    <w:rsid w:val="00B2681D"/>
    <w:rsid w:val="00B3117B"/>
    <w:rsid w:val="00B32DDE"/>
    <w:rsid w:val="00B333DF"/>
    <w:rsid w:val="00B336B9"/>
    <w:rsid w:val="00B37F1A"/>
    <w:rsid w:val="00B42CE3"/>
    <w:rsid w:val="00B45992"/>
    <w:rsid w:val="00B50C3F"/>
    <w:rsid w:val="00B51183"/>
    <w:rsid w:val="00B547BF"/>
    <w:rsid w:val="00B54C93"/>
    <w:rsid w:val="00B63414"/>
    <w:rsid w:val="00B66177"/>
    <w:rsid w:val="00B66B39"/>
    <w:rsid w:val="00B72733"/>
    <w:rsid w:val="00B72FDA"/>
    <w:rsid w:val="00B73643"/>
    <w:rsid w:val="00B83795"/>
    <w:rsid w:val="00B876E0"/>
    <w:rsid w:val="00B91559"/>
    <w:rsid w:val="00B922A0"/>
    <w:rsid w:val="00BA3899"/>
    <w:rsid w:val="00BA40DE"/>
    <w:rsid w:val="00BB20D6"/>
    <w:rsid w:val="00BB3412"/>
    <w:rsid w:val="00BB4D1B"/>
    <w:rsid w:val="00BB6928"/>
    <w:rsid w:val="00BC4F1E"/>
    <w:rsid w:val="00BC5143"/>
    <w:rsid w:val="00BD0797"/>
    <w:rsid w:val="00BD0E65"/>
    <w:rsid w:val="00BD1497"/>
    <w:rsid w:val="00BD2DFE"/>
    <w:rsid w:val="00BD7123"/>
    <w:rsid w:val="00BE493F"/>
    <w:rsid w:val="00BE5F90"/>
    <w:rsid w:val="00BF6250"/>
    <w:rsid w:val="00C00240"/>
    <w:rsid w:val="00C03763"/>
    <w:rsid w:val="00C0589B"/>
    <w:rsid w:val="00C10BC6"/>
    <w:rsid w:val="00C113BC"/>
    <w:rsid w:val="00C12BAA"/>
    <w:rsid w:val="00C164A0"/>
    <w:rsid w:val="00C205E5"/>
    <w:rsid w:val="00C23A6C"/>
    <w:rsid w:val="00C24C83"/>
    <w:rsid w:val="00C25A2B"/>
    <w:rsid w:val="00C260E0"/>
    <w:rsid w:val="00C32CBF"/>
    <w:rsid w:val="00C342AF"/>
    <w:rsid w:val="00C35BAE"/>
    <w:rsid w:val="00C35E94"/>
    <w:rsid w:val="00C407C8"/>
    <w:rsid w:val="00C41158"/>
    <w:rsid w:val="00C43561"/>
    <w:rsid w:val="00C47F6C"/>
    <w:rsid w:val="00C501AE"/>
    <w:rsid w:val="00C50355"/>
    <w:rsid w:val="00C512CC"/>
    <w:rsid w:val="00C5166F"/>
    <w:rsid w:val="00C533A6"/>
    <w:rsid w:val="00C53DF2"/>
    <w:rsid w:val="00C53F69"/>
    <w:rsid w:val="00C54ADE"/>
    <w:rsid w:val="00C6059C"/>
    <w:rsid w:val="00C61A82"/>
    <w:rsid w:val="00C628E4"/>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313E"/>
    <w:rsid w:val="00C94DBD"/>
    <w:rsid w:val="00C95903"/>
    <w:rsid w:val="00CA28F3"/>
    <w:rsid w:val="00CA4B03"/>
    <w:rsid w:val="00CA4ECA"/>
    <w:rsid w:val="00CA5851"/>
    <w:rsid w:val="00CB00FB"/>
    <w:rsid w:val="00CB0D4C"/>
    <w:rsid w:val="00CB1F6C"/>
    <w:rsid w:val="00CB43FA"/>
    <w:rsid w:val="00CB60BD"/>
    <w:rsid w:val="00CC0457"/>
    <w:rsid w:val="00CC371A"/>
    <w:rsid w:val="00CC3B52"/>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07A4D"/>
    <w:rsid w:val="00D122B6"/>
    <w:rsid w:val="00D14716"/>
    <w:rsid w:val="00D17D48"/>
    <w:rsid w:val="00D22B42"/>
    <w:rsid w:val="00D26941"/>
    <w:rsid w:val="00D30940"/>
    <w:rsid w:val="00D32088"/>
    <w:rsid w:val="00D325DF"/>
    <w:rsid w:val="00D34A15"/>
    <w:rsid w:val="00D364A2"/>
    <w:rsid w:val="00D42E06"/>
    <w:rsid w:val="00D4381A"/>
    <w:rsid w:val="00D438E4"/>
    <w:rsid w:val="00D43A9A"/>
    <w:rsid w:val="00D43EB9"/>
    <w:rsid w:val="00D5459C"/>
    <w:rsid w:val="00D57511"/>
    <w:rsid w:val="00D57666"/>
    <w:rsid w:val="00D57EFB"/>
    <w:rsid w:val="00D63D29"/>
    <w:rsid w:val="00D66870"/>
    <w:rsid w:val="00D75A5C"/>
    <w:rsid w:val="00D75CF1"/>
    <w:rsid w:val="00D81EA9"/>
    <w:rsid w:val="00D82038"/>
    <w:rsid w:val="00D84FCD"/>
    <w:rsid w:val="00D90F40"/>
    <w:rsid w:val="00D91784"/>
    <w:rsid w:val="00D917CF"/>
    <w:rsid w:val="00D923A0"/>
    <w:rsid w:val="00D93BF5"/>
    <w:rsid w:val="00D93FAC"/>
    <w:rsid w:val="00D9587D"/>
    <w:rsid w:val="00D95EB4"/>
    <w:rsid w:val="00DA122E"/>
    <w:rsid w:val="00DA1E6B"/>
    <w:rsid w:val="00DA33F7"/>
    <w:rsid w:val="00DA714D"/>
    <w:rsid w:val="00DB1A79"/>
    <w:rsid w:val="00DB3C7E"/>
    <w:rsid w:val="00DB5924"/>
    <w:rsid w:val="00DB68D5"/>
    <w:rsid w:val="00DB6B6C"/>
    <w:rsid w:val="00DB7D71"/>
    <w:rsid w:val="00DB7FA3"/>
    <w:rsid w:val="00DC185B"/>
    <w:rsid w:val="00DC704B"/>
    <w:rsid w:val="00DC73F8"/>
    <w:rsid w:val="00DD2FAD"/>
    <w:rsid w:val="00DD4D4E"/>
    <w:rsid w:val="00DE392C"/>
    <w:rsid w:val="00DE39D5"/>
    <w:rsid w:val="00DE538D"/>
    <w:rsid w:val="00DE6BD6"/>
    <w:rsid w:val="00DE6E0D"/>
    <w:rsid w:val="00DF00D6"/>
    <w:rsid w:val="00DF46AD"/>
    <w:rsid w:val="00DF4A29"/>
    <w:rsid w:val="00DF5F5C"/>
    <w:rsid w:val="00DF6578"/>
    <w:rsid w:val="00DF7519"/>
    <w:rsid w:val="00DF7BBC"/>
    <w:rsid w:val="00E01E9D"/>
    <w:rsid w:val="00E02CAF"/>
    <w:rsid w:val="00E037E8"/>
    <w:rsid w:val="00E11812"/>
    <w:rsid w:val="00E1421A"/>
    <w:rsid w:val="00E2303A"/>
    <w:rsid w:val="00E24CF7"/>
    <w:rsid w:val="00E24E0F"/>
    <w:rsid w:val="00E26617"/>
    <w:rsid w:val="00E27A36"/>
    <w:rsid w:val="00E3000B"/>
    <w:rsid w:val="00E3174B"/>
    <w:rsid w:val="00E34597"/>
    <w:rsid w:val="00E34B40"/>
    <w:rsid w:val="00E35D6E"/>
    <w:rsid w:val="00E36E08"/>
    <w:rsid w:val="00E376CE"/>
    <w:rsid w:val="00E406A7"/>
    <w:rsid w:val="00E47B7A"/>
    <w:rsid w:val="00E51F55"/>
    <w:rsid w:val="00E562DC"/>
    <w:rsid w:val="00E6388D"/>
    <w:rsid w:val="00E63937"/>
    <w:rsid w:val="00E64008"/>
    <w:rsid w:val="00E66734"/>
    <w:rsid w:val="00E73943"/>
    <w:rsid w:val="00E73A29"/>
    <w:rsid w:val="00E74066"/>
    <w:rsid w:val="00E766C7"/>
    <w:rsid w:val="00E770C3"/>
    <w:rsid w:val="00E812AD"/>
    <w:rsid w:val="00E81954"/>
    <w:rsid w:val="00E8317B"/>
    <w:rsid w:val="00E84291"/>
    <w:rsid w:val="00E848CE"/>
    <w:rsid w:val="00E854CE"/>
    <w:rsid w:val="00E907F1"/>
    <w:rsid w:val="00E94CDE"/>
    <w:rsid w:val="00E960AC"/>
    <w:rsid w:val="00E962B8"/>
    <w:rsid w:val="00EA3175"/>
    <w:rsid w:val="00EA38D1"/>
    <w:rsid w:val="00EA42F9"/>
    <w:rsid w:val="00EA5DD1"/>
    <w:rsid w:val="00EB17D6"/>
    <w:rsid w:val="00EB2F29"/>
    <w:rsid w:val="00EB4EE8"/>
    <w:rsid w:val="00EC093E"/>
    <w:rsid w:val="00EC0D9E"/>
    <w:rsid w:val="00EC142A"/>
    <w:rsid w:val="00EC23F8"/>
    <w:rsid w:val="00EC528A"/>
    <w:rsid w:val="00EC66A7"/>
    <w:rsid w:val="00ED4100"/>
    <w:rsid w:val="00ED6114"/>
    <w:rsid w:val="00EE0520"/>
    <w:rsid w:val="00EE0A7B"/>
    <w:rsid w:val="00EE2371"/>
    <w:rsid w:val="00EE5339"/>
    <w:rsid w:val="00EE6056"/>
    <w:rsid w:val="00EE6CC6"/>
    <w:rsid w:val="00EF03C5"/>
    <w:rsid w:val="00EF05C3"/>
    <w:rsid w:val="00EF0691"/>
    <w:rsid w:val="00EF2269"/>
    <w:rsid w:val="00EF28E8"/>
    <w:rsid w:val="00EF3FCF"/>
    <w:rsid w:val="00EF52AE"/>
    <w:rsid w:val="00EF5FB1"/>
    <w:rsid w:val="00EF79CE"/>
    <w:rsid w:val="00F018EA"/>
    <w:rsid w:val="00F053A4"/>
    <w:rsid w:val="00F05C88"/>
    <w:rsid w:val="00F11255"/>
    <w:rsid w:val="00F124E0"/>
    <w:rsid w:val="00F1566F"/>
    <w:rsid w:val="00F15946"/>
    <w:rsid w:val="00F17985"/>
    <w:rsid w:val="00F208FE"/>
    <w:rsid w:val="00F21DBA"/>
    <w:rsid w:val="00F23D8B"/>
    <w:rsid w:val="00F27AF7"/>
    <w:rsid w:val="00F3515D"/>
    <w:rsid w:val="00F352E6"/>
    <w:rsid w:val="00F37731"/>
    <w:rsid w:val="00F37AFD"/>
    <w:rsid w:val="00F37B82"/>
    <w:rsid w:val="00F40DB3"/>
    <w:rsid w:val="00F41E50"/>
    <w:rsid w:val="00F477A5"/>
    <w:rsid w:val="00F478F0"/>
    <w:rsid w:val="00F5342E"/>
    <w:rsid w:val="00F545EB"/>
    <w:rsid w:val="00F546FE"/>
    <w:rsid w:val="00F55032"/>
    <w:rsid w:val="00F5611A"/>
    <w:rsid w:val="00F56969"/>
    <w:rsid w:val="00F626BE"/>
    <w:rsid w:val="00F64196"/>
    <w:rsid w:val="00F65467"/>
    <w:rsid w:val="00F72008"/>
    <w:rsid w:val="00F72107"/>
    <w:rsid w:val="00F734C6"/>
    <w:rsid w:val="00F73A59"/>
    <w:rsid w:val="00F77AFD"/>
    <w:rsid w:val="00F847D5"/>
    <w:rsid w:val="00F84833"/>
    <w:rsid w:val="00F86609"/>
    <w:rsid w:val="00F875B5"/>
    <w:rsid w:val="00F900ED"/>
    <w:rsid w:val="00F94A05"/>
    <w:rsid w:val="00FA1313"/>
    <w:rsid w:val="00FA1935"/>
    <w:rsid w:val="00FA1D2A"/>
    <w:rsid w:val="00FA2904"/>
    <w:rsid w:val="00FA5FE2"/>
    <w:rsid w:val="00FA7A36"/>
    <w:rsid w:val="00FB0184"/>
    <w:rsid w:val="00FB0FCF"/>
    <w:rsid w:val="00FB3139"/>
    <w:rsid w:val="00FB3635"/>
    <w:rsid w:val="00FB49C9"/>
    <w:rsid w:val="00FB61D2"/>
    <w:rsid w:val="00FB73B1"/>
    <w:rsid w:val="00FB7D19"/>
    <w:rsid w:val="00FC0176"/>
    <w:rsid w:val="00FC0EC2"/>
    <w:rsid w:val="00FC27C3"/>
    <w:rsid w:val="00FC5534"/>
    <w:rsid w:val="00FC56E5"/>
    <w:rsid w:val="00FC649A"/>
    <w:rsid w:val="00FD5C7C"/>
    <w:rsid w:val="00FD6000"/>
    <w:rsid w:val="00FD7F8F"/>
    <w:rsid w:val="00FE0545"/>
    <w:rsid w:val="00FE17B0"/>
    <w:rsid w:val="00FE1C9B"/>
    <w:rsid w:val="00FE2EFE"/>
    <w:rsid w:val="00FE6510"/>
    <w:rsid w:val="00FE7DBC"/>
    <w:rsid w:val="00FF0DCD"/>
    <w:rsid w:val="00FF2BEF"/>
    <w:rsid w:val="00FF31C5"/>
    <w:rsid w:val="00FF6C9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AD94D2E"/>
  <w15:chartTrackingRefBased/>
  <w15:docId w15:val="{2B12B01A-9F8B-413F-832A-42ADC6F2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customStyle="1" w:styleId="HeaderChar">
    <w:name w:val="Header Char"/>
    <w:basedOn w:val="DefaultParagraphFont"/>
    <w:link w:val="Header"/>
    <w:rsid w:val="004E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2</TotalTime>
  <Pages>9</Pages>
  <Words>2581</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17121</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Benaway, Rachel (EGLE)</dc:creator>
  <cp:keywords>AQD-AIR-ROP-TITLE V, Permit,Staff Report</cp:keywords>
  <dc:description/>
  <cp:lastModifiedBy>Orent, Kelly (EGLE)</cp:lastModifiedBy>
  <cp:revision>4</cp:revision>
  <cp:lastPrinted>2013-10-29T20:42:00Z</cp:lastPrinted>
  <dcterms:created xsi:type="dcterms:W3CDTF">2024-08-26T18:02:00Z</dcterms:created>
  <dcterms:modified xsi:type="dcterms:W3CDTF">2024-08-27T14:57:00Z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