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9188148" w14:textId="77777777" w:rsidTr="00846376">
        <w:trPr>
          <w:trHeight w:val="651"/>
        </w:trPr>
        <w:tc>
          <w:tcPr>
            <w:tcW w:w="810" w:type="dxa"/>
          </w:tcPr>
          <w:p w14:paraId="2A03F755" w14:textId="77777777" w:rsidR="005E5399" w:rsidRDefault="005E5399">
            <w:pPr>
              <w:jc w:val="center"/>
              <w:rPr>
                <w:sz w:val="16"/>
              </w:rPr>
            </w:pPr>
          </w:p>
        </w:tc>
        <w:tc>
          <w:tcPr>
            <w:tcW w:w="9000" w:type="dxa"/>
          </w:tcPr>
          <w:p w14:paraId="75343325"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E9B0647" w14:textId="77777777" w:rsidR="005E5399" w:rsidRDefault="00012E33">
            <w:pPr>
              <w:spacing w:before="20" w:after="20"/>
              <w:jc w:val="center"/>
              <w:rPr>
                <w:sz w:val="16"/>
              </w:rPr>
            </w:pPr>
            <w:r w:rsidRPr="00012E33">
              <w:rPr>
                <w:b/>
                <w:sz w:val="24"/>
                <w:szCs w:val="24"/>
              </w:rPr>
              <w:t>AIR QUALITY DIVISION</w:t>
            </w:r>
          </w:p>
        </w:tc>
        <w:tc>
          <w:tcPr>
            <w:tcW w:w="720" w:type="dxa"/>
          </w:tcPr>
          <w:p w14:paraId="4C4CCB1A" w14:textId="77777777" w:rsidR="005E5399" w:rsidRDefault="005E5399">
            <w:pPr>
              <w:jc w:val="center"/>
              <w:rPr>
                <w:b/>
                <w:sz w:val="24"/>
              </w:rPr>
            </w:pPr>
          </w:p>
        </w:tc>
      </w:tr>
      <w:tr w:rsidR="005E5399" w14:paraId="7B867C82" w14:textId="77777777" w:rsidTr="00846376">
        <w:trPr>
          <w:cantSplit/>
          <w:trHeight w:val="149"/>
        </w:trPr>
        <w:tc>
          <w:tcPr>
            <w:tcW w:w="10530" w:type="dxa"/>
            <w:gridSpan w:val="3"/>
          </w:tcPr>
          <w:p w14:paraId="7C248304" w14:textId="77777777" w:rsidR="00C7692A" w:rsidRPr="006B4E48" w:rsidRDefault="00C7692A" w:rsidP="00C2618F">
            <w:pPr>
              <w:jc w:val="center"/>
              <w:rPr>
                <w:szCs w:val="22"/>
              </w:rPr>
            </w:pPr>
          </w:p>
          <w:p w14:paraId="1FC324D2" w14:textId="3E23574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37380">
              <w:rPr>
                <w:szCs w:val="22"/>
              </w:rPr>
              <w:t>February 27, 2024</w:t>
            </w:r>
          </w:p>
          <w:p w14:paraId="1C684337" w14:textId="77777777" w:rsidR="006B4E48" w:rsidRPr="00927270" w:rsidRDefault="006B4E48" w:rsidP="00C2618F">
            <w:pPr>
              <w:jc w:val="center"/>
              <w:rPr>
                <w:szCs w:val="22"/>
              </w:rPr>
            </w:pPr>
          </w:p>
          <w:p w14:paraId="66E74DED" w14:textId="77777777" w:rsidR="00C2618F" w:rsidRPr="00927270" w:rsidRDefault="00C2618F" w:rsidP="00C2618F">
            <w:pPr>
              <w:jc w:val="center"/>
              <w:rPr>
                <w:szCs w:val="22"/>
              </w:rPr>
            </w:pPr>
            <w:r w:rsidRPr="00927270">
              <w:rPr>
                <w:szCs w:val="22"/>
              </w:rPr>
              <w:t>ISSUED TO</w:t>
            </w:r>
          </w:p>
          <w:p w14:paraId="52A558BC" w14:textId="77777777" w:rsidR="00C2618F" w:rsidRPr="00927270" w:rsidRDefault="00C2618F" w:rsidP="00C2618F">
            <w:pPr>
              <w:jc w:val="center"/>
              <w:rPr>
                <w:szCs w:val="22"/>
              </w:rPr>
            </w:pPr>
          </w:p>
          <w:p w14:paraId="2C4A03C2" w14:textId="77777777" w:rsidR="00B9050D" w:rsidRPr="00745818" w:rsidRDefault="009149B9" w:rsidP="00B9050D">
            <w:pPr>
              <w:jc w:val="center"/>
              <w:rPr>
                <w:b/>
                <w:szCs w:val="22"/>
              </w:rPr>
            </w:pPr>
            <w:bookmarkStart w:id="0" w:name="bCompanyName"/>
            <w:r>
              <w:rPr>
                <w:b/>
                <w:szCs w:val="22"/>
              </w:rPr>
              <w:t>Huron Landfill Corporation dba Huron Landfill</w:t>
            </w:r>
          </w:p>
          <w:bookmarkEnd w:id="0"/>
          <w:p w14:paraId="2E7EECB0" w14:textId="77777777" w:rsidR="00C2618F" w:rsidRPr="00927270" w:rsidRDefault="00C2618F" w:rsidP="00C2618F">
            <w:pPr>
              <w:jc w:val="center"/>
              <w:rPr>
                <w:szCs w:val="22"/>
              </w:rPr>
            </w:pPr>
          </w:p>
          <w:p w14:paraId="564AF327" w14:textId="396F0DD6" w:rsidR="00C2618F" w:rsidRDefault="00C2618F" w:rsidP="00C2618F">
            <w:pPr>
              <w:jc w:val="center"/>
              <w:rPr>
                <w:szCs w:val="22"/>
              </w:rPr>
            </w:pPr>
            <w:r w:rsidRPr="00927270">
              <w:rPr>
                <w:szCs w:val="22"/>
              </w:rPr>
              <w:t xml:space="preserve">State Registration Number (SRN):  </w:t>
            </w:r>
            <w:bookmarkStart w:id="1" w:name="bSRN"/>
            <w:r w:rsidR="009149B9">
              <w:rPr>
                <w:szCs w:val="22"/>
              </w:rPr>
              <w:t>N6024</w:t>
            </w:r>
            <w:bookmarkEnd w:id="1"/>
          </w:p>
          <w:p w14:paraId="145F097F" w14:textId="77777777" w:rsidR="00807634" w:rsidRPr="00927270" w:rsidRDefault="00807634" w:rsidP="00C2618F">
            <w:pPr>
              <w:jc w:val="center"/>
              <w:rPr>
                <w:szCs w:val="22"/>
              </w:rPr>
            </w:pPr>
          </w:p>
          <w:p w14:paraId="1CFBF6F3" w14:textId="77777777" w:rsidR="00C2618F" w:rsidRPr="00927270" w:rsidRDefault="00C2618F" w:rsidP="00C2618F">
            <w:pPr>
              <w:jc w:val="center"/>
              <w:rPr>
                <w:szCs w:val="22"/>
              </w:rPr>
            </w:pPr>
            <w:r w:rsidRPr="00927270">
              <w:rPr>
                <w:szCs w:val="22"/>
              </w:rPr>
              <w:t>LOCATED AT</w:t>
            </w:r>
          </w:p>
          <w:p w14:paraId="093D8965" w14:textId="77777777" w:rsidR="002B29E9" w:rsidRPr="00927270" w:rsidRDefault="002B29E9" w:rsidP="002B29E9">
            <w:pPr>
              <w:jc w:val="center"/>
              <w:rPr>
                <w:szCs w:val="22"/>
              </w:rPr>
            </w:pPr>
          </w:p>
          <w:p w14:paraId="18CC9540" w14:textId="6D4C7880" w:rsidR="005E5399" w:rsidRPr="003F5BE8" w:rsidRDefault="009149B9" w:rsidP="002B29E9">
            <w:pPr>
              <w:jc w:val="center"/>
              <w:rPr>
                <w:szCs w:val="22"/>
              </w:rPr>
            </w:pPr>
            <w:bookmarkStart w:id="2" w:name="bStreetAddress"/>
            <w:bookmarkEnd w:id="2"/>
            <w:r>
              <w:rPr>
                <w:szCs w:val="22"/>
              </w:rPr>
              <w:t>4151 South McMillan Road</w:t>
            </w:r>
            <w:r w:rsidR="002B29E9">
              <w:rPr>
                <w:szCs w:val="22"/>
              </w:rPr>
              <w:t xml:space="preserve">, </w:t>
            </w:r>
            <w:bookmarkStart w:id="3" w:name="bCity"/>
            <w:bookmarkEnd w:id="3"/>
            <w:r>
              <w:rPr>
                <w:szCs w:val="22"/>
              </w:rPr>
              <w:t>Bad Axe</w:t>
            </w:r>
            <w:r w:rsidR="002B29E9">
              <w:rPr>
                <w:szCs w:val="22"/>
              </w:rPr>
              <w:t>,</w:t>
            </w:r>
            <w:r w:rsidR="00995605">
              <w:rPr>
                <w:szCs w:val="22"/>
              </w:rPr>
              <w:t xml:space="preserve"> </w:t>
            </w:r>
            <w:bookmarkStart w:id="4" w:name="bCounty"/>
            <w:bookmarkEnd w:id="4"/>
            <w:r>
              <w:rPr>
                <w:szCs w:val="22"/>
              </w:rPr>
              <w:t>Huron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48413</w:t>
            </w:r>
          </w:p>
        </w:tc>
      </w:tr>
      <w:tr w:rsidR="00C2618F" w:rsidRPr="00DF47A8" w14:paraId="0F4A1B93" w14:textId="77777777" w:rsidTr="00846376">
        <w:trPr>
          <w:cantSplit/>
          <w:trHeight w:val="148"/>
        </w:trPr>
        <w:tc>
          <w:tcPr>
            <w:tcW w:w="10530" w:type="dxa"/>
            <w:gridSpan w:val="3"/>
          </w:tcPr>
          <w:p w14:paraId="71637345" w14:textId="77777777" w:rsidR="00C2618F" w:rsidRPr="00DF47A8" w:rsidRDefault="00C2618F" w:rsidP="00C2618F">
            <w:pPr>
              <w:pStyle w:val="Header"/>
              <w:spacing w:before="20" w:after="20"/>
              <w:rPr>
                <w:szCs w:val="22"/>
              </w:rPr>
            </w:pPr>
          </w:p>
        </w:tc>
      </w:tr>
      <w:tr w:rsidR="00C2618F" w:rsidRPr="001838ED" w14:paraId="200E9FA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9109378" w14:textId="77777777" w:rsidR="00C2618F" w:rsidRPr="006F2C46" w:rsidRDefault="00C2618F" w:rsidP="001838ED">
            <w:pPr>
              <w:jc w:val="center"/>
              <w:rPr>
                <w:szCs w:val="22"/>
              </w:rPr>
            </w:pPr>
          </w:p>
          <w:p w14:paraId="7BF63DDA" w14:textId="77777777" w:rsidR="00C2618F" w:rsidRPr="001838ED" w:rsidRDefault="00C2618F" w:rsidP="001838ED">
            <w:pPr>
              <w:jc w:val="center"/>
              <w:rPr>
                <w:b/>
                <w:sz w:val="28"/>
              </w:rPr>
            </w:pPr>
            <w:r w:rsidRPr="001838ED">
              <w:rPr>
                <w:b/>
                <w:sz w:val="28"/>
              </w:rPr>
              <w:t>RENEWABLE OPERATING PERMIT</w:t>
            </w:r>
          </w:p>
          <w:p w14:paraId="30AFDD8A" w14:textId="77777777" w:rsidR="00C2618F" w:rsidRPr="001838ED" w:rsidRDefault="00C2618F" w:rsidP="001838ED">
            <w:pPr>
              <w:ind w:left="3240"/>
              <w:rPr>
                <w:sz w:val="24"/>
              </w:rPr>
            </w:pPr>
          </w:p>
          <w:p w14:paraId="65D2CF06" w14:textId="7FB3A93B"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149B9">
              <w:rPr>
                <w:sz w:val="24"/>
              </w:rPr>
              <w:t>N6024</w:t>
            </w:r>
            <w:r w:rsidR="004032B7" w:rsidRPr="001838ED">
              <w:rPr>
                <w:sz w:val="24"/>
              </w:rPr>
              <w:t>-</w:t>
            </w:r>
            <w:bookmarkStart w:id="7" w:name="bIssueYear"/>
            <w:bookmarkEnd w:id="7"/>
            <w:r w:rsidR="009149B9">
              <w:rPr>
                <w:sz w:val="24"/>
              </w:rPr>
              <w:t>20</w:t>
            </w:r>
            <w:r w:rsidR="00637380">
              <w:rPr>
                <w:sz w:val="24"/>
              </w:rPr>
              <w:t>24</w:t>
            </w:r>
          </w:p>
          <w:p w14:paraId="635CF57D" w14:textId="77777777" w:rsidR="00C2618F" w:rsidRPr="001838ED" w:rsidRDefault="00C2618F" w:rsidP="001838ED">
            <w:pPr>
              <w:ind w:left="3240"/>
              <w:rPr>
                <w:sz w:val="24"/>
              </w:rPr>
            </w:pPr>
          </w:p>
          <w:p w14:paraId="0042B43A" w14:textId="617DAFF4" w:rsidR="00C2618F" w:rsidRPr="001838ED" w:rsidRDefault="00C2618F" w:rsidP="001838ED">
            <w:pPr>
              <w:ind w:left="2880" w:firstLine="720"/>
              <w:rPr>
                <w:sz w:val="24"/>
                <w:szCs w:val="24"/>
              </w:rPr>
            </w:pPr>
            <w:r w:rsidRPr="001838ED">
              <w:rPr>
                <w:sz w:val="24"/>
              </w:rPr>
              <w:t>Expiration Date:</w:t>
            </w:r>
            <w:r w:rsidRPr="001838ED">
              <w:rPr>
                <w:sz w:val="24"/>
              </w:rPr>
              <w:tab/>
            </w:r>
            <w:r w:rsidR="00637380">
              <w:rPr>
                <w:sz w:val="24"/>
              </w:rPr>
              <w:t>February 27, 2029</w:t>
            </w:r>
          </w:p>
          <w:p w14:paraId="1A08B332" w14:textId="77777777" w:rsidR="0025601A" w:rsidRPr="001838ED" w:rsidRDefault="0025601A" w:rsidP="001838ED">
            <w:pPr>
              <w:ind w:left="2880" w:firstLine="360"/>
              <w:rPr>
                <w:sz w:val="24"/>
              </w:rPr>
            </w:pPr>
          </w:p>
          <w:p w14:paraId="3945A2A2" w14:textId="77777777" w:rsidR="0063738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5ACF3964" w14:textId="36E39717"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637380">
              <w:rPr>
                <w:sz w:val="24"/>
                <w:szCs w:val="24"/>
              </w:rPr>
              <w:t xml:space="preserve">August 27, </w:t>
            </w:r>
            <w:proofErr w:type="gramStart"/>
            <w:r w:rsidR="00637380">
              <w:rPr>
                <w:sz w:val="24"/>
                <w:szCs w:val="24"/>
              </w:rPr>
              <w:t>2027</w:t>
            </w:r>
            <w:proofErr w:type="gramEnd"/>
            <w:r w:rsidR="00637380">
              <w:rPr>
                <w:sz w:val="24"/>
                <w:szCs w:val="24"/>
              </w:rPr>
              <w:t xml:space="preserve"> and August 27, 2028</w:t>
            </w:r>
          </w:p>
          <w:p w14:paraId="669C6BC4" w14:textId="77777777" w:rsidR="00DF47A8" w:rsidRPr="001838ED" w:rsidRDefault="00DF47A8" w:rsidP="00DF47A8">
            <w:pPr>
              <w:rPr>
                <w:sz w:val="24"/>
              </w:rPr>
            </w:pPr>
          </w:p>
          <w:p w14:paraId="19DF2156"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D60950E" w14:textId="77777777" w:rsidR="00DC44C7" w:rsidRDefault="00BC48DF" w:rsidP="009149B9">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D431B0B" w14:textId="77777777" w:rsidR="00233961" w:rsidRDefault="00233961" w:rsidP="009149B9">
      <w:pPr>
        <w:ind w:left="-90"/>
        <w:rPr>
          <w:szCs w:val="22"/>
        </w:rPr>
      </w:pPr>
    </w:p>
    <w:p w14:paraId="7271507B" w14:textId="77777777" w:rsidR="006F2C46" w:rsidRDefault="006F2C46" w:rsidP="009149B9">
      <w:pPr>
        <w:ind w:left="-90"/>
        <w:rPr>
          <w:szCs w:val="22"/>
        </w:rPr>
      </w:pPr>
    </w:p>
    <w:p w14:paraId="00297693" w14:textId="77777777" w:rsidR="002332C3" w:rsidRPr="006A1190" w:rsidRDefault="00AB2375" w:rsidP="009149B9">
      <w:pPr>
        <w:ind w:left="-90"/>
        <w:rPr>
          <w:szCs w:val="22"/>
        </w:rPr>
      </w:pPr>
      <w:r w:rsidRPr="006A1190">
        <w:rPr>
          <w:szCs w:val="22"/>
        </w:rPr>
        <w:t>______________________________________</w:t>
      </w:r>
    </w:p>
    <w:p w14:paraId="51B68A7E" w14:textId="7D6EDD81" w:rsidR="002F4C64" w:rsidRPr="0097673C" w:rsidRDefault="00A40A65" w:rsidP="00862ED1">
      <w:pPr>
        <w:rPr>
          <w:b/>
          <w:sz w:val="18"/>
        </w:rPr>
      </w:pPr>
      <w:bookmarkStart w:id="9" w:name="bDS"/>
      <w:bookmarkEnd w:id="9"/>
      <w:r>
        <w:rPr>
          <w:szCs w:val="22"/>
        </w:rPr>
        <w:t>Julie Brunner, ROP Central Unit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62EBDA3E" w14:textId="77777777" w:rsidR="002F4C64" w:rsidRDefault="002F4C64" w:rsidP="002F4C64"/>
    <w:p w14:paraId="52F7BABB" w14:textId="357215C6" w:rsidR="0082426D"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9914004" w:history="1">
        <w:r w:rsidR="0082426D" w:rsidRPr="00E44289">
          <w:rPr>
            <w:rStyle w:val="Hyperlink"/>
            <w:noProof/>
          </w:rPr>
          <w:t>AUTHORITY AND ENFORCEABILITY</w:t>
        </w:r>
        <w:r w:rsidR="0082426D">
          <w:rPr>
            <w:noProof/>
            <w:webHidden/>
          </w:rPr>
          <w:tab/>
        </w:r>
        <w:r w:rsidR="0082426D">
          <w:rPr>
            <w:noProof/>
            <w:webHidden/>
          </w:rPr>
          <w:fldChar w:fldCharType="begin"/>
        </w:r>
        <w:r w:rsidR="0082426D">
          <w:rPr>
            <w:noProof/>
            <w:webHidden/>
          </w:rPr>
          <w:instrText xml:space="preserve"> PAGEREF _Toc159914004 \h </w:instrText>
        </w:r>
        <w:r w:rsidR="0082426D">
          <w:rPr>
            <w:noProof/>
            <w:webHidden/>
          </w:rPr>
        </w:r>
        <w:r w:rsidR="0082426D">
          <w:rPr>
            <w:noProof/>
            <w:webHidden/>
          </w:rPr>
          <w:fldChar w:fldCharType="separate"/>
        </w:r>
        <w:r w:rsidR="0082426D">
          <w:rPr>
            <w:noProof/>
            <w:webHidden/>
          </w:rPr>
          <w:t>3</w:t>
        </w:r>
        <w:r w:rsidR="0082426D">
          <w:rPr>
            <w:noProof/>
            <w:webHidden/>
          </w:rPr>
          <w:fldChar w:fldCharType="end"/>
        </w:r>
      </w:hyperlink>
    </w:p>
    <w:p w14:paraId="04C37E11" w14:textId="19A5A0C1" w:rsidR="0082426D" w:rsidRDefault="00A12599">
      <w:pPr>
        <w:pStyle w:val="TOC1"/>
        <w:rPr>
          <w:rFonts w:asciiTheme="minorHAnsi" w:eastAsiaTheme="minorEastAsia" w:hAnsiTheme="minorHAnsi" w:cstheme="minorBidi"/>
          <w:b w:val="0"/>
          <w:noProof/>
          <w:kern w:val="2"/>
          <w14:ligatures w14:val="standardContextual"/>
        </w:rPr>
      </w:pPr>
      <w:hyperlink w:anchor="_Toc159914005" w:history="1">
        <w:r w:rsidR="0082426D" w:rsidRPr="00E44289">
          <w:rPr>
            <w:rStyle w:val="Hyperlink"/>
            <w:noProof/>
          </w:rPr>
          <w:t>A.  GENERAL CONDITIONS</w:t>
        </w:r>
        <w:r w:rsidR="0082426D">
          <w:rPr>
            <w:noProof/>
            <w:webHidden/>
          </w:rPr>
          <w:tab/>
        </w:r>
        <w:r w:rsidR="0082426D">
          <w:rPr>
            <w:noProof/>
            <w:webHidden/>
          </w:rPr>
          <w:fldChar w:fldCharType="begin"/>
        </w:r>
        <w:r w:rsidR="0082426D">
          <w:rPr>
            <w:noProof/>
            <w:webHidden/>
          </w:rPr>
          <w:instrText xml:space="preserve"> PAGEREF _Toc159914005 \h </w:instrText>
        </w:r>
        <w:r w:rsidR="0082426D">
          <w:rPr>
            <w:noProof/>
            <w:webHidden/>
          </w:rPr>
        </w:r>
        <w:r w:rsidR="0082426D">
          <w:rPr>
            <w:noProof/>
            <w:webHidden/>
          </w:rPr>
          <w:fldChar w:fldCharType="separate"/>
        </w:r>
        <w:r w:rsidR="0082426D">
          <w:rPr>
            <w:noProof/>
            <w:webHidden/>
          </w:rPr>
          <w:t>4</w:t>
        </w:r>
        <w:r w:rsidR="0082426D">
          <w:rPr>
            <w:noProof/>
            <w:webHidden/>
          </w:rPr>
          <w:fldChar w:fldCharType="end"/>
        </w:r>
      </w:hyperlink>
    </w:p>
    <w:p w14:paraId="5AC7F564" w14:textId="39C2EAED" w:rsidR="0082426D" w:rsidRDefault="00A12599">
      <w:pPr>
        <w:pStyle w:val="TOC2"/>
        <w:rPr>
          <w:rFonts w:asciiTheme="minorHAnsi" w:eastAsiaTheme="minorEastAsia" w:hAnsiTheme="minorHAnsi" w:cstheme="minorBidi"/>
          <w:noProof/>
          <w:kern w:val="2"/>
          <w14:ligatures w14:val="standardContextual"/>
        </w:rPr>
      </w:pPr>
      <w:hyperlink w:anchor="_Toc159914006" w:history="1">
        <w:r w:rsidR="0082426D" w:rsidRPr="00E44289">
          <w:rPr>
            <w:rStyle w:val="Hyperlink"/>
            <w:noProof/>
          </w:rPr>
          <w:t>Permit Enforceability</w:t>
        </w:r>
        <w:r w:rsidR="0082426D">
          <w:rPr>
            <w:noProof/>
            <w:webHidden/>
          </w:rPr>
          <w:tab/>
        </w:r>
        <w:r w:rsidR="0082426D">
          <w:rPr>
            <w:noProof/>
            <w:webHidden/>
          </w:rPr>
          <w:fldChar w:fldCharType="begin"/>
        </w:r>
        <w:r w:rsidR="0082426D">
          <w:rPr>
            <w:noProof/>
            <w:webHidden/>
          </w:rPr>
          <w:instrText xml:space="preserve"> PAGEREF _Toc159914006 \h </w:instrText>
        </w:r>
        <w:r w:rsidR="0082426D">
          <w:rPr>
            <w:noProof/>
            <w:webHidden/>
          </w:rPr>
        </w:r>
        <w:r w:rsidR="0082426D">
          <w:rPr>
            <w:noProof/>
            <w:webHidden/>
          </w:rPr>
          <w:fldChar w:fldCharType="separate"/>
        </w:r>
        <w:r w:rsidR="0082426D">
          <w:rPr>
            <w:noProof/>
            <w:webHidden/>
          </w:rPr>
          <w:t>4</w:t>
        </w:r>
        <w:r w:rsidR="0082426D">
          <w:rPr>
            <w:noProof/>
            <w:webHidden/>
          </w:rPr>
          <w:fldChar w:fldCharType="end"/>
        </w:r>
      </w:hyperlink>
    </w:p>
    <w:p w14:paraId="441DE567" w14:textId="77EF14FE" w:rsidR="0082426D" w:rsidRDefault="00A12599">
      <w:pPr>
        <w:pStyle w:val="TOC2"/>
        <w:rPr>
          <w:rFonts w:asciiTheme="minorHAnsi" w:eastAsiaTheme="minorEastAsia" w:hAnsiTheme="minorHAnsi" w:cstheme="minorBidi"/>
          <w:noProof/>
          <w:kern w:val="2"/>
          <w14:ligatures w14:val="standardContextual"/>
        </w:rPr>
      </w:pPr>
      <w:hyperlink w:anchor="_Toc159914007" w:history="1">
        <w:r w:rsidR="0082426D" w:rsidRPr="00E44289">
          <w:rPr>
            <w:rStyle w:val="Hyperlink"/>
            <w:noProof/>
          </w:rPr>
          <w:t>General Provisions</w:t>
        </w:r>
        <w:r w:rsidR="0082426D">
          <w:rPr>
            <w:noProof/>
            <w:webHidden/>
          </w:rPr>
          <w:tab/>
        </w:r>
        <w:r w:rsidR="0082426D">
          <w:rPr>
            <w:noProof/>
            <w:webHidden/>
          </w:rPr>
          <w:fldChar w:fldCharType="begin"/>
        </w:r>
        <w:r w:rsidR="0082426D">
          <w:rPr>
            <w:noProof/>
            <w:webHidden/>
          </w:rPr>
          <w:instrText xml:space="preserve"> PAGEREF _Toc159914007 \h </w:instrText>
        </w:r>
        <w:r w:rsidR="0082426D">
          <w:rPr>
            <w:noProof/>
            <w:webHidden/>
          </w:rPr>
        </w:r>
        <w:r w:rsidR="0082426D">
          <w:rPr>
            <w:noProof/>
            <w:webHidden/>
          </w:rPr>
          <w:fldChar w:fldCharType="separate"/>
        </w:r>
        <w:r w:rsidR="0082426D">
          <w:rPr>
            <w:noProof/>
            <w:webHidden/>
          </w:rPr>
          <w:t>4</w:t>
        </w:r>
        <w:r w:rsidR="0082426D">
          <w:rPr>
            <w:noProof/>
            <w:webHidden/>
          </w:rPr>
          <w:fldChar w:fldCharType="end"/>
        </w:r>
      </w:hyperlink>
    </w:p>
    <w:p w14:paraId="49F685B9" w14:textId="0B5AFECF" w:rsidR="0082426D" w:rsidRDefault="00A12599">
      <w:pPr>
        <w:pStyle w:val="TOC2"/>
        <w:rPr>
          <w:rFonts w:asciiTheme="minorHAnsi" w:eastAsiaTheme="minorEastAsia" w:hAnsiTheme="minorHAnsi" w:cstheme="minorBidi"/>
          <w:noProof/>
          <w:kern w:val="2"/>
          <w14:ligatures w14:val="standardContextual"/>
        </w:rPr>
      </w:pPr>
      <w:hyperlink w:anchor="_Toc159914008" w:history="1">
        <w:r w:rsidR="0082426D" w:rsidRPr="00E44289">
          <w:rPr>
            <w:rStyle w:val="Hyperlink"/>
            <w:noProof/>
          </w:rPr>
          <w:t>Equipment &amp; Design</w:t>
        </w:r>
        <w:r w:rsidR="0082426D">
          <w:rPr>
            <w:noProof/>
            <w:webHidden/>
          </w:rPr>
          <w:tab/>
        </w:r>
        <w:r w:rsidR="0082426D">
          <w:rPr>
            <w:noProof/>
            <w:webHidden/>
          </w:rPr>
          <w:fldChar w:fldCharType="begin"/>
        </w:r>
        <w:r w:rsidR="0082426D">
          <w:rPr>
            <w:noProof/>
            <w:webHidden/>
          </w:rPr>
          <w:instrText xml:space="preserve"> PAGEREF _Toc159914008 \h </w:instrText>
        </w:r>
        <w:r w:rsidR="0082426D">
          <w:rPr>
            <w:noProof/>
            <w:webHidden/>
          </w:rPr>
        </w:r>
        <w:r w:rsidR="0082426D">
          <w:rPr>
            <w:noProof/>
            <w:webHidden/>
          </w:rPr>
          <w:fldChar w:fldCharType="separate"/>
        </w:r>
        <w:r w:rsidR="0082426D">
          <w:rPr>
            <w:noProof/>
            <w:webHidden/>
          </w:rPr>
          <w:t>5</w:t>
        </w:r>
        <w:r w:rsidR="0082426D">
          <w:rPr>
            <w:noProof/>
            <w:webHidden/>
          </w:rPr>
          <w:fldChar w:fldCharType="end"/>
        </w:r>
      </w:hyperlink>
    </w:p>
    <w:p w14:paraId="1174D3DD" w14:textId="51339417" w:rsidR="0082426D" w:rsidRDefault="00A12599">
      <w:pPr>
        <w:pStyle w:val="TOC2"/>
        <w:rPr>
          <w:rFonts w:asciiTheme="minorHAnsi" w:eastAsiaTheme="minorEastAsia" w:hAnsiTheme="minorHAnsi" w:cstheme="minorBidi"/>
          <w:noProof/>
          <w:kern w:val="2"/>
          <w14:ligatures w14:val="standardContextual"/>
        </w:rPr>
      </w:pPr>
      <w:hyperlink w:anchor="_Toc159914009" w:history="1">
        <w:r w:rsidR="0082426D" w:rsidRPr="00E44289">
          <w:rPr>
            <w:rStyle w:val="Hyperlink"/>
            <w:noProof/>
          </w:rPr>
          <w:t>Emission Limits</w:t>
        </w:r>
        <w:r w:rsidR="0082426D">
          <w:rPr>
            <w:noProof/>
            <w:webHidden/>
          </w:rPr>
          <w:tab/>
        </w:r>
        <w:r w:rsidR="0082426D">
          <w:rPr>
            <w:noProof/>
            <w:webHidden/>
          </w:rPr>
          <w:fldChar w:fldCharType="begin"/>
        </w:r>
        <w:r w:rsidR="0082426D">
          <w:rPr>
            <w:noProof/>
            <w:webHidden/>
          </w:rPr>
          <w:instrText xml:space="preserve"> PAGEREF _Toc159914009 \h </w:instrText>
        </w:r>
        <w:r w:rsidR="0082426D">
          <w:rPr>
            <w:noProof/>
            <w:webHidden/>
          </w:rPr>
        </w:r>
        <w:r w:rsidR="0082426D">
          <w:rPr>
            <w:noProof/>
            <w:webHidden/>
          </w:rPr>
          <w:fldChar w:fldCharType="separate"/>
        </w:r>
        <w:r w:rsidR="0082426D">
          <w:rPr>
            <w:noProof/>
            <w:webHidden/>
          </w:rPr>
          <w:t>5</w:t>
        </w:r>
        <w:r w:rsidR="0082426D">
          <w:rPr>
            <w:noProof/>
            <w:webHidden/>
          </w:rPr>
          <w:fldChar w:fldCharType="end"/>
        </w:r>
      </w:hyperlink>
    </w:p>
    <w:p w14:paraId="49F08DF7" w14:textId="29963AF5" w:rsidR="0082426D" w:rsidRDefault="00A12599">
      <w:pPr>
        <w:pStyle w:val="TOC2"/>
        <w:rPr>
          <w:rFonts w:asciiTheme="minorHAnsi" w:eastAsiaTheme="minorEastAsia" w:hAnsiTheme="minorHAnsi" w:cstheme="minorBidi"/>
          <w:noProof/>
          <w:kern w:val="2"/>
          <w14:ligatures w14:val="standardContextual"/>
        </w:rPr>
      </w:pPr>
      <w:hyperlink w:anchor="_Toc159914010" w:history="1">
        <w:r w:rsidR="0082426D" w:rsidRPr="00E44289">
          <w:rPr>
            <w:rStyle w:val="Hyperlink"/>
            <w:noProof/>
          </w:rPr>
          <w:t>Testing/Sampling</w:t>
        </w:r>
        <w:r w:rsidR="0082426D">
          <w:rPr>
            <w:noProof/>
            <w:webHidden/>
          </w:rPr>
          <w:tab/>
        </w:r>
        <w:r w:rsidR="0082426D">
          <w:rPr>
            <w:noProof/>
            <w:webHidden/>
          </w:rPr>
          <w:fldChar w:fldCharType="begin"/>
        </w:r>
        <w:r w:rsidR="0082426D">
          <w:rPr>
            <w:noProof/>
            <w:webHidden/>
          </w:rPr>
          <w:instrText xml:space="preserve"> PAGEREF _Toc159914010 \h </w:instrText>
        </w:r>
        <w:r w:rsidR="0082426D">
          <w:rPr>
            <w:noProof/>
            <w:webHidden/>
          </w:rPr>
        </w:r>
        <w:r w:rsidR="0082426D">
          <w:rPr>
            <w:noProof/>
            <w:webHidden/>
          </w:rPr>
          <w:fldChar w:fldCharType="separate"/>
        </w:r>
        <w:r w:rsidR="0082426D">
          <w:rPr>
            <w:noProof/>
            <w:webHidden/>
          </w:rPr>
          <w:t>5</w:t>
        </w:r>
        <w:r w:rsidR="0082426D">
          <w:rPr>
            <w:noProof/>
            <w:webHidden/>
          </w:rPr>
          <w:fldChar w:fldCharType="end"/>
        </w:r>
      </w:hyperlink>
    </w:p>
    <w:p w14:paraId="2C831DEA" w14:textId="1A20CB8F" w:rsidR="0082426D" w:rsidRDefault="00A12599">
      <w:pPr>
        <w:pStyle w:val="TOC2"/>
        <w:rPr>
          <w:rFonts w:asciiTheme="minorHAnsi" w:eastAsiaTheme="minorEastAsia" w:hAnsiTheme="minorHAnsi" w:cstheme="minorBidi"/>
          <w:noProof/>
          <w:kern w:val="2"/>
          <w14:ligatures w14:val="standardContextual"/>
        </w:rPr>
      </w:pPr>
      <w:hyperlink w:anchor="_Toc159914011" w:history="1">
        <w:r w:rsidR="0082426D" w:rsidRPr="00E44289">
          <w:rPr>
            <w:rStyle w:val="Hyperlink"/>
            <w:noProof/>
          </w:rPr>
          <w:t>Monitoring/Recordkeeping</w:t>
        </w:r>
        <w:r w:rsidR="0082426D">
          <w:rPr>
            <w:noProof/>
            <w:webHidden/>
          </w:rPr>
          <w:tab/>
        </w:r>
        <w:r w:rsidR="0082426D">
          <w:rPr>
            <w:noProof/>
            <w:webHidden/>
          </w:rPr>
          <w:fldChar w:fldCharType="begin"/>
        </w:r>
        <w:r w:rsidR="0082426D">
          <w:rPr>
            <w:noProof/>
            <w:webHidden/>
          </w:rPr>
          <w:instrText xml:space="preserve"> PAGEREF _Toc159914011 \h </w:instrText>
        </w:r>
        <w:r w:rsidR="0082426D">
          <w:rPr>
            <w:noProof/>
            <w:webHidden/>
          </w:rPr>
        </w:r>
        <w:r w:rsidR="0082426D">
          <w:rPr>
            <w:noProof/>
            <w:webHidden/>
          </w:rPr>
          <w:fldChar w:fldCharType="separate"/>
        </w:r>
        <w:r w:rsidR="0082426D">
          <w:rPr>
            <w:noProof/>
            <w:webHidden/>
          </w:rPr>
          <w:t>6</w:t>
        </w:r>
        <w:r w:rsidR="0082426D">
          <w:rPr>
            <w:noProof/>
            <w:webHidden/>
          </w:rPr>
          <w:fldChar w:fldCharType="end"/>
        </w:r>
      </w:hyperlink>
    </w:p>
    <w:p w14:paraId="3D1F640A" w14:textId="751945F5" w:rsidR="0082426D" w:rsidRDefault="00A12599">
      <w:pPr>
        <w:pStyle w:val="TOC2"/>
        <w:rPr>
          <w:rFonts w:asciiTheme="minorHAnsi" w:eastAsiaTheme="minorEastAsia" w:hAnsiTheme="minorHAnsi" w:cstheme="minorBidi"/>
          <w:noProof/>
          <w:kern w:val="2"/>
          <w14:ligatures w14:val="standardContextual"/>
        </w:rPr>
      </w:pPr>
      <w:hyperlink w:anchor="_Toc159914012" w:history="1">
        <w:r w:rsidR="0082426D" w:rsidRPr="00E44289">
          <w:rPr>
            <w:rStyle w:val="Hyperlink"/>
            <w:noProof/>
          </w:rPr>
          <w:t>Certification &amp; Reporting</w:t>
        </w:r>
        <w:r w:rsidR="0082426D">
          <w:rPr>
            <w:noProof/>
            <w:webHidden/>
          </w:rPr>
          <w:tab/>
        </w:r>
        <w:r w:rsidR="0082426D">
          <w:rPr>
            <w:noProof/>
            <w:webHidden/>
          </w:rPr>
          <w:fldChar w:fldCharType="begin"/>
        </w:r>
        <w:r w:rsidR="0082426D">
          <w:rPr>
            <w:noProof/>
            <w:webHidden/>
          </w:rPr>
          <w:instrText xml:space="preserve"> PAGEREF _Toc159914012 \h </w:instrText>
        </w:r>
        <w:r w:rsidR="0082426D">
          <w:rPr>
            <w:noProof/>
            <w:webHidden/>
          </w:rPr>
        </w:r>
        <w:r w:rsidR="0082426D">
          <w:rPr>
            <w:noProof/>
            <w:webHidden/>
          </w:rPr>
          <w:fldChar w:fldCharType="separate"/>
        </w:r>
        <w:r w:rsidR="0082426D">
          <w:rPr>
            <w:noProof/>
            <w:webHidden/>
          </w:rPr>
          <w:t>6</w:t>
        </w:r>
        <w:r w:rsidR="0082426D">
          <w:rPr>
            <w:noProof/>
            <w:webHidden/>
          </w:rPr>
          <w:fldChar w:fldCharType="end"/>
        </w:r>
      </w:hyperlink>
    </w:p>
    <w:p w14:paraId="784D98CA" w14:textId="3D87DE5F" w:rsidR="0082426D" w:rsidRDefault="00A12599">
      <w:pPr>
        <w:pStyle w:val="TOC2"/>
        <w:rPr>
          <w:rFonts w:asciiTheme="minorHAnsi" w:eastAsiaTheme="minorEastAsia" w:hAnsiTheme="minorHAnsi" w:cstheme="minorBidi"/>
          <w:noProof/>
          <w:kern w:val="2"/>
          <w14:ligatures w14:val="standardContextual"/>
        </w:rPr>
      </w:pPr>
      <w:hyperlink w:anchor="_Toc159914013" w:history="1">
        <w:r w:rsidR="0082426D" w:rsidRPr="00E44289">
          <w:rPr>
            <w:rStyle w:val="Hyperlink"/>
            <w:noProof/>
          </w:rPr>
          <w:t>Permit Shield</w:t>
        </w:r>
        <w:r w:rsidR="0082426D">
          <w:rPr>
            <w:noProof/>
            <w:webHidden/>
          </w:rPr>
          <w:tab/>
        </w:r>
        <w:r w:rsidR="0082426D">
          <w:rPr>
            <w:noProof/>
            <w:webHidden/>
          </w:rPr>
          <w:fldChar w:fldCharType="begin"/>
        </w:r>
        <w:r w:rsidR="0082426D">
          <w:rPr>
            <w:noProof/>
            <w:webHidden/>
          </w:rPr>
          <w:instrText xml:space="preserve"> PAGEREF _Toc159914013 \h </w:instrText>
        </w:r>
        <w:r w:rsidR="0082426D">
          <w:rPr>
            <w:noProof/>
            <w:webHidden/>
          </w:rPr>
        </w:r>
        <w:r w:rsidR="0082426D">
          <w:rPr>
            <w:noProof/>
            <w:webHidden/>
          </w:rPr>
          <w:fldChar w:fldCharType="separate"/>
        </w:r>
        <w:r w:rsidR="0082426D">
          <w:rPr>
            <w:noProof/>
            <w:webHidden/>
          </w:rPr>
          <w:t>7</w:t>
        </w:r>
        <w:r w:rsidR="0082426D">
          <w:rPr>
            <w:noProof/>
            <w:webHidden/>
          </w:rPr>
          <w:fldChar w:fldCharType="end"/>
        </w:r>
      </w:hyperlink>
    </w:p>
    <w:p w14:paraId="53EB7052" w14:textId="30BC22B9" w:rsidR="0082426D" w:rsidRDefault="00A12599">
      <w:pPr>
        <w:pStyle w:val="TOC2"/>
        <w:rPr>
          <w:rFonts w:asciiTheme="minorHAnsi" w:eastAsiaTheme="minorEastAsia" w:hAnsiTheme="minorHAnsi" w:cstheme="minorBidi"/>
          <w:noProof/>
          <w:kern w:val="2"/>
          <w14:ligatures w14:val="standardContextual"/>
        </w:rPr>
      </w:pPr>
      <w:hyperlink w:anchor="_Toc159914014" w:history="1">
        <w:r w:rsidR="0082426D" w:rsidRPr="00E44289">
          <w:rPr>
            <w:rStyle w:val="Hyperlink"/>
            <w:noProof/>
          </w:rPr>
          <w:t>Revisions</w:t>
        </w:r>
        <w:r w:rsidR="0082426D">
          <w:rPr>
            <w:noProof/>
            <w:webHidden/>
          </w:rPr>
          <w:tab/>
        </w:r>
        <w:r w:rsidR="0082426D">
          <w:rPr>
            <w:noProof/>
            <w:webHidden/>
          </w:rPr>
          <w:fldChar w:fldCharType="begin"/>
        </w:r>
        <w:r w:rsidR="0082426D">
          <w:rPr>
            <w:noProof/>
            <w:webHidden/>
          </w:rPr>
          <w:instrText xml:space="preserve"> PAGEREF _Toc159914014 \h </w:instrText>
        </w:r>
        <w:r w:rsidR="0082426D">
          <w:rPr>
            <w:noProof/>
            <w:webHidden/>
          </w:rPr>
        </w:r>
        <w:r w:rsidR="0082426D">
          <w:rPr>
            <w:noProof/>
            <w:webHidden/>
          </w:rPr>
          <w:fldChar w:fldCharType="separate"/>
        </w:r>
        <w:r w:rsidR="0082426D">
          <w:rPr>
            <w:noProof/>
            <w:webHidden/>
          </w:rPr>
          <w:t>8</w:t>
        </w:r>
        <w:r w:rsidR="0082426D">
          <w:rPr>
            <w:noProof/>
            <w:webHidden/>
          </w:rPr>
          <w:fldChar w:fldCharType="end"/>
        </w:r>
      </w:hyperlink>
    </w:p>
    <w:p w14:paraId="0A40EC35" w14:textId="601C782F" w:rsidR="0082426D" w:rsidRDefault="00A12599">
      <w:pPr>
        <w:pStyle w:val="TOC2"/>
        <w:rPr>
          <w:rFonts w:asciiTheme="minorHAnsi" w:eastAsiaTheme="minorEastAsia" w:hAnsiTheme="minorHAnsi" w:cstheme="minorBidi"/>
          <w:noProof/>
          <w:kern w:val="2"/>
          <w14:ligatures w14:val="standardContextual"/>
        </w:rPr>
      </w:pPr>
      <w:hyperlink w:anchor="_Toc159914015" w:history="1">
        <w:r w:rsidR="0082426D" w:rsidRPr="00E44289">
          <w:rPr>
            <w:rStyle w:val="Hyperlink"/>
            <w:noProof/>
          </w:rPr>
          <w:t>Reopenings</w:t>
        </w:r>
        <w:r w:rsidR="0082426D">
          <w:rPr>
            <w:noProof/>
            <w:webHidden/>
          </w:rPr>
          <w:tab/>
        </w:r>
        <w:r w:rsidR="0082426D">
          <w:rPr>
            <w:noProof/>
            <w:webHidden/>
          </w:rPr>
          <w:fldChar w:fldCharType="begin"/>
        </w:r>
        <w:r w:rsidR="0082426D">
          <w:rPr>
            <w:noProof/>
            <w:webHidden/>
          </w:rPr>
          <w:instrText xml:space="preserve"> PAGEREF _Toc159914015 \h </w:instrText>
        </w:r>
        <w:r w:rsidR="0082426D">
          <w:rPr>
            <w:noProof/>
            <w:webHidden/>
          </w:rPr>
        </w:r>
        <w:r w:rsidR="0082426D">
          <w:rPr>
            <w:noProof/>
            <w:webHidden/>
          </w:rPr>
          <w:fldChar w:fldCharType="separate"/>
        </w:r>
        <w:r w:rsidR="0082426D">
          <w:rPr>
            <w:noProof/>
            <w:webHidden/>
          </w:rPr>
          <w:t>8</w:t>
        </w:r>
        <w:r w:rsidR="0082426D">
          <w:rPr>
            <w:noProof/>
            <w:webHidden/>
          </w:rPr>
          <w:fldChar w:fldCharType="end"/>
        </w:r>
      </w:hyperlink>
    </w:p>
    <w:p w14:paraId="77B26EBD" w14:textId="42E5C202" w:rsidR="0082426D" w:rsidRDefault="00A12599">
      <w:pPr>
        <w:pStyle w:val="TOC2"/>
        <w:rPr>
          <w:rFonts w:asciiTheme="minorHAnsi" w:eastAsiaTheme="minorEastAsia" w:hAnsiTheme="minorHAnsi" w:cstheme="minorBidi"/>
          <w:noProof/>
          <w:kern w:val="2"/>
          <w14:ligatures w14:val="standardContextual"/>
        </w:rPr>
      </w:pPr>
      <w:hyperlink w:anchor="_Toc159914016" w:history="1">
        <w:r w:rsidR="0082426D" w:rsidRPr="00E44289">
          <w:rPr>
            <w:rStyle w:val="Hyperlink"/>
            <w:noProof/>
          </w:rPr>
          <w:t>Renewals</w:t>
        </w:r>
        <w:r w:rsidR="0082426D">
          <w:rPr>
            <w:noProof/>
            <w:webHidden/>
          </w:rPr>
          <w:tab/>
        </w:r>
        <w:r w:rsidR="0082426D">
          <w:rPr>
            <w:noProof/>
            <w:webHidden/>
          </w:rPr>
          <w:fldChar w:fldCharType="begin"/>
        </w:r>
        <w:r w:rsidR="0082426D">
          <w:rPr>
            <w:noProof/>
            <w:webHidden/>
          </w:rPr>
          <w:instrText xml:space="preserve"> PAGEREF _Toc159914016 \h </w:instrText>
        </w:r>
        <w:r w:rsidR="0082426D">
          <w:rPr>
            <w:noProof/>
            <w:webHidden/>
          </w:rPr>
        </w:r>
        <w:r w:rsidR="0082426D">
          <w:rPr>
            <w:noProof/>
            <w:webHidden/>
          </w:rPr>
          <w:fldChar w:fldCharType="separate"/>
        </w:r>
        <w:r w:rsidR="0082426D">
          <w:rPr>
            <w:noProof/>
            <w:webHidden/>
          </w:rPr>
          <w:t>9</w:t>
        </w:r>
        <w:r w:rsidR="0082426D">
          <w:rPr>
            <w:noProof/>
            <w:webHidden/>
          </w:rPr>
          <w:fldChar w:fldCharType="end"/>
        </w:r>
      </w:hyperlink>
    </w:p>
    <w:p w14:paraId="134F3F6D" w14:textId="48FD6BB6" w:rsidR="0082426D" w:rsidRDefault="00A12599">
      <w:pPr>
        <w:pStyle w:val="TOC2"/>
        <w:rPr>
          <w:rFonts w:asciiTheme="minorHAnsi" w:eastAsiaTheme="minorEastAsia" w:hAnsiTheme="minorHAnsi" w:cstheme="minorBidi"/>
          <w:noProof/>
          <w:kern w:val="2"/>
          <w14:ligatures w14:val="standardContextual"/>
        </w:rPr>
      </w:pPr>
      <w:hyperlink w:anchor="_Toc159914017" w:history="1">
        <w:r w:rsidR="0082426D" w:rsidRPr="00E44289">
          <w:rPr>
            <w:rStyle w:val="Hyperlink"/>
            <w:bCs/>
            <w:noProof/>
          </w:rPr>
          <w:t>Stratospheric Ozone Protection</w:t>
        </w:r>
        <w:r w:rsidR="0082426D">
          <w:rPr>
            <w:noProof/>
            <w:webHidden/>
          </w:rPr>
          <w:tab/>
        </w:r>
        <w:r w:rsidR="0082426D">
          <w:rPr>
            <w:noProof/>
            <w:webHidden/>
          </w:rPr>
          <w:fldChar w:fldCharType="begin"/>
        </w:r>
        <w:r w:rsidR="0082426D">
          <w:rPr>
            <w:noProof/>
            <w:webHidden/>
          </w:rPr>
          <w:instrText xml:space="preserve"> PAGEREF _Toc159914017 \h </w:instrText>
        </w:r>
        <w:r w:rsidR="0082426D">
          <w:rPr>
            <w:noProof/>
            <w:webHidden/>
          </w:rPr>
        </w:r>
        <w:r w:rsidR="0082426D">
          <w:rPr>
            <w:noProof/>
            <w:webHidden/>
          </w:rPr>
          <w:fldChar w:fldCharType="separate"/>
        </w:r>
        <w:r w:rsidR="0082426D">
          <w:rPr>
            <w:noProof/>
            <w:webHidden/>
          </w:rPr>
          <w:t>9</w:t>
        </w:r>
        <w:r w:rsidR="0082426D">
          <w:rPr>
            <w:noProof/>
            <w:webHidden/>
          </w:rPr>
          <w:fldChar w:fldCharType="end"/>
        </w:r>
      </w:hyperlink>
    </w:p>
    <w:p w14:paraId="6240E853" w14:textId="64E27387" w:rsidR="0082426D" w:rsidRDefault="00A12599">
      <w:pPr>
        <w:pStyle w:val="TOC2"/>
        <w:rPr>
          <w:rFonts w:asciiTheme="minorHAnsi" w:eastAsiaTheme="minorEastAsia" w:hAnsiTheme="minorHAnsi" w:cstheme="minorBidi"/>
          <w:noProof/>
          <w:kern w:val="2"/>
          <w14:ligatures w14:val="standardContextual"/>
        </w:rPr>
      </w:pPr>
      <w:hyperlink w:anchor="_Toc159914018" w:history="1">
        <w:r w:rsidR="0082426D" w:rsidRPr="00E44289">
          <w:rPr>
            <w:rStyle w:val="Hyperlink"/>
            <w:bCs/>
            <w:noProof/>
          </w:rPr>
          <w:t>Risk Management Plan</w:t>
        </w:r>
        <w:r w:rsidR="0082426D">
          <w:rPr>
            <w:noProof/>
            <w:webHidden/>
          </w:rPr>
          <w:tab/>
        </w:r>
        <w:r w:rsidR="0082426D">
          <w:rPr>
            <w:noProof/>
            <w:webHidden/>
          </w:rPr>
          <w:fldChar w:fldCharType="begin"/>
        </w:r>
        <w:r w:rsidR="0082426D">
          <w:rPr>
            <w:noProof/>
            <w:webHidden/>
          </w:rPr>
          <w:instrText xml:space="preserve"> PAGEREF _Toc159914018 \h </w:instrText>
        </w:r>
        <w:r w:rsidR="0082426D">
          <w:rPr>
            <w:noProof/>
            <w:webHidden/>
          </w:rPr>
        </w:r>
        <w:r w:rsidR="0082426D">
          <w:rPr>
            <w:noProof/>
            <w:webHidden/>
          </w:rPr>
          <w:fldChar w:fldCharType="separate"/>
        </w:r>
        <w:r w:rsidR="0082426D">
          <w:rPr>
            <w:noProof/>
            <w:webHidden/>
          </w:rPr>
          <w:t>9</w:t>
        </w:r>
        <w:r w:rsidR="0082426D">
          <w:rPr>
            <w:noProof/>
            <w:webHidden/>
          </w:rPr>
          <w:fldChar w:fldCharType="end"/>
        </w:r>
      </w:hyperlink>
    </w:p>
    <w:p w14:paraId="6F1DAD0A" w14:textId="7B3AB2C5" w:rsidR="0082426D" w:rsidRDefault="00A12599">
      <w:pPr>
        <w:pStyle w:val="TOC2"/>
        <w:rPr>
          <w:rFonts w:asciiTheme="minorHAnsi" w:eastAsiaTheme="minorEastAsia" w:hAnsiTheme="minorHAnsi" w:cstheme="minorBidi"/>
          <w:noProof/>
          <w:kern w:val="2"/>
          <w14:ligatures w14:val="standardContextual"/>
        </w:rPr>
      </w:pPr>
      <w:hyperlink w:anchor="_Toc159914019" w:history="1">
        <w:r w:rsidR="0082426D" w:rsidRPr="00E44289">
          <w:rPr>
            <w:rStyle w:val="Hyperlink"/>
            <w:bCs/>
            <w:noProof/>
          </w:rPr>
          <w:t>Emission Trading</w:t>
        </w:r>
        <w:r w:rsidR="0082426D">
          <w:rPr>
            <w:noProof/>
            <w:webHidden/>
          </w:rPr>
          <w:tab/>
        </w:r>
        <w:r w:rsidR="0082426D">
          <w:rPr>
            <w:noProof/>
            <w:webHidden/>
          </w:rPr>
          <w:fldChar w:fldCharType="begin"/>
        </w:r>
        <w:r w:rsidR="0082426D">
          <w:rPr>
            <w:noProof/>
            <w:webHidden/>
          </w:rPr>
          <w:instrText xml:space="preserve"> PAGEREF _Toc159914019 \h </w:instrText>
        </w:r>
        <w:r w:rsidR="0082426D">
          <w:rPr>
            <w:noProof/>
            <w:webHidden/>
          </w:rPr>
        </w:r>
        <w:r w:rsidR="0082426D">
          <w:rPr>
            <w:noProof/>
            <w:webHidden/>
          </w:rPr>
          <w:fldChar w:fldCharType="separate"/>
        </w:r>
        <w:r w:rsidR="0082426D">
          <w:rPr>
            <w:noProof/>
            <w:webHidden/>
          </w:rPr>
          <w:t>9</w:t>
        </w:r>
        <w:r w:rsidR="0082426D">
          <w:rPr>
            <w:noProof/>
            <w:webHidden/>
          </w:rPr>
          <w:fldChar w:fldCharType="end"/>
        </w:r>
      </w:hyperlink>
    </w:p>
    <w:p w14:paraId="60844042" w14:textId="01D787B2" w:rsidR="0082426D" w:rsidRDefault="00A12599">
      <w:pPr>
        <w:pStyle w:val="TOC2"/>
        <w:rPr>
          <w:rFonts w:asciiTheme="minorHAnsi" w:eastAsiaTheme="minorEastAsia" w:hAnsiTheme="minorHAnsi" w:cstheme="minorBidi"/>
          <w:noProof/>
          <w:kern w:val="2"/>
          <w14:ligatures w14:val="standardContextual"/>
        </w:rPr>
      </w:pPr>
      <w:hyperlink w:anchor="_Toc159914020" w:history="1">
        <w:r w:rsidR="0082426D" w:rsidRPr="00E44289">
          <w:rPr>
            <w:rStyle w:val="Hyperlink"/>
            <w:bCs/>
            <w:noProof/>
          </w:rPr>
          <w:t>Permit to Install (PTI)</w:t>
        </w:r>
        <w:r w:rsidR="0082426D">
          <w:rPr>
            <w:noProof/>
            <w:webHidden/>
          </w:rPr>
          <w:tab/>
        </w:r>
        <w:r w:rsidR="0082426D">
          <w:rPr>
            <w:noProof/>
            <w:webHidden/>
          </w:rPr>
          <w:fldChar w:fldCharType="begin"/>
        </w:r>
        <w:r w:rsidR="0082426D">
          <w:rPr>
            <w:noProof/>
            <w:webHidden/>
          </w:rPr>
          <w:instrText xml:space="preserve"> PAGEREF _Toc159914020 \h </w:instrText>
        </w:r>
        <w:r w:rsidR="0082426D">
          <w:rPr>
            <w:noProof/>
            <w:webHidden/>
          </w:rPr>
        </w:r>
        <w:r w:rsidR="0082426D">
          <w:rPr>
            <w:noProof/>
            <w:webHidden/>
          </w:rPr>
          <w:fldChar w:fldCharType="separate"/>
        </w:r>
        <w:r w:rsidR="0082426D">
          <w:rPr>
            <w:noProof/>
            <w:webHidden/>
          </w:rPr>
          <w:t>10</w:t>
        </w:r>
        <w:r w:rsidR="0082426D">
          <w:rPr>
            <w:noProof/>
            <w:webHidden/>
          </w:rPr>
          <w:fldChar w:fldCharType="end"/>
        </w:r>
      </w:hyperlink>
    </w:p>
    <w:p w14:paraId="4CA205E8" w14:textId="310262CC" w:rsidR="0082426D" w:rsidRDefault="00A12599">
      <w:pPr>
        <w:pStyle w:val="TOC1"/>
        <w:rPr>
          <w:rFonts w:asciiTheme="minorHAnsi" w:eastAsiaTheme="minorEastAsia" w:hAnsiTheme="minorHAnsi" w:cstheme="minorBidi"/>
          <w:b w:val="0"/>
          <w:noProof/>
          <w:kern w:val="2"/>
          <w14:ligatures w14:val="standardContextual"/>
        </w:rPr>
      </w:pPr>
      <w:hyperlink w:anchor="_Toc159914021" w:history="1">
        <w:r w:rsidR="0082426D" w:rsidRPr="00E44289">
          <w:rPr>
            <w:rStyle w:val="Hyperlink"/>
            <w:noProof/>
          </w:rPr>
          <w:t>B.  SOURCE-WIDE CONDITIONS</w:t>
        </w:r>
        <w:r w:rsidR="0082426D">
          <w:rPr>
            <w:noProof/>
            <w:webHidden/>
          </w:rPr>
          <w:tab/>
        </w:r>
        <w:r w:rsidR="0082426D">
          <w:rPr>
            <w:noProof/>
            <w:webHidden/>
          </w:rPr>
          <w:fldChar w:fldCharType="begin"/>
        </w:r>
        <w:r w:rsidR="0082426D">
          <w:rPr>
            <w:noProof/>
            <w:webHidden/>
          </w:rPr>
          <w:instrText xml:space="preserve"> PAGEREF _Toc159914021 \h </w:instrText>
        </w:r>
        <w:r w:rsidR="0082426D">
          <w:rPr>
            <w:noProof/>
            <w:webHidden/>
          </w:rPr>
        </w:r>
        <w:r w:rsidR="0082426D">
          <w:rPr>
            <w:noProof/>
            <w:webHidden/>
          </w:rPr>
          <w:fldChar w:fldCharType="separate"/>
        </w:r>
        <w:r w:rsidR="0082426D">
          <w:rPr>
            <w:noProof/>
            <w:webHidden/>
          </w:rPr>
          <w:t>11</w:t>
        </w:r>
        <w:r w:rsidR="0082426D">
          <w:rPr>
            <w:noProof/>
            <w:webHidden/>
          </w:rPr>
          <w:fldChar w:fldCharType="end"/>
        </w:r>
      </w:hyperlink>
    </w:p>
    <w:p w14:paraId="7EC97EA0" w14:textId="7F2C7821" w:rsidR="0082426D" w:rsidRDefault="00A12599">
      <w:pPr>
        <w:pStyle w:val="TOC1"/>
        <w:rPr>
          <w:rFonts w:asciiTheme="minorHAnsi" w:eastAsiaTheme="minorEastAsia" w:hAnsiTheme="minorHAnsi" w:cstheme="minorBidi"/>
          <w:b w:val="0"/>
          <w:noProof/>
          <w:kern w:val="2"/>
          <w14:ligatures w14:val="standardContextual"/>
        </w:rPr>
      </w:pPr>
      <w:hyperlink w:anchor="_Toc159914022" w:history="1">
        <w:r w:rsidR="0082426D" w:rsidRPr="00E44289">
          <w:rPr>
            <w:rStyle w:val="Hyperlink"/>
            <w:noProof/>
          </w:rPr>
          <w:t>C.  EMISSION UNIT SPECIAL CONDITIONS</w:t>
        </w:r>
        <w:r w:rsidR="0082426D">
          <w:rPr>
            <w:noProof/>
            <w:webHidden/>
          </w:rPr>
          <w:tab/>
        </w:r>
        <w:r w:rsidR="0082426D">
          <w:rPr>
            <w:noProof/>
            <w:webHidden/>
          </w:rPr>
          <w:fldChar w:fldCharType="begin"/>
        </w:r>
        <w:r w:rsidR="0082426D">
          <w:rPr>
            <w:noProof/>
            <w:webHidden/>
          </w:rPr>
          <w:instrText xml:space="preserve"> PAGEREF _Toc159914022 \h </w:instrText>
        </w:r>
        <w:r w:rsidR="0082426D">
          <w:rPr>
            <w:noProof/>
            <w:webHidden/>
          </w:rPr>
        </w:r>
        <w:r w:rsidR="0082426D">
          <w:rPr>
            <w:noProof/>
            <w:webHidden/>
          </w:rPr>
          <w:fldChar w:fldCharType="separate"/>
        </w:r>
        <w:r w:rsidR="0082426D">
          <w:rPr>
            <w:noProof/>
            <w:webHidden/>
          </w:rPr>
          <w:t>12</w:t>
        </w:r>
        <w:r w:rsidR="0082426D">
          <w:rPr>
            <w:noProof/>
            <w:webHidden/>
          </w:rPr>
          <w:fldChar w:fldCharType="end"/>
        </w:r>
      </w:hyperlink>
    </w:p>
    <w:p w14:paraId="130BCF2B" w14:textId="5F56DF60" w:rsidR="0082426D" w:rsidRDefault="00A12599">
      <w:pPr>
        <w:pStyle w:val="TOC2"/>
        <w:rPr>
          <w:rFonts w:asciiTheme="minorHAnsi" w:eastAsiaTheme="minorEastAsia" w:hAnsiTheme="minorHAnsi" w:cstheme="minorBidi"/>
          <w:noProof/>
          <w:kern w:val="2"/>
          <w14:ligatures w14:val="standardContextual"/>
        </w:rPr>
      </w:pPr>
      <w:hyperlink w:anchor="_Toc159914023" w:history="1">
        <w:r w:rsidR="0082426D" w:rsidRPr="00E44289">
          <w:rPr>
            <w:rStyle w:val="Hyperlink"/>
            <w:noProof/>
          </w:rPr>
          <w:t>EMISSION UNIT SUMMARY TABLE</w:t>
        </w:r>
        <w:r w:rsidR="0082426D">
          <w:rPr>
            <w:noProof/>
            <w:webHidden/>
          </w:rPr>
          <w:tab/>
        </w:r>
        <w:r w:rsidR="0082426D">
          <w:rPr>
            <w:noProof/>
            <w:webHidden/>
          </w:rPr>
          <w:fldChar w:fldCharType="begin"/>
        </w:r>
        <w:r w:rsidR="0082426D">
          <w:rPr>
            <w:noProof/>
            <w:webHidden/>
          </w:rPr>
          <w:instrText xml:space="preserve"> PAGEREF _Toc159914023 \h </w:instrText>
        </w:r>
        <w:r w:rsidR="0082426D">
          <w:rPr>
            <w:noProof/>
            <w:webHidden/>
          </w:rPr>
        </w:r>
        <w:r w:rsidR="0082426D">
          <w:rPr>
            <w:noProof/>
            <w:webHidden/>
          </w:rPr>
          <w:fldChar w:fldCharType="separate"/>
        </w:r>
        <w:r w:rsidR="0082426D">
          <w:rPr>
            <w:noProof/>
            <w:webHidden/>
          </w:rPr>
          <w:t>12</w:t>
        </w:r>
        <w:r w:rsidR="0082426D">
          <w:rPr>
            <w:noProof/>
            <w:webHidden/>
          </w:rPr>
          <w:fldChar w:fldCharType="end"/>
        </w:r>
      </w:hyperlink>
    </w:p>
    <w:p w14:paraId="47174EA8" w14:textId="5E26E408" w:rsidR="0082426D" w:rsidRDefault="00A12599">
      <w:pPr>
        <w:pStyle w:val="TOC2"/>
        <w:rPr>
          <w:rFonts w:asciiTheme="minorHAnsi" w:eastAsiaTheme="minorEastAsia" w:hAnsiTheme="minorHAnsi" w:cstheme="minorBidi"/>
          <w:noProof/>
          <w:kern w:val="2"/>
          <w14:ligatures w14:val="standardContextual"/>
        </w:rPr>
      </w:pPr>
      <w:hyperlink w:anchor="_Toc159914024" w:history="1">
        <w:r w:rsidR="0082426D" w:rsidRPr="00E44289">
          <w:rPr>
            <w:rStyle w:val="Hyperlink"/>
            <w:noProof/>
          </w:rPr>
          <w:t>EUASBESTOS</w:t>
        </w:r>
        <w:r w:rsidR="0082426D">
          <w:rPr>
            <w:noProof/>
            <w:webHidden/>
          </w:rPr>
          <w:tab/>
        </w:r>
        <w:r w:rsidR="0082426D">
          <w:rPr>
            <w:noProof/>
            <w:webHidden/>
          </w:rPr>
          <w:fldChar w:fldCharType="begin"/>
        </w:r>
        <w:r w:rsidR="0082426D">
          <w:rPr>
            <w:noProof/>
            <w:webHidden/>
          </w:rPr>
          <w:instrText xml:space="preserve"> PAGEREF _Toc159914024 \h </w:instrText>
        </w:r>
        <w:r w:rsidR="0082426D">
          <w:rPr>
            <w:noProof/>
            <w:webHidden/>
          </w:rPr>
        </w:r>
        <w:r w:rsidR="0082426D">
          <w:rPr>
            <w:noProof/>
            <w:webHidden/>
          </w:rPr>
          <w:fldChar w:fldCharType="separate"/>
        </w:r>
        <w:r w:rsidR="0082426D">
          <w:rPr>
            <w:noProof/>
            <w:webHidden/>
          </w:rPr>
          <w:t>13</w:t>
        </w:r>
        <w:r w:rsidR="0082426D">
          <w:rPr>
            <w:noProof/>
            <w:webHidden/>
          </w:rPr>
          <w:fldChar w:fldCharType="end"/>
        </w:r>
      </w:hyperlink>
    </w:p>
    <w:p w14:paraId="6431590C" w14:textId="33812C27" w:rsidR="0082426D" w:rsidRDefault="00A12599">
      <w:pPr>
        <w:pStyle w:val="TOC1"/>
        <w:rPr>
          <w:rFonts w:asciiTheme="minorHAnsi" w:eastAsiaTheme="minorEastAsia" w:hAnsiTheme="minorHAnsi" w:cstheme="minorBidi"/>
          <w:b w:val="0"/>
          <w:noProof/>
          <w:kern w:val="2"/>
          <w14:ligatures w14:val="standardContextual"/>
        </w:rPr>
      </w:pPr>
      <w:hyperlink w:anchor="_Toc159914025" w:history="1">
        <w:r w:rsidR="0082426D" w:rsidRPr="00E44289">
          <w:rPr>
            <w:rStyle w:val="Hyperlink"/>
            <w:noProof/>
          </w:rPr>
          <w:t>D.  FLEXIBLE GROUP SPECIAL CONDITIONS</w:t>
        </w:r>
        <w:r w:rsidR="0082426D">
          <w:rPr>
            <w:noProof/>
            <w:webHidden/>
          </w:rPr>
          <w:tab/>
        </w:r>
        <w:r w:rsidR="0082426D">
          <w:rPr>
            <w:noProof/>
            <w:webHidden/>
          </w:rPr>
          <w:fldChar w:fldCharType="begin"/>
        </w:r>
        <w:r w:rsidR="0082426D">
          <w:rPr>
            <w:noProof/>
            <w:webHidden/>
          </w:rPr>
          <w:instrText xml:space="preserve"> PAGEREF _Toc159914025 \h </w:instrText>
        </w:r>
        <w:r w:rsidR="0082426D">
          <w:rPr>
            <w:noProof/>
            <w:webHidden/>
          </w:rPr>
        </w:r>
        <w:r w:rsidR="0082426D">
          <w:rPr>
            <w:noProof/>
            <w:webHidden/>
          </w:rPr>
          <w:fldChar w:fldCharType="separate"/>
        </w:r>
        <w:r w:rsidR="0082426D">
          <w:rPr>
            <w:noProof/>
            <w:webHidden/>
          </w:rPr>
          <w:t>17</w:t>
        </w:r>
        <w:r w:rsidR="0082426D">
          <w:rPr>
            <w:noProof/>
            <w:webHidden/>
          </w:rPr>
          <w:fldChar w:fldCharType="end"/>
        </w:r>
      </w:hyperlink>
    </w:p>
    <w:p w14:paraId="54320F47" w14:textId="4B992904" w:rsidR="0082426D" w:rsidRDefault="00A12599">
      <w:pPr>
        <w:pStyle w:val="TOC2"/>
        <w:rPr>
          <w:rFonts w:asciiTheme="minorHAnsi" w:eastAsiaTheme="minorEastAsia" w:hAnsiTheme="minorHAnsi" w:cstheme="minorBidi"/>
          <w:noProof/>
          <w:kern w:val="2"/>
          <w14:ligatures w14:val="standardContextual"/>
        </w:rPr>
      </w:pPr>
      <w:hyperlink w:anchor="_Toc159914026" w:history="1">
        <w:r w:rsidR="0082426D" w:rsidRPr="00E44289">
          <w:rPr>
            <w:rStyle w:val="Hyperlink"/>
            <w:bCs/>
            <w:noProof/>
          </w:rPr>
          <w:t>FLEXIBLE GROUP SUMMARY TABLE</w:t>
        </w:r>
        <w:r w:rsidR="0082426D">
          <w:rPr>
            <w:noProof/>
            <w:webHidden/>
          </w:rPr>
          <w:tab/>
        </w:r>
        <w:r w:rsidR="0082426D">
          <w:rPr>
            <w:noProof/>
            <w:webHidden/>
          </w:rPr>
          <w:fldChar w:fldCharType="begin"/>
        </w:r>
        <w:r w:rsidR="0082426D">
          <w:rPr>
            <w:noProof/>
            <w:webHidden/>
          </w:rPr>
          <w:instrText xml:space="preserve"> PAGEREF _Toc159914026 \h </w:instrText>
        </w:r>
        <w:r w:rsidR="0082426D">
          <w:rPr>
            <w:noProof/>
            <w:webHidden/>
          </w:rPr>
        </w:r>
        <w:r w:rsidR="0082426D">
          <w:rPr>
            <w:noProof/>
            <w:webHidden/>
          </w:rPr>
          <w:fldChar w:fldCharType="separate"/>
        </w:r>
        <w:r w:rsidR="0082426D">
          <w:rPr>
            <w:noProof/>
            <w:webHidden/>
          </w:rPr>
          <w:t>17</w:t>
        </w:r>
        <w:r w:rsidR="0082426D">
          <w:rPr>
            <w:noProof/>
            <w:webHidden/>
          </w:rPr>
          <w:fldChar w:fldCharType="end"/>
        </w:r>
      </w:hyperlink>
    </w:p>
    <w:p w14:paraId="1F81028B" w14:textId="4AB8BD90" w:rsidR="0082426D" w:rsidRDefault="00A12599">
      <w:pPr>
        <w:pStyle w:val="TOC2"/>
        <w:rPr>
          <w:rFonts w:asciiTheme="minorHAnsi" w:eastAsiaTheme="minorEastAsia" w:hAnsiTheme="minorHAnsi" w:cstheme="minorBidi"/>
          <w:noProof/>
          <w:kern w:val="2"/>
          <w14:ligatures w14:val="standardContextual"/>
        </w:rPr>
      </w:pPr>
      <w:hyperlink w:anchor="_Toc159914027" w:history="1">
        <w:r w:rsidR="0082426D" w:rsidRPr="00E44289">
          <w:rPr>
            <w:rStyle w:val="Hyperlink"/>
            <w:noProof/>
          </w:rPr>
          <w:t>FGLANDFILL-XXX&lt;34</w:t>
        </w:r>
        <w:r w:rsidR="0082426D">
          <w:rPr>
            <w:noProof/>
            <w:webHidden/>
          </w:rPr>
          <w:tab/>
        </w:r>
        <w:r w:rsidR="0082426D">
          <w:rPr>
            <w:noProof/>
            <w:webHidden/>
          </w:rPr>
          <w:fldChar w:fldCharType="begin"/>
        </w:r>
        <w:r w:rsidR="0082426D">
          <w:rPr>
            <w:noProof/>
            <w:webHidden/>
          </w:rPr>
          <w:instrText xml:space="preserve"> PAGEREF _Toc159914027 \h </w:instrText>
        </w:r>
        <w:r w:rsidR="0082426D">
          <w:rPr>
            <w:noProof/>
            <w:webHidden/>
          </w:rPr>
        </w:r>
        <w:r w:rsidR="0082426D">
          <w:rPr>
            <w:noProof/>
            <w:webHidden/>
          </w:rPr>
          <w:fldChar w:fldCharType="separate"/>
        </w:r>
        <w:r w:rsidR="0082426D">
          <w:rPr>
            <w:noProof/>
            <w:webHidden/>
          </w:rPr>
          <w:t>18</w:t>
        </w:r>
        <w:r w:rsidR="0082426D">
          <w:rPr>
            <w:noProof/>
            <w:webHidden/>
          </w:rPr>
          <w:fldChar w:fldCharType="end"/>
        </w:r>
      </w:hyperlink>
    </w:p>
    <w:p w14:paraId="334B499E" w14:textId="21401A70" w:rsidR="0082426D" w:rsidRDefault="00A12599">
      <w:pPr>
        <w:pStyle w:val="TOC2"/>
        <w:rPr>
          <w:rFonts w:asciiTheme="minorHAnsi" w:eastAsiaTheme="minorEastAsia" w:hAnsiTheme="minorHAnsi" w:cstheme="minorBidi"/>
          <w:noProof/>
          <w:kern w:val="2"/>
          <w14:ligatures w14:val="standardContextual"/>
        </w:rPr>
      </w:pPr>
      <w:hyperlink w:anchor="_Toc159914028" w:history="1">
        <w:r w:rsidR="0082426D" w:rsidRPr="00E44289">
          <w:rPr>
            <w:rStyle w:val="Hyperlink"/>
            <w:bCs/>
            <w:noProof/>
          </w:rPr>
          <w:t>FGLANDFILL-AAAA&lt;50</w:t>
        </w:r>
        <w:r w:rsidR="0082426D">
          <w:rPr>
            <w:noProof/>
            <w:webHidden/>
          </w:rPr>
          <w:tab/>
        </w:r>
        <w:r w:rsidR="0082426D">
          <w:rPr>
            <w:noProof/>
            <w:webHidden/>
          </w:rPr>
          <w:fldChar w:fldCharType="begin"/>
        </w:r>
        <w:r w:rsidR="0082426D">
          <w:rPr>
            <w:noProof/>
            <w:webHidden/>
          </w:rPr>
          <w:instrText xml:space="preserve"> PAGEREF _Toc159914028 \h </w:instrText>
        </w:r>
        <w:r w:rsidR="0082426D">
          <w:rPr>
            <w:noProof/>
            <w:webHidden/>
          </w:rPr>
        </w:r>
        <w:r w:rsidR="0082426D">
          <w:rPr>
            <w:noProof/>
            <w:webHidden/>
          </w:rPr>
          <w:fldChar w:fldCharType="separate"/>
        </w:r>
        <w:r w:rsidR="0082426D">
          <w:rPr>
            <w:noProof/>
            <w:webHidden/>
          </w:rPr>
          <w:t>21</w:t>
        </w:r>
        <w:r w:rsidR="0082426D">
          <w:rPr>
            <w:noProof/>
            <w:webHidden/>
          </w:rPr>
          <w:fldChar w:fldCharType="end"/>
        </w:r>
      </w:hyperlink>
    </w:p>
    <w:p w14:paraId="6A53F1EF" w14:textId="0C6C597E" w:rsidR="0082426D" w:rsidRDefault="00A12599">
      <w:pPr>
        <w:pStyle w:val="TOC2"/>
        <w:rPr>
          <w:rFonts w:asciiTheme="minorHAnsi" w:eastAsiaTheme="minorEastAsia" w:hAnsiTheme="minorHAnsi" w:cstheme="minorBidi"/>
          <w:noProof/>
          <w:kern w:val="2"/>
          <w14:ligatures w14:val="standardContextual"/>
        </w:rPr>
      </w:pPr>
      <w:hyperlink w:anchor="_Toc159914029" w:history="1">
        <w:r w:rsidR="0082426D" w:rsidRPr="00E44289">
          <w:rPr>
            <w:rStyle w:val="Hyperlink"/>
            <w:noProof/>
          </w:rPr>
          <w:t>FGGASDISPENSING</w:t>
        </w:r>
        <w:r w:rsidR="0082426D">
          <w:rPr>
            <w:noProof/>
            <w:webHidden/>
          </w:rPr>
          <w:tab/>
        </w:r>
        <w:r w:rsidR="0082426D">
          <w:rPr>
            <w:noProof/>
            <w:webHidden/>
          </w:rPr>
          <w:fldChar w:fldCharType="begin"/>
        </w:r>
        <w:r w:rsidR="0082426D">
          <w:rPr>
            <w:noProof/>
            <w:webHidden/>
          </w:rPr>
          <w:instrText xml:space="preserve"> PAGEREF _Toc159914029 \h </w:instrText>
        </w:r>
        <w:r w:rsidR="0082426D">
          <w:rPr>
            <w:noProof/>
            <w:webHidden/>
          </w:rPr>
        </w:r>
        <w:r w:rsidR="0082426D">
          <w:rPr>
            <w:noProof/>
            <w:webHidden/>
          </w:rPr>
          <w:fldChar w:fldCharType="separate"/>
        </w:r>
        <w:r w:rsidR="0082426D">
          <w:rPr>
            <w:noProof/>
            <w:webHidden/>
          </w:rPr>
          <w:t>24</w:t>
        </w:r>
        <w:r w:rsidR="0082426D">
          <w:rPr>
            <w:noProof/>
            <w:webHidden/>
          </w:rPr>
          <w:fldChar w:fldCharType="end"/>
        </w:r>
      </w:hyperlink>
    </w:p>
    <w:p w14:paraId="31755F3A" w14:textId="45C75E4A" w:rsidR="0082426D" w:rsidRDefault="00A12599">
      <w:pPr>
        <w:pStyle w:val="TOC1"/>
        <w:rPr>
          <w:rFonts w:asciiTheme="minorHAnsi" w:eastAsiaTheme="minorEastAsia" w:hAnsiTheme="minorHAnsi" w:cstheme="minorBidi"/>
          <w:b w:val="0"/>
          <w:noProof/>
          <w:kern w:val="2"/>
          <w14:ligatures w14:val="standardContextual"/>
        </w:rPr>
      </w:pPr>
      <w:hyperlink w:anchor="_Toc159914030" w:history="1">
        <w:r w:rsidR="0082426D" w:rsidRPr="00E44289">
          <w:rPr>
            <w:rStyle w:val="Hyperlink"/>
            <w:noProof/>
          </w:rPr>
          <w:t>E.  NON-APPLICABLE REQUIREMENTS</w:t>
        </w:r>
        <w:r w:rsidR="0082426D">
          <w:rPr>
            <w:noProof/>
            <w:webHidden/>
          </w:rPr>
          <w:tab/>
        </w:r>
        <w:r w:rsidR="0082426D">
          <w:rPr>
            <w:noProof/>
            <w:webHidden/>
          </w:rPr>
          <w:fldChar w:fldCharType="begin"/>
        </w:r>
        <w:r w:rsidR="0082426D">
          <w:rPr>
            <w:noProof/>
            <w:webHidden/>
          </w:rPr>
          <w:instrText xml:space="preserve"> PAGEREF _Toc159914030 \h </w:instrText>
        </w:r>
        <w:r w:rsidR="0082426D">
          <w:rPr>
            <w:noProof/>
            <w:webHidden/>
          </w:rPr>
        </w:r>
        <w:r w:rsidR="0082426D">
          <w:rPr>
            <w:noProof/>
            <w:webHidden/>
          </w:rPr>
          <w:fldChar w:fldCharType="separate"/>
        </w:r>
        <w:r w:rsidR="0082426D">
          <w:rPr>
            <w:noProof/>
            <w:webHidden/>
          </w:rPr>
          <w:t>27</w:t>
        </w:r>
        <w:r w:rsidR="0082426D">
          <w:rPr>
            <w:noProof/>
            <w:webHidden/>
          </w:rPr>
          <w:fldChar w:fldCharType="end"/>
        </w:r>
      </w:hyperlink>
    </w:p>
    <w:p w14:paraId="7ED30224" w14:textId="193E85E0" w:rsidR="0082426D" w:rsidRDefault="00A12599">
      <w:pPr>
        <w:pStyle w:val="TOC1"/>
        <w:rPr>
          <w:rFonts w:asciiTheme="minorHAnsi" w:eastAsiaTheme="minorEastAsia" w:hAnsiTheme="minorHAnsi" w:cstheme="minorBidi"/>
          <w:b w:val="0"/>
          <w:noProof/>
          <w:kern w:val="2"/>
          <w14:ligatures w14:val="standardContextual"/>
        </w:rPr>
      </w:pPr>
      <w:hyperlink w:anchor="_Toc159914031" w:history="1">
        <w:r w:rsidR="0082426D" w:rsidRPr="00E44289">
          <w:rPr>
            <w:rStyle w:val="Hyperlink"/>
            <w:noProof/>
            <w:kern w:val="28"/>
          </w:rPr>
          <w:t>APPENDICES</w:t>
        </w:r>
        <w:r w:rsidR="0082426D">
          <w:rPr>
            <w:noProof/>
            <w:webHidden/>
          </w:rPr>
          <w:tab/>
        </w:r>
        <w:r w:rsidR="0082426D">
          <w:rPr>
            <w:noProof/>
            <w:webHidden/>
          </w:rPr>
          <w:fldChar w:fldCharType="begin"/>
        </w:r>
        <w:r w:rsidR="0082426D">
          <w:rPr>
            <w:noProof/>
            <w:webHidden/>
          </w:rPr>
          <w:instrText xml:space="preserve"> PAGEREF _Toc159914031 \h </w:instrText>
        </w:r>
        <w:r w:rsidR="0082426D">
          <w:rPr>
            <w:noProof/>
            <w:webHidden/>
          </w:rPr>
        </w:r>
        <w:r w:rsidR="0082426D">
          <w:rPr>
            <w:noProof/>
            <w:webHidden/>
          </w:rPr>
          <w:fldChar w:fldCharType="separate"/>
        </w:r>
        <w:r w:rsidR="0082426D">
          <w:rPr>
            <w:noProof/>
            <w:webHidden/>
          </w:rPr>
          <w:t>28</w:t>
        </w:r>
        <w:r w:rsidR="0082426D">
          <w:rPr>
            <w:noProof/>
            <w:webHidden/>
          </w:rPr>
          <w:fldChar w:fldCharType="end"/>
        </w:r>
      </w:hyperlink>
    </w:p>
    <w:p w14:paraId="000629A0" w14:textId="152A39AA" w:rsidR="0082426D" w:rsidRDefault="00A12599">
      <w:pPr>
        <w:pStyle w:val="TOC2"/>
        <w:rPr>
          <w:rFonts w:asciiTheme="minorHAnsi" w:eastAsiaTheme="minorEastAsia" w:hAnsiTheme="minorHAnsi" w:cstheme="minorBidi"/>
          <w:noProof/>
          <w:kern w:val="2"/>
          <w14:ligatures w14:val="standardContextual"/>
        </w:rPr>
      </w:pPr>
      <w:hyperlink w:anchor="_Toc159914032" w:history="1">
        <w:r w:rsidR="0082426D" w:rsidRPr="00E44289">
          <w:rPr>
            <w:rStyle w:val="Hyperlink"/>
            <w:noProof/>
          </w:rPr>
          <w:t>Appendix 1.  Acronyms and Abbreviations</w:t>
        </w:r>
        <w:r w:rsidR="0082426D">
          <w:rPr>
            <w:noProof/>
            <w:webHidden/>
          </w:rPr>
          <w:tab/>
        </w:r>
        <w:r w:rsidR="0082426D">
          <w:rPr>
            <w:noProof/>
            <w:webHidden/>
          </w:rPr>
          <w:fldChar w:fldCharType="begin"/>
        </w:r>
        <w:r w:rsidR="0082426D">
          <w:rPr>
            <w:noProof/>
            <w:webHidden/>
          </w:rPr>
          <w:instrText xml:space="preserve"> PAGEREF _Toc159914032 \h </w:instrText>
        </w:r>
        <w:r w:rsidR="0082426D">
          <w:rPr>
            <w:noProof/>
            <w:webHidden/>
          </w:rPr>
        </w:r>
        <w:r w:rsidR="0082426D">
          <w:rPr>
            <w:noProof/>
            <w:webHidden/>
          </w:rPr>
          <w:fldChar w:fldCharType="separate"/>
        </w:r>
        <w:r w:rsidR="0082426D">
          <w:rPr>
            <w:noProof/>
            <w:webHidden/>
          </w:rPr>
          <w:t>28</w:t>
        </w:r>
        <w:r w:rsidR="0082426D">
          <w:rPr>
            <w:noProof/>
            <w:webHidden/>
          </w:rPr>
          <w:fldChar w:fldCharType="end"/>
        </w:r>
      </w:hyperlink>
    </w:p>
    <w:p w14:paraId="07778D0F" w14:textId="3A828212" w:rsidR="0082426D" w:rsidRDefault="00A12599">
      <w:pPr>
        <w:pStyle w:val="TOC2"/>
        <w:rPr>
          <w:rFonts w:asciiTheme="minorHAnsi" w:eastAsiaTheme="minorEastAsia" w:hAnsiTheme="minorHAnsi" w:cstheme="minorBidi"/>
          <w:noProof/>
          <w:kern w:val="2"/>
          <w14:ligatures w14:val="standardContextual"/>
        </w:rPr>
      </w:pPr>
      <w:hyperlink w:anchor="_Toc159914033" w:history="1">
        <w:r w:rsidR="0082426D" w:rsidRPr="00E44289">
          <w:rPr>
            <w:rStyle w:val="Hyperlink"/>
            <w:bCs/>
            <w:noProof/>
          </w:rPr>
          <w:t>Appendix 2.  Schedule of Compliance</w:t>
        </w:r>
        <w:r w:rsidR="0082426D">
          <w:rPr>
            <w:noProof/>
            <w:webHidden/>
          </w:rPr>
          <w:tab/>
        </w:r>
        <w:r w:rsidR="0082426D">
          <w:rPr>
            <w:noProof/>
            <w:webHidden/>
          </w:rPr>
          <w:fldChar w:fldCharType="begin"/>
        </w:r>
        <w:r w:rsidR="0082426D">
          <w:rPr>
            <w:noProof/>
            <w:webHidden/>
          </w:rPr>
          <w:instrText xml:space="preserve"> PAGEREF _Toc159914033 \h </w:instrText>
        </w:r>
        <w:r w:rsidR="0082426D">
          <w:rPr>
            <w:noProof/>
            <w:webHidden/>
          </w:rPr>
        </w:r>
        <w:r w:rsidR="0082426D">
          <w:rPr>
            <w:noProof/>
            <w:webHidden/>
          </w:rPr>
          <w:fldChar w:fldCharType="separate"/>
        </w:r>
        <w:r w:rsidR="0082426D">
          <w:rPr>
            <w:noProof/>
            <w:webHidden/>
          </w:rPr>
          <w:t>29</w:t>
        </w:r>
        <w:r w:rsidR="0082426D">
          <w:rPr>
            <w:noProof/>
            <w:webHidden/>
          </w:rPr>
          <w:fldChar w:fldCharType="end"/>
        </w:r>
      </w:hyperlink>
    </w:p>
    <w:p w14:paraId="106B3931" w14:textId="635C3B28" w:rsidR="0082426D" w:rsidRDefault="00A12599">
      <w:pPr>
        <w:pStyle w:val="TOC2"/>
        <w:rPr>
          <w:rFonts w:asciiTheme="minorHAnsi" w:eastAsiaTheme="minorEastAsia" w:hAnsiTheme="minorHAnsi" w:cstheme="minorBidi"/>
          <w:noProof/>
          <w:kern w:val="2"/>
          <w14:ligatures w14:val="standardContextual"/>
        </w:rPr>
      </w:pPr>
      <w:hyperlink w:anchor="_Toc159914034" w:history="1">
        <w:r w:rsidR="0082426D" w:rsidRPr="00E44289">
          <w:rPr>
            <w:rStyle w:val="Hyperlink"/>
            <w:noProof/>
          </w:rPr>
          <w:t>Appendix 3.  Monitoring Requirements</w:t>
        </w:r>
        <w:r w:rsidR="0082426D">
          <w:rPr>
            <w:noProof/>
            <w:webHidden/>
          </w:rPr>
          <w:tab/>
        </w:r>
        <w:r w:rsidR="0082426D">
          <w:rPr>
            <w:noProof/>
            <w:webHidden/>
          </w:rPr>
          <w:fldChar w:fldCharType="begin"/>
        </w:r>
        <w:r w:rsidR="0082426D">
          <w:rPr>
            <w:noProof/>
            <w:webHidden/>
          </w:rPr>
          <w:instrText xml:space="preserve"> PAGEREF _Toc159914034 \h </w:instrText>
        </w:r>
        <w:r w:rsidR="0082426D">
          <w:rPr>
            <w:noProof/>
            <w:webHidden/>
          </w:rPr>
        </w:r>
        <w:r w:rsidR="0082426D">
          <w:rPr>
            <w:noProof/>
            <w:webHidden/>
          </w:rPr>
          <w:fldChar w:fldCharType="separate"/>
        </w:r>
        <w:r w:rsidR="0082426D">
          <w:rPr>
            <w:noProof/>
            <w:webHidden/>
          </w:rPr>
          <w:t>29</w:t>
        </w:r>
        <w:r w:rsidR="0082426D">
          <w:rPr>
            <w:noProof/>
            <w:webHidden/>
          </w:rPr>
          <w:fldChar w:fldCharType="end"/>
        </w:r>
      </w:hyperlink>
    </w:p>
    <w:p w14:paraId="7C7DCB88" w14:textId="6E56F00E" w:rsidR="0082426D" w:rsidRDefault="00A12599">
      <w:pPr>
        <w:pStyle w:val="TOC2"/>
        <w:rPr>
          <w:rFonts w:asciiTheme="minorHAnsi" w:eastAsiaTheme="minorEastAsia" w:hAnsiTheme="minorHAnsi" w:cstheme="minorBidi"/>
          <w:noProof/>
          <w:kern w:val="2"/>
          <w14:ligatures w14:val="standardContextual"/>
        </w:rPr>
      </w:pPr>
      <w:hyperlink w:anchor="_Toc159914035" w:history="1">
        <w:r w:rsidR="0082426D" w:rsidRPr="00E44289">
          <w:rPr>
            <w:rStyle w:val="Hyperlink"/>
            <w:noProof/>
          </w:rPr>
          <w:t>Appendix 4.  Recordkeeping</w:t>
        </w:r>
        <w:r w:rsidR="0082426D">
          <w:rPr>
            <w:noProof/>
            <w:webHidden/>
          </w:rPr>
          <w:tab/>
        </w:r>
        <w:r w:rsidR="0082426D">
          <w:rPr>
            <w:noProof/>
            <w:webHidden/>
          </w:rPr>
          <w:fldChar w:fldCharType="begin"/>
        </w:r>
        <w:r w:rsidR="0082426D">
          <w:rPr>
            <w:noProof/>
            <w:webHidden/>
          </w:rPr>
          <w:instrText xml:space="preserve"> PAGEREF _Toc159914035 \h </w:instrText>
        </w:r>
        <w:r w:rsidR="0082426D">
          <w:rPr>
            <w:noProof/>
            <w:webHidden/>
          </w:rPr>
        </w:r>
        <w:r w:rsidR="0082426D">
          <w:rPr>
            <w:noProof/>
            <w:webHidden/>
          </w:rPr>
          <w:fldChar w:fldCharType="separate"/>
        </w:r>
        <w:r w:rsidR="0082426D">
          <w:rPr>
            <w:noProof/>
            <w:webHidden/>
          </w:rPr>
          <w:t>29</w:t>
        </w:r>
        <w:r w:rsidR="0082426D">
          <w:rPr>
            <w:noProof/>
            <w:webHidden/>
          </w:rPr>
          <w:fldChar w:fldCharType="end"/>
        </w:r>
      </w:hyperlink>
    </w:p>
    <w:p w14:paraId="00F61A0A" w14:textId="05D06DAF" w:rsidR="0082426D" w:rsidRDefault="00A12599">
      <w:pPr>
        <w:pStyle w:val="TOC2"/>
        <w:rPr>
          <w:rFonts w:asciiTheme="minorHAnsi" w:eastAsiaTheme="minorEastAsia" w:hAnsiTheme="minorHAnsi" w:cstheme="minorBidi"/>
          <w:noProof/>
          <w:kern w:val="2"/>
          <w14:ligatures w14:val="standardContextual"/>
        </w:rPr>
      </w:pPr>
      <w:hyperlink w:anchor="_Toc159914036" w:history="1">
        <w:r w:rsidR="0082426D" w:rsidRPr="00E44289">
          <w:rPr>
            <w:rStyle w:val="Hyperlink"/>
            <w:noProof/>
          </w:rPr>
          <w:t>Appendix 5.  Testing Procedures</w:t>
        </w:r>
        <w:r w:rsidR="0082426D">
          <w:rPr>
            <w:noProof/>
            <w:webHidden/>
          </w:rPr>
          <w:tab/>
        </w:r>
        <w:r w:rsidR="0082426D">
          <w:rPr>
            <w:noProof/>
            <w:webHidden/>
          </w:rPr>
          <w:fldChar w:fldCharType="begin"/>
        </w:r>
        <w:r w:rsidR="0082426D">
          <w:rPr>
            <w:noProof/>
            <w:webHidden/>
          </w:rPr>
          <w:instrText xml:space="preserve"> PAGEREF _Toc159914036 \h </w:instrText>
        </w:r>
        <w:r w:rsidR="0082426D">
          <w:rPr>
            <w:noProof/>
            <w:webHidden/>
          </w:rPr>
        </w:r>
        <w:r w:rsidR="0082426D">
          <w:rPr>
            <w:noProof/>
            <w:webHidden/>
          </w:rPr>
          <w:fldChar w:fldCharType="separate"/>
        </w:r>
        <w:r w:rsidR="0082426D">
          <w:rPr>
            <w:noProof/>
            <w:webHidden/>
          </w:rPr>
          <w:t>29</w:t>
        </w:r>
        <w:r w:rsidR="0082426D">
          <w:rPr>
            <w:noProof/>
            <w:webHidden/>
          </w:rPr>
          <w:fldChar w:fldCharType="end"/>
        </w:r>
      </w:hyperlink>
    </w:p>
    <w:p w14:paraId="7C5195D2" w14:textId="743E0446" w:rsidR="0082426D" w:rsidRDefault="00A12599">
      <w:pPr>
        <w:pStyle w:val="TOC2"/>
        <w:rPr>
          <w:rFonts w:asciiTheme="minorHAnsi" w:eastAsiaTheme="minorEastAsia" w:hAnsiTheme="minorHAnsi" w:cstheme="minorBidi"/>
          <w:noProof/>
          <w:kern w:val="2"/>
          <w14:ligatures w14:val="standardContextual"/>
        </w:rPr>
      </w:pPr>
      <w:hyperlink w:anchor="_Toc159914037" w:history="1">
        <w:r w:rsidR="0082426D" w:rsidRPr="00E44289">
          <w:rPr>
            <w:rStyle w:val="Hyperlink"/>
            <w:noProof/>
          </w:rPr>
          <w:t>Appendix 6.  Permits to Install</w:t>
        </w:r>
        <w:r w:rsidR="0082426D">
          <w:rPr>
            <w:noProof/>
            <w:webHidden/>
          </w:rPr>
          <w:tab/>
        </w:r>
        <w:r w:rsidR="0082426D">
          <w:rPr>
            <w:noProof/>
            <w:webHidden/>
          </w:rPr>
          <w:fldChar w:fldCharType="begin"/>
        </w:r>
        <w:r w:rsidR="0082426D">
          <w:rPr>
            <w:noProof/>
            <w:webHidden/>
          </w:rPr>
          <w:instrText xml:space="preserve"> PAGEREF _Toc159914037 \h </w:instrText>
        </w:r>
        <w:r w:rsidR="0082426D">
          <w:rPr>
            <w:noProof/>
            <w:webHidden/>
          </w:rPr>
        </w:r>
        <w:r w:rsidR="0082426D">
          <w:rPr>
            <w:noProof/>
            <w:webHidden/>
          </w:rPr>
          <w:fldChar w:fldCharType="separate"/>
        </w:r>
        <w:r w:rsidR="0082426D">
          <w:rPr>
            <w:noProof/>
            <w:webHidden/>
          </w:rPr>
          <w:t>31</w:t>
        </w:r>
        <w:r w:rsidR="0082426D">
          <w:rPr>
            <w:noProof/>
            <w:webHidden/>
          </w:rPr>
          <w:fldChar w:fldCharType="end"/>
        </w:r>
      </w:hyperlink>
    </w:p>
    <w:p w14:paraId="60ED8F3A" w14:textId="4B8148F6" w:rsidR="0082426D" w:rsidRDefault="00A12599">
      <w:pPr>
        <w:pStyle w:val="TOC2"/>
        <w:rPr>
          <w:rFonts w:asciiTheme="minorHAnsi" w:eastAsiaTheme="minorEastAsia" w:hAnsiTheme="minorHAnsi" w:cstheme="minorBidi"/>
          <w:noProof/>
          <w:kern w:val="2"/>
          <w14:ligatures w14:val="standardContextual"/>
        </w:rPr>
      </w:pPr>
      <w:hyperlink w:anchor="_Toc159914038" w:history="1">
        <w:r w:rsidR="0082426D" w:rsidRPr="00E44289">
          <w:rPr>
            <w:rStyle w:val="Hyperlink"/>
            <w:noProof/>
          </w:rPr>
          <w:t>Appendix 7.  Emission Calculations</w:t>
        </w:r>
        <w:r w:rsidR="0082426D">
          <w:rPr>
            <w:noProof/>
            <w:webHidden/>
          </w:rPr>
          <w:tab/>
        </w:r>
        <w:r w:rsidR="0082426D">
          <w:rPr>
            <w:noProof/>
            <w:webHidden/>
          </w:rPr>
          <w:fldChar w:fldCharType="begin"/>
        </w:r>
        <w:r w:rsidR="0082426D">
          <w:rPr>
            <w:noProof/>
            <w:webHidden/>
          </w:rPr>
          <w:instrText xml:space="preserve"> PAGEREF _Toc159914038 \h </w:instrText>
        </w:r>
        <w:r w:rsidR="0082426D">
          <w:rPr>
            <w:noProof/>
            <w:webHidden/>
          </w:rPr>
        </w:r>
        <w:r w:rsidR="0082426D">
          <w:rPr>
            <w:noProof/>
            <w:webHidden/>
          </w:rPr>
          <w:fldChar w:fldCharType="separate"/>
        </w:r>
        <w:r w:rsidR="0082426D">
          <w:rPr>
            <w:noProof/>
            <w:webHidden/>
          </w:rPr>
          <w:t>31</w:t>
        </w:r>
        <w:r w:rsidR="0082426D">
          <w:rPr>
            <w:noProof/>
            <w:webHidden/>
          </w:rPr>
          <w:fldChar w:fldCharType="end"/>
        </w:r>
      </w:hyperlink>
    </w:p>
    <w:p w14:paraId="149C85B4" w14:textId="2EBBB6AC" w:rsidR="0082426D" w:rsidRDefault="00A12599">
      <w:pPr>
        <w:pStyle w:val="TOC2"/>
        <w:rPr>
          <w:rFonts w:asciiTheme="minorHAnsi" w:eastAsiaTheme="minorEastAsia" w:hAnsiTheme="minorHAnsi" w:cstheme="minorBidi"/>
          <w:noProof/>
          <w:kern w:val="2"/>
          <w14:ligatures w14:val="standardContextual"/>
        </w:rPr>
      </w:pPr>
      <w:hyperlink w:anchor="_Toc159914039" w:history="1">
        <w:r w:rsidR="0082426D" w:rsidRPr="00E44289">
          <w:rPr>
            <w:rStyle w:val="Hyperlink"/>
            <w:noProof/>
          </w:rPr>
          <w:t>Appendix 8.  Reporting</w:t>
        </w:r>
        <w:r w:rsidR="0082426D">
          <w:rPr>
            <w:noProof/>
            <w:webHidden/>
          </w:rPr>
          <w:tab/>
        </w:r>
        <w:r w:rsidR="0082426D">
          <w:rPr>
            <w:noProof/>
            <w:webHidden/>
          </w:rPr>
          <w:fldChar w:fldCharType="begin"/>
        </w:r>
        <w:r w:rsidR="0082426D">
          <w:rPr>
            <w:noProof/>
            <w:webHidden/>
          </w:rPr>
          <w:instrText xml:space="preserve"> PAGEREF _Toc159914039 \h </w:instrText>
        </w:r>
        <w:r w:rsidR="0082426D">
          <w:rPr>
            <w:noProof/>
            <w:webHidden/>
          </w:rPr>
        </w:r>
        <w:r w:rsidR="0082426D">
          <w:rPr>
            <w:noProof/>
            <w:webHidden/>
          </w:rPr>
          <w:fldChar w:fldCharType="separate"/>
        </w:r>
        <w:r w:rsidR="0082426D">
          <w:rPr>
            <w:noProof/>
            <w:webHidden/>
          </w:rPr>
          <w:t>36</w:t>
        </w:r>
        <w:r w:rsidR="0082426D">
          <w:rPr>
            <w:noProof/>
            <w:webHidden/>
          </w:rPr>
          <w:fldChar w:fldCharType="end"/>
        </w:r>
      </w:hyperlink>
    </w:p>
    <w:p w14:paraId="4ED49CAC" w14:textId="53C217DE" w:rsidR="00AB2375" w:rsidRPr="006A1190" w:rsidRDefault="0053776A" w:rsidP="002F4C64">
      <w:pPr>
        <w:rPr>
          <w:szCs w:val="22"/>
        </w:rPr>
      </w:pPr>
      <w:r>
        <w:rPr>
          <w:b/>
          <w:szCs w:val="22"/>
        </w:rPr>
        <w:fldChar w:fldCharType="end"/>
      </w:r>
    </w:p>
    <w:p w14:paraId="4D8B4A73" w14:textId="77777777" w:rsidR="00FA25C4" w:rsidRDefault="00C2618F" w:rsidP="00445C28">
      <w:r>
        <w:br w:type="page"/>
      </w:r>
      <w:bookmarkStart w:id="11" w:name="_Toc1453501"/>
    </w:p>
    <w:p w14:paraId="73B4010E" w14:textId="77777777" w:rsidR="00C2618F" w:rsidRPr="00961169" w:rsidRDefault="00C2618F" w:rsidP="00CE44D8">
      <w:pPr>
        <w:pStyle w:val="Heading1"/>
      </w:pPr>
      <w:bookmarkStart w:id="12" w:name="_Toc159914004"/>
      <w:r w:rsidRPr="00961169">
        <w:lastRenderedPageBreak/>
        <w:t>A</w:t>
      </w:r>
      <w:r>
        <w:t>UTHORITY AND ENFORCEABILITY</w:t>
      </w:r>
      <w:bookmarkEnd w:id="11"/>
      <w:bookmarkEnd w:id="12"/>
    </w:p>
    <w:p w14:paraId="5B9969C6" w14:textId="77777777" w:rsidR="00FA25C4" w:rsidRDefault="00FA25C4" w:rsidP="00C2618F">
      <w:pPr>
        <w:jc w:val="both"/>
        <w:rPr>
          <w:szCs w:val="22"/>
        </w:rPr>
      </w:pPr>
    </w:p>
    <w:p w14:paraId="277BBC27" w14:textId="77777777" w:rsidR="007718C6" w:rsidRDefault="007718C6" w:rsidP="00C2618F">
      <w:pPr>
        <w:jc w:val="both"/>
        <w:rPr>
          <w:szCs w:val="22"/>
        </w:rPr>
      </w:pPr>
    </w:p>
    <w:p w14:paraId="50EDFB3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4CC092F" w14:textId="77777777" w:rsidR="00C2618F" w:rsidRPr="006A1190" w:rsidRDefault="00C2618F" w:rsidP="00C2618F">
      <w:pPr>
        <w:jc w:val="both"/>
        <w:rPr>
          <w:szCs w:val="22"/>
        </w:rPr>
      </w:pPr>
    </w:p>
    <w:p w14:paraId="3289287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2E32A23" w14:textId="77777777" w:rsidR="00C2618F" w:rsidRDefault="00C2618F" w:rsidP="00C2618F">
      <w:pPr>
        <w:jc w:val="both"/>
        <w:rPr>
          <w:szCs w:val="22"/>
        </w:rPr>
      </w:pPr>
    </w:p>
    <w:p w14:paraId="6FD45BA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0CDE951" w14:textId="77777777" w:rsidR="00C2618F" w:rsidRDefault="00C2618F" w:rsidP="00C2618F">
      <w:pPr>
        <w:jc w:val="both"/>
        <w:rPr>
          <w:szCs w:val="22"/>
        </w:rPr>
      </w:pPr>
    </w:p>
    <w:p w14:paraId="367CB0CD"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8978349" w14:textId="77777777" w:rsidR="00C2618F" w:rsidRDefault="00C2618F" w:rsidP="00C2618F">
      <w:pPr>
        <w:jc w:val="both"/>
        <w:rPr>
          <w:rFonts w:cs="Arial"/>
          <w:szCs w:val="22"/>
        </w:rPr>
      </w:pPr>
    </w:p>
    <w:p w14:paraId="1794670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3424E44" w14:textId="77777777" w:rsidR="00C2618F" w:rsidRPr="006A1190" w:rsidRDefault="00C2618F" w:rsidP="00C2618F">
      <w:pPr>
        <w:jc w:val="both"/>
        <w:rPr>
          <w:rFonts w:cs="Arial"/>
          <w:szCs w:val="22"/>
        </w:rPr>
      </w:pPr>
    </w:p>
    <w:p w14:paraId="11C159CD" w14:textId="77777777" w:rsidR="00C2618F" w:rsidRPr="006A1190" w:rsidRDefault="00C2618F" w:rsidP="00C2618F">
      <w:pPr>
        <w:rPr>
          <w:szCs w:val="22"/>
        </w:rPr>
      </w:pPr>
    </w:p>
    <w:p w14:paraId="419ED1CF" w14:textId="77777777" w:rsidR="002B2132" w:rsidRDefault="002B2132" w:rsidP="00C2618F">
      <w:pPr>
        <w:rPr>
          <w:szCs w:val="22"/>
        </w:rPr>
      </w:pPr>
    </w:p>
    <w:p w14:paraId="04E3BEDB" w14:textId="77777777" w:rsidR="0081525C" w:rsidRDefault="002B2132" w:rsidP="0081525C">
      <w:bookmarkStart w:id="13" w:name="_Toc1453503"/>
      <w:r>
        <w:br w:type="page"/>
      </w:r>
    </w:p>
    <w:p w14:paraId="301D8411" w14:textId="77777777" w:rsidR="005420E5" w:rsidRDefault="005E5399" w:rsidP="00CE44D8">
      <w:pPr>
        <w:pStyle w:val="Heading1"/>
      </w:pPr>
      <w:bookmarkStart w:id="14" w:name="_Toc159914005"/>
      <w:r>
        <w:lastRenderedPageBreak/>
        <w:t xml:space="preserve">A.  GENERAL </w:t>
      </w:r>
      <w:bookmarkEnd w:id="13"/>
      <w:r w:rsidR="00E9713D">
        <w:t>CONDITIONS</w:t>
      </w:r>
      <w:bookmarkEnd w:id="14"/>
    </w:p>
    <w:p w14:paraId="776055F7" w14:textId="77777777" w:rsidR="00E9713D" w:rsidRPr="00E9713D" w:rsidRDefault="00E9713D" w:rsidP="00E9713D"/>
    <w:p w14:paraId="45CEE41C"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59914006"/>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D11D7EC" w14:textId="77777777" w:rsidR="00D160DB" w:rsidRPr="00DF6609" w:rsidRDefault="00D160DB" w:rsidP="00D160DB">
      <w:pPr>
        <w:jc w:val="both"/>
        <w:rPr>
          <w:rFonts w:cs="Arial"/>
          <w:sz w:val="20"/>
        </w:rPr>
      </w:pPr>
    </w:p>
    <w:p w14:paraId="209532B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6C7FA0A" w14:textId="77777777" w:rsidR="00A018D7" w:rsidRPr="00F21983" w:rsidRDefault="00A018D7" w:rsidP="00854153">
      <w:pPr>
        <w:jc w:val="both"/>
        <w:rPr>
          <w:rFonts w:cs="Arial"/>
          <w:sz w:val="20"/>
        </w:rPr>
      </w:pPr>
    </w:p>
    <w:p w14:paraId="10D01DC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B128A4C" w14:textId="77777777" w:rsidR="00F6033B" w:rsidRDefault="00F6033B" w:rsidP="0012743F">
      <w:pPr>
        <w:pStyle w:val="ListParagraph"/>
        <w:ind w:left="0"/>
        <w:rPr>
          <w:rFonts w:cs="Arial"/>
          <w:sz w:val="20"/>
        </w:rPr>
      </w:pPr>
    </w:p>
    <w:p w14:paraId="315051E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16247DB"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59914007"/>
      <w:r w:rsidRPr="0075518C">
        <w:rPr>
          <w:sz w:val="22"/>
          <w:szCs w:val="22"/>
        </w:rPr>
        <w:t xml:space="preserve">General </w:t>
      </w:r>
      <w:bookmarkEnd w:id="35"/>
      <w:bookmarkEnd w:id="36"/>
      <w:r w:rsidR="00E9713D" w:rsidRPr="0075518C">
        <w:rPr>
          <w:sz w:val="22"/>
          <w:szCs w:val="22"/>
        </w:rPr>
        <w:t>Provisions</w:t>
      </w:r>
      <w:bookmarkEnd w:id="37"/>
    </w:p>
    <w:p w14:paraId="626B86F4" w14:textId="77777777" w:rsidR="00AB10F1" w:rsidRPr="00DF6609" w:rsidRDefault="00AB10F1" w:rsidP="00AB10F1">
      <w:pPr>
        <w:jc w:val="both"/>
        <w:rPr>
          <w:rFonts w:cs="Arial"/>
          <w:sz w:val="20"/>
        </w:rPr>
      </w:pPr>
    </w:p>
    <w:p w14:paraId="52253C2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9813ACB" w14:textId="77777777" w:rsidR="00AB10F1" w:rsidRPr="00F21983" w:rsidRDefault="00AB10F1" w:rsidP="00AB10F1">
      <w:pPr>
        <w:jc w:val="both"/>
        <w:rPr>
          <w:rFonts w:cs="Arial"/>
          <w:sz w:val="20"/>
        </w:rPr>
      </w:pPr>
    </w:p>
    <w:p w14:paraId="6DB9786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F4CEE97" w14:textId="77777777" w:rsidR="00AB10F1" w:rsidRPr="00F21983" w:rsidRDefault="00AB10F1" w:rsidP="00AB10F1">
      <w:pPr>
        <w:jc w:val="both"/>
        <w:rPr>
          <w:rFonts w:cs="Arial"/>
          <w:sz w:val="20"/>
        </w:rPr>
      </w:pPr>
    </w:p>
    <w:p w14:paraId="456A1BB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2B5A42E" w14:textId="77777777" w:rsidR="008D6E4D" w:rsidRPr="00F21983" w:rsidRDefault="008D6E4D" w:rsidP="00AB10F1">
      <w:pPr>
        <w:jc w:val="both"/>
        <w:rPr>
          <w:rFonts w:cs="Arial"/>
          <w:sz w:val="20"/>
        </w:rPr>
      </w:pPr>
    </w:p>
    <w:p w14:paraId="5D683FB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3623D5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AD8A40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4195D7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C23454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02533E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E44AB2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B663A7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BDE2F3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5C6232E" w14:textId="77777777" w:rsidR="008D6E4D" w:rsidRPr="00F21983" w:rsidRDefault="008D6E4D" w:rsidP="00AB10F1">
      <w:pPr>
        <w:jc w:val="both"/>
        <w:rPr>
          <w:rFonts w:cs="Arial"/>
          <w:sz w:val="20"/>
        </w:rPr>
      </w:pPr>
    </w:p>
    <w:p w14:paraId="0D40592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8A904E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72E2D06" w14:textId="77777777" w:rsidR="00DA6C16" w:rsidRPr="00F21983" w:rsidRDefault="00DA6C16" w:rsidP="00DA6C16">
      <w:pPr>
        <w:jc w:val="both"/>
        <w:rPr>
          <w:rFonts w:cs="Arial"/>
          <w:sz w:val="20"/>
        </w:rPr>
      </w:pPr>
    </w:p>
    <w:p w14:paraId="1181F2A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146E8B4" w14:textId="77777777" w:rsidR="008D6E4D" w:rsidRPr="00F21983" w:rsidRDefault="008D6E4D" w:rsidP="00AB10F1">
      <w:pPr>
        <w:jc w:val="both"/>
        <w:rPr>
          <w:rFonts w:cs="Arial"/>
          <w:sz w:val="20"/>
        </w:rPr>
      </w:pPr>
    </w:p>
    <w:p w14:paraId="585A1AC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3C238E2" w14:textId="77777777" w:rsidR="00DC22AE" w:rsidRPr="00F21983" w:rsidRDefault="00DC22AE" w:rsidP="00AB10F1">
      <w:pPr>
        <w:jc w:val="both"/>
        <w:rPr>
          <w:rFonts w:cs="Arial"/>
          <w:sz w:val="20"/>
        </w:rPr>
      </w:pPr>
    </w:p>
    <w:p w14:paraId="1D0D01DB"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59914008"/>
      <w:r w:rsidRPr="0075518C">
        <w:rPr>
          <w:sz w:val="22"/>
          <w:szCs w:val="22"/>
        </w:rPr>
        <w:t>Equipment &amp; Design</w:t>
      </w:r>
      <w:bookmarkEnd w:id="38"/>
    </w:p>
    <w:p w14:paraId="170CFA8A" w14:textId="77777777" w:rsidR="00A675AC" w:rsidRPr="00DF6609" w:rsidRDefault="00A675AC" w:rsidP="00AB10F1">
      <w:pPr>
        <w:jc w:val="both"/>
        <w:rPr>
          <w:rFonts w:cs="Arial"/>
          <w:sz w:val="20"/>
        </w:rPr>
      </w:pPr>
    </w:p>
    <w:p w14:paraId="67F43AA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F7AED30" w14:textId="77777777" w:rsidR="00DC22AE" w:rsidRPr="00F21983" w:rsidRDefault="00DC22AE" w:rsidP="00AB10F1">
      <w:pPr>
        <w:jc w:val="both"/>
        <w:rPr>
          <w:rFonts w:cs="Arial"/>
          <w:sz w:val="20"/>
        </w:rPr>
      </w:pPr>
    </w:p>
    <w:p w14:paraId="49EA201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5DD90B5" w14:textId="77777777" w:rsidR="00DC22AE" w:rsidRPr="00F21983" w:rsidRDefault="00DC22AE" w:rsidP="00AB10F1">
      <w:pPr>
        <w:jc w:val="both"/>
        <w:rPr>
          <w:rFonts w:cs="Arial"/>
          <w:sz w:val="20"/>
        </w:rPr>
      </w:pPr>
    </w:p>
    <w:p w14:paraId="100549BF"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59914009"/>
      <w:r w:rsidRPr="0075518C">
        <w:rPr>
          <w:sz w:val="22"/>
          <w:szCs w:val="22"/>
        </w:rPr>
        <w:t>Emission Limits</w:t>
      </w:r>
      <w:bookmarkEnd w:id="39"/>
    </w:p>
    <w:p w14:paraId="35EADDA2" w14:textId="77777777" w:rsidR="002E3875" w:rsidRPr="00F21983" w:rsidRDefault="002E3875" w:rsidP="00AB10F1">
      <w:pPr>
        <w:jc w:val="both"/>
        <w:rPr>
          <w:rFonts w:cs="Arial"/>
          <w:sz w:val="20"/>
        </w:rPr>
      </w:pPr>
    </w:p>
    <w:p w14:paraId="0E45610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6A70BFA"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1833A8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2693C89" w14:textId="77777777" w:rsidR="007E32BB" w:rsidRDefault="007E32BB" w:rsidP="0012743F">
      <w:pPr>
        <w:jc w:val="both"/>
        <w:rPr>
          <w:rFonts w:cs="Arial"/>
          <w:sz w:val="20"/>
        </w:rPr>
      </w:pPr>
    </w:p>
    <w:p w14:paraId="5A44386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63478BA" w14:textId="77777777" w:rsidR="00FB53C0" w:rsidRPr="00F21983" w:rsidRDefault="00FB53C0" w:rsidP="00AB10F1">
      <w:pPr>
        <w:jc w:val="both"/>
        <w:rPr>
          <w:rFonts w:cs="Arial"/>
          <w:sz w:val="20"/>
        </w:rPr>
      </w:pPr>
    </w:p>
    <w:p w14:paraId="2608189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FA51CD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C50743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58660F4" w14:textId="77777777" w:rsidR="00105176" w:rsidRDefault="00105176" w:rsidP="0012743F">
      <w:pPr>
        <w:jc w:val="both"/>
        <w:rPr>
          <w:rFonts w:cs="Arial"/>
          <w:sz w:val="20"/>
        </w:rPr>
      </w:pPr>
    </w:p>
    <w:p w14:paraId="1F4252B9"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59914010"/>
      <w:r w:rsidRPr="0075518C">
        <w:rPr>
          <w:sz w:val="22"/>
          <w:szCs w:val="22"/>
        </w:rPr>
        <w:t>Testing/Sampling</w:t>
      </w:r>
      <w:bookmarkEnd w:id="40"/>
    </w:p>
    <w:p w14:paraId="4E6C5421" w14:textId="77777777" w:rsidR="00FB53C0" w:rsidRPr="00F21983" w:rsidRDefault="00FB53C0" w:rsidP="00AB10F1">
      <w:pPr>
        <w:jc w:val="both"/>
        <w:rPr>
          <w:rFonts w:cs="Arial"/>
          <w:sz w:val="20"/>
        </w:rPr>
      </w:pPr>
    </w:p>
    <w:p w14:paraId="2CE4566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ED43E4E" w14:textId="77777777" w:rsidR="00ED74CC" w:rsidRPr="00F21983" w:rsidRDefault="00ED74CC" w:rsidP="00AB10F1">
      <w:pPr>
        <w:jc w:val="both"/>
        <w:rPr>
          <w:rFonts w:cs="Arial"/>
          <w:sz w:val="20"/>
        </w:rPr>
      </w:pPr>
    </w:p>
    <w:p w14:paraId="3F6724B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2F7FC95" w14:textId="77777777" w:rsidR="00ED74CC" w:rsidRPr="00F21983" w:rsidRDefault="00ED74CC" w:rsidP="00BA5CC0">
      <w:pPr>
        <w:jc w:val="both"/>
        <w:rPr>
          <w:rFonts w:cs="Arial"/>
          <w:sz w:val="20"/>
        </w:rPr>
      </w:pPr>
    </w:p>
    <w:p w14:paraId="2EA1CF4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0988C1D" w14:textId="77777777" w:rsidR="00D41714" w:rsidRDefault="00774B98" w:rsidP="00ED74CC">
      <w:pPr>
        <w:jc w:val="both"/>
        <w:rPr>
          <w:rFonts w:cs="Arial"/>
          <w:sz w:val="20"/>
        </w:rPr>
      </w:pPr>
      <w:r>
        <w:rPr>
          <w:rFonts w:cs="Arial"/>
          <w:sz w:val="20"/>
        </w:rPr>
        <w:br w:type="page"/>
      </w:r>
    </w:p>
    <w:p w14:paraId="47440169"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59914011"/>
      <w:r w:rsidRPr="0075518C">
        <w:rPr>
          <w:sz w:val="22"/>
          <w:szCs w:val="22"/>
        </w:rPr>
        <w:lastRenderedPageBreak/>
        <w:t>Monitoring/Recordkeeping</w:t>
      </w:r>
      <w:bookmarkEnd w:id="41"/>
    </w:p>
    <w:p w14:paraId="16F700EC" w14:textId="77777777" w:rsidR="00D41714" w:rsidRPr="00DF6609" w:rsidRDefault="00D41714" w:rsidP="00D41714">
      <w:pPr>
        <w:numPr>
          <w:ilvl w:val="12"/>
          <w:numId w:val="0"/>
        </w:numPr>
        <w:ind w:left="432" w:hanging="432"/>
        <w:jc w:val="both"/>
        <w:rPr>
          <w:rFonts w:cs="Arial"/>
          <w:sz w:val="20"/>
        </w:rPr>
      </w:pPr>
    </w:p>
    <w:p w14:paraId="1CEB272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044A5067"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1FB203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A108D1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80094E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95D1F9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49183C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D792B4D" w14:textId="77777777" w:rsidR="00B8547B" w:rsidRPr="00DF6609" w:rsidRDefault="00B8547B" w:rsidP="00D41714">
      <w:pPr>
        <w:numPr>
          <w:ilvl w:val="12"/>
          <w:numId w:val="0"/>
        </w:numPr>
        <w:ind w:left="432" w:hanging="432"/>
        <w:jc w:val="both"/>
        <w:rPr>
          <w:rFonts w:cs="Arial"/>
          <w:sz w:val="20"/>
        </w:rPr>
      </w:pPr>
    </w:p>
    <w:p w14:paraId="5C7F2A2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580D357" w14:textId="77777777" w:rsidR="006D2EFC" w:rsidRPr="00F21983" w:rsidRDefault="006D2EFC" w:rsidP="00D41714">
      <w:pPr>
        <w:numPr>
          <w:ilvl w:val="12"/>
          <w:numId w:val="0"/>
        </w:numPr>
        <w:ind w:left="432" w:hanging="432"/>
        <w:jc w:val="both"/>
        <w:rPr>
          <w:rFonts w:cs="Arial"/>
          <w:sz w:val="20"/>
        </w:rPr>
      </w:pPr>
    </w:p>
    <w:p w14:paraId="0A387ACA"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59914012"/>
      <w:r w:rsidRPr="0075518C">
        <w:rPr>
          <w:sz w:val="22"/>
          <w:szCs w:val="22"/>
        </w:rPr>
        <w:t>Certification</w:t>
      </w:r>
      <w:r w:rsidR="00A92A65" w:rsidRPr="0075518C">
        <w:rPr>
          <w:sz w:val="22"/>
          <w:szCs w:val="22"/>
        </w:rPr>
        <w:t xml:space="preserve"> &amp; Reporting</w:t>
      </w:r>
      <w:bookmarkEnd w:id="42"/>
    </w:p>
    <w:p w14:paraId="33CB441E" w14:textId="77777777" w:rsidR="006D2EFC" w:rsidRPr="00F21983" w:rsidRDefault="006D2EFC" w:rsidP="00D41714">
      <w:pPr>
        <w:numPr>
          <w:ilvl w:val="12"/>
          <w:numId w:val="0"/>
        </w:numPr>
        <w:ind w:left="432" w:hanging="432"/>
        <w:jc w:val="both"/>
        <w:rPr>
          <w:rFonts w:cs="Arial"/>
          <w:sz w:val="20"/>
        </w:rPr>
      </w:pPr>
    </w:p>
    <w:p w14:paraId="1800F73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8198572" w14:textId="77777777" w:rsidR="00C36162" w:rsidRPr="00F21983" w:rsidRDefault="00C36162" w:rsidP="00D41714">
      <w:pPr>
        <w:numPr>
          <w:ilvl w:val="12"/>
          <w:numId w:val="0"/>
        </w:numPr>
        <w:ind w:left="432" w:hanging="432"/>
        <w:jc w:val="both"/>
        <w:rPr>
          <w:rFonts w:cs="Arial"/>
          <w:sz w:val="20"/>
        </w:rPr>
      </w:pPr>
    </w:p>
    <w:p w14:paraId="18273EE7" w14:textId="77777777" w:rsidR="00013C82" w:rsidRPr="00013C82" w:rsidRDefault="00013C82" w:rsidP="00013C82">
      <w:pPr>
        <w:numPr>
          <w:ilvl w:val="0"/>
          <w:numId w:val="57"/>
        </w:numPr>
        <w:ind w:left="360"/>
        <w:jc w:val="both"/>
        <w:rPr>
          <w:rFonts w:cs="Arial"/>
          <w:b/>
          <w:bCs/>
          <w:sz w:val="20"/>
        </w:rPr>
      </w:pPr>
      <w:r w:rsidRPr="00013C82">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013C82">
        <w:rPr>
          <w:rFonts w:cs="Arial"/>
          <w:sz w:val="20"/>
        </w:rPr>
        <w:t>i</w:t>
      </w:r>
      <w:proofErr w:type="spellEnd"/>
      <w:r w:rsidRPr="00013C82">
        <w:rPr>
          <w:rFonts w:cs="Arial"/>
          <w:sz w:val="20"/>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013C82">
          <w:rPr>
            <w:rStyle w:val="Hyperlink"/>
            <w:rFonts w:cs="Arial"/>
            <w:sz w:val="20"/>
          </w:rPr>
          <w:t>https://cdx.epa.gov/</w:t>
        </w:r>
      </w:hyperlink>
      <w:r w:rsidRPr="00013C82">
        <w:rPr>
          <w:rFonts w:cs="Arial"/>
          <w:sz w:val="20"/>
        </w:rPr>
        <w:t xml:space="preserve">), unless it contains confidential business information then use the following address: USEPA, Air Compliance Data - Michigan, Air and Radiation Division, 77 West Jackson Boulevard, Chicago, Illinois 60604-3507. </w:t>
      </w:r>
      <w:r w:rsidRPr="00013C82">
        <w:rPr>
          <w:rFonts w:cs="Arial"/>
          <w:b/>
          <w:bCs/>
          <w:sz w:val="20"/>
        </w:rPr>
        <w:t>(R 336.1213(4)(c))</w:t>
      </w:r>
    </w:p>
    <w:p w14:paraId="495F393F" w14:textId="77777777" w:rsidR="00C36162" w:rsidRPr="00F21983" w:rsidRDefault="00C36162" w:rsidP="00C36162">
      <w:pPr>
        <w:numPr>
          <w:ilvl w:val="12"/>
          <w:numId w:val="0"/>
        </w:numPr>
        <w:ind w:left="432" w:hanging="432"/>
        <w:jc w:val="both"/>
        <w:rPr>
          <w:rFonts w:cs="Arial"/>
          <w:sz w:val="20"/>
        </w:rPr>
      </w:pPr>
    </w:p>
    <w:p w14:paraId="65240CD6" w14:textId="77777777" w:rsidR="00C36162" w:rsidRPr="00F21983" w:rsidRDefault="00C36162" w:rsidP="00013C82">
      <w:pPr>
        <w:numPr>
          <w:ilvl w:val="0"/>
          <w:numId w:val="58"/>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30D5D9C" w14:textId="77777777" w:rsidR="00C36162" w:rsidRPr="00F21983" w:rsidRDefault="00C36162" w:rsidP="00D41714">
      <w:pPr>
        <w:numPr>
          <w:ilvl w:val="12"/>
          <w:numId w:val="0"/>
        </w:numPr>
        <w:ind w:left="432" w:hanging="432"/>
        <w:jc w:val="both"/>
        <w:rPr>
          <w:rFonts w:cs="Arial"/>
          <w:sz w:val="20"/>
        </w:rPr>
      </w:pPr>
    </w:p>
    <w:p w14:paraId="22CD0AC8" w14:textId="77777777" w:rsidR="00545CF1" w:rsidRPr="00F21983" w:rsidRDefault="00545CF1" w:rsidP="00013C82">
      <w:pPr>
        <w:numPr>
          <w:ilvl w:val="0"/>
          <w:numId w:val="58"/>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F235DB8" w14:textId="77777777" w:rsidR="00545CF1" w:rsidRPr="00F21983" w:rsidRDefault="00545CF1" w:rsidP="00013C82">
      <w:pPr>
        <w:numPr>
          <w:ilvl w:val="1"/>
          <w:numId w:val="58"/>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ACF251F" w14:textId="77777777" w:rsidR="00545CF1" w:rsidRPr="00F21983" w:rsidRDefault="00545CF1" w:rsidP="00013C82">
      <w:pPr>
        <w:numPr>
          <w:ilvl w:val="1"/>
          <w:numId w:val="58"/>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7D008D3" w14:textId="77777777" w:rsidR="00545CF1" w:rsidRPr="00F21983" w:rsidRDefault="00545CF1" w:rsidP="00013C82">
      <w:pPr>
        <w:numPr>
          <w:ilvl w:val="1"/>
          <w:numId w:val="58"/>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2EF7C8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888A32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CE7E8C8"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7DA3AC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A0E3438" w14:textId="77777777" w:rsidR="00C36162" w:rsidRPr="00F21983" w:rsidRDefault="00C36162" w:rsidP="00D41714">
      <w:pPr>
        <w:numPr>
          <w:ilvl w:val="12"/>
          <w:numId w:val="0"/>
        </w:numPr>
        <w:ind w:left="432" w:hanging="432"/>
        <w:jc w:val="both"/>
        <w:rPr>
          <w:rFonts w:cs="Arial"/>
          <w:sz w:val="20"/>
        </w:rPr>
      </w:pPr>
    </w:p>
    <w:p w14:paraId="7DF6243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6D7D341" w14:textId="77777777" w:rsidR="00B4545F" w:rsidRPr="00F21983" w:rsidRDefault="00B4545F" w:rsidP="00BA5CC0">
      <w:pPr>
        <w:numPr>
          <w:ilvl w:val="12"/>
          <w:numId w:val="0"/>
        </w:numPr>
        <w:jc w:val="both"/>
        <w:rPr>
          <w:rFonts w:cs="Arial"/>
          <w:sz w:val="20"/>
        </w:rPr>
      </w:pPr>
    </w:p>
    <w:p w14:paraId="00D041E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07CF3DD" w14:textId="77777777" w:rsidR="00A92A65" w:rsidRPr="00F21983" w:rsidRDefault="00A92A65" w:rsidP="00BA5CC0">
      <w:pPr>
        <w:numPr>
          <w:ilvl w:val="12"/>
          <w:numId w:val="0"/>
        </w:numPr>
        <w:jc w:val="both"/>
        <w:rPr>
          <w:rFonts w:cs="Arial"/>
          <w:sz w:val="20"/>
        </w:rPr>
      </w:pPr>
    </w:p>
    <w:p w14:paraId="64A440E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C5B88A9" w14:textId="77777777" w:rsidR="001F3E8E" w:rsidRPr="00F21983" w:rsidRDefault="001F3E8E" w:rsidP="00D41714">
      <w:pPr>
        <w:numPr>
          <w:ilvl w:val="12"/>
          <w:numId w:val="0"/>
        </w:numPr>
        <w:ind w:left="432" w:hanging="432"/>
        <w:jc w:val="both"/>
        <w:rPr>
          <w:rFonts w:cs="Arial"/>
          <w:sz w:val="20"/>
        </w:rPr>
      </w:pPr>
    </w:p>
    <w:p w14:paraId="2E967697"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59914013"/>
      <w:r w:rsidRPr="0075518C">
        <w:rPr>
          <w:sz w:val="22"/>
          <w:szCs w:val="22"/>
        </w:rPr>
        <w:t>Permit Shield</w:t>
      </w:r>
      <w:bookmarkEnd w:id="43"/>
    </w:p>
    <w:p w14:paraId="5D50455D" w14:textId="77777777" w:rsidR="001F3E8E" w:rsidRPr="00DF6609" w:rsidRDefault="001F3E8E" w:rsidP="00D41714">
      <w:pPr>
        <w:numPr>
          <w:ilvl w:val="12"/>
          <w:numId w:val="0"/>
        </w:numPr>
        <w:ind w:left="432" w:hanging="432"/>
        <w:jc w:val="both"/>
        <w:rPr>
          <w:rFonts w:cs="Arial"/>
          <w:sz w:val="20"/>
        </w:rPr>
      </w:pPr>
    </w:p>
    <w:p w14:paraId="6B81D7B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6F3CE2D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DD732D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3C628C4" w14:textId="77777777" w:rsidR="0006736C" w:rsidRPr="00F21983" w:rsidRDefault="0006736C" w:rsidP="0006736C">
      <w:pPr>
        <w:numPr>
          <w:ilvl w:val="12"/>
          <w:numId w:val="0"/>
        </w:numPr>
        <w:ind w:left="432" w:hanging="432"/>
        <w:jc w:val="both"/>
        <w:rPr>
          <w:rFonts w:cs="Arial"/>
          <w:sz w:val="20"/>
        </w:rPr>
      </w:pPr>
    </w:p>
    <w:p w14:paraId="3416A5B2"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3DF63DF" w14:textId="77777777" w:rsidR="0006736C" w:rsidRPr="00F21983" w:rsidRDefault="0006736C" w:rsidP="0006736C">
      <w:pPr>
        <w:numPr>
          <w:ilvl w:val="12"/>
          <w:numId w:val="0"/>
        </w:numPr>
        <w:ind w:left="432" w:hanging="432"/>
        <w:jc w:val="both"/>
        <w:rPr>
          <w:rFonts w:cs="Arial"/>
          <w:sz w:val="20"/>
        </w:rPr>
      </w:pPr>
    </w:p>
    <w:p w14:paraId="0C07436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DB23EC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A204400"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2DD5B5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105D9F1" w14:textId="77777777" w:rsidR="0006736C" w:rsidRPr="004D007B" w:rsidRDefault="0006736C" w:rsidP="00020C68">
      <w:pPr>
        <w:pStyle w:val="ListParagraph"/>
        <w:numPr>
          <w:ilvl w:val="0"/>
          <w:numId w:val="27"/>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6886DB60" w14:textId="77777777" w:rsidR="0006736C" w:rsidRPr="00F21983" w:rsidRDefault="0006736C" w:rsidP="0006736C">
      <w:pPr>
        <w:numPr>
          <w:ilvl w:val="12"/>
          <w:numId w:val="0"/>
        </w:numPr>
        <w:ind w:left="432" w:hanging="432"/>
        <w:jc w:val="both"/>
        <w:rPr>
          <w:rFonts w:cs="Arial"/>
          <w:sz w:val="20"/>
        </w:rPr>
      </w:pPr>
    </w:p>
    <w:p w14:paraId="189AD023" w14:textId="77777777" w:rsidR="0006736C" w:rsidRPr="00F21983" w:rsidRDefault="0006736C" w:rsidP="00020C68">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62F9587" w14:textId="77777777" w:rsidR="0006736C" w:rsidRPr="00F21983" w:rsidRDefault="00C8324B" w:rsidP="00020C68">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A88021B" w14:textId="77777777" w:rsidR="0006736C" w:rsidRPr="00F21983" w:rsidRDefault="000E2596" w:rsidP="00020C6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EC5AA22" w14:textId="77777777" w:rsidR="0006736C" w:rsidRPr="00F21983" w:rsidRDefault="0006736C" w:rsidP="00020C68">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01CE2E0" w14:textId="77777777" w:rsidR="0006736C" w:rsidRPr="00F21983" w:rsidRDefault="0006736C" w:rsidP="00020C68">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F385D0D" w14:textId="77777777" w:rsidR="0006736C" w:rsidRPr="00F21983" w:rsidRDefault="0006736C" w:rsidP="00020C68">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056A5F9" w14:textId="77777777" w:rsidR="0006736C" w:rsidRPr="00F21983" w:rsidRDefault="0006736C" w:rsidP="0006736C">
      <w:pPr>
        <w:numPr>
          <w:ilvl w:val="12"/>
          <w:numId w:val="0"/>
        </w:numPr>
        <w:ind w:left="432" w:hanging="432"/>
        <w:jc w:val="both"/>
        <w:rPr>
          <w:rFonts w:cs="Arial"/>
          <w:sz w:val="20"/>
        </w:rPr>
      </w:pPr>
    </w:p>
    <w:p w14:paraId="772A190C" w14:textId="77777777" w:rsidR="0006736C" w:rsidRPr="00F21983" w:rsidRDefault="0006736C" w:rsidP="00020C68">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50FC82A" w14:textId="77777777" w:rsidR="0006736C" w:rsidRPr="00F21983" w:rsidRDefault="0006736C" w:rsidP="00D41714">
      <w:pPr>
        <w:numPr>
          <w:ilvl w:val="12"/>
          <w:numId w:val="0"/>
        </w:numPr>
        <w:ind w:left="432" w:hanging="432"/>
        <w:jc w:val="both"/>
        <w:rPr>
          <w:rFonts w:cs="Arial"/>
          <w:sz w:val="20"/>
        </w:rPr>
      </w:pPr>
    </w:p>
    <w:p w14:paraId="697EAED3"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59914014"/>
      <w:r w:rsidRPr="0075518C">
        <w:rPr>
          <w:sz w:val="22"/>
          <w:szCs w:val="22"/>
        </w:rPr>
        <w:t>Revisions</w:t>
      </w:r>
      <w:bookmarkEnd w:id="44"/>
    </w:p>
    <w:p w14:paraId="3C05BE01" w14:textId="77777777" w:rsidR="005D48FB" w:rsidRPr="00F21983" w:rsidRDefault="005D48FB" w:rsidP="00D41714">
      <w:pPr>
        <w:numPr>
          <w:ilvl w:val="12"/>
          <w:numId w:val="0"/>
        </w:numPr>
        <w:ind w:left="432" w:hanging="432"/>
        <w:jc w:val="both"/>
        <w:rPr>
          <w:rFonts w:cs="Arial"/>
          <w:sz w:val="20"/>
        </w:rPr>
      </w:pPr>
    </w:p>
    <w:p w14:paraId="4356EEAD" w14:textId="77777777" w:rsidR="00A1146D" w:rsidRPr="00F21983" w:rsidRDefault="00A1146D" w:rsidP="00020C68">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90F332B" w14:textId="77777777" w:rsidR="00A1146D" w:rsidRPr="00F21983" w:rsidRDefault="00A1146D" w:rsidP="00C44C61">
      <w:pPr>
        <w:jc w:val="both"/>
        <w:rPr>
          <w:rFonts w:cs="Arial"/>
          <w:spacing w:val="-3"/>
          <w:sz w:val="20"/>
        </w:rPr>
      </w:pPr>
    </w:p>
    <w:p w14:paraId="572AEE08" w14:textId="77777777" w:rsidR="00D41714" w:rsidRPr="00F21983" w:rsidRDefault="00D41714" w:rsidP="00020C68">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4FA9B06" w14:textId="77777777" w:rsidR="00D41714" w:rsidRPr="00F21983" w:rsidRDefault="00D41714" w:rsidP="00C44C61">
      <w:pPr>
        <w:numPr>
          <w:ilvl w:val="12"/>
          <w:numId w:val="0"/>
        </w:numPr>
        <w:jc w:val="both"/>
        <w:rPr>
          <w:rFonts w:cs="Arial"/>
          <w:sz w:val="20"/>
        </w:rPr>
      </w:pPr>
    </w:p>
    <w:p w14:paraId="3D1A0128" w14:textId="77777777" w:rsidR="004568E6" w:rsidRPr="00FF072F" w:rsidRDefault="004568E6" w:rsidP="00020C68">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9AB3C6A" w14:textId="77777777" w:rsidR="002806DC" w:rsidRPr="00FF072F" w:rsidRDefault="002806DC" w:rsidP="00C44C61">
      <w:pPr>
        <w:autoSpaceDE w:val="0"/>
        <w:autoSpaceDN w:val="0"/>
        <w:adjustRightInd w:val="0"/>
        <w:jc w:val="both"/>
        <w:rPr>
          <w:rFonts w:cs="Arial"/>
          <w:sz w:val="20"/>
        </w:rPr>
      </w:pPr>
    </w:p>
    <w:p w14:paraId="29398307" w14:textId="77777777" w:rsidR="002806DC" w:rsidRPr="00FF072F" w:rsidRDefault="006A66DA" w:rsidP="00020C68">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E647930" w14:textId="77777777" w:rsidR="002806DC" w:rsidRPr="00FF072F" w:rsidRDefault="002806DC" w:rsidP="00C44C61">
      <w:pPr>
        <w:jc w:val="both"/>
        <w:rPr>
          <w:rFonts w:cs="Arial"/>
          <w:sz w:val="20"/>
        </w:rPr>
      </w:pPr>
    </w:p>
    <w:p w14:paraId="0F89F185"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59914015"/>
      <w:proofErr w:type="spellStart"/>
      <w:r w:rsidRPr="0075518C">
        <w:rPr>
          <w:sz w:val="22"/>
          <w:szCs w:val="22"/>
        </w:rPr>
        <w:t>Reopenings</w:t>
      </w:r>
      <w:bookmarkEnd w:id="45"/>
      <w:proofErr w:type="spellEnd"/>
    </w:p>
    <w:p w14:paraId="3A032EF1" w14:textId="77777777" w:rsidR="004649EF" w:rsidRPr="00752D7A" w:rsidRDefault="004649EF" w:rsidP="00DC22AE">
      <w:pPr>
        <w:jc w:val="both"/>
        <w:rPr>
          <w:rFonts w:cs="Arial"/>
          <w:szCs w:val="22"/>
        </w:rPr>
      </w:pPr>
    </w:p>
    <w:p w14:paraId="272CB329" w14:textId="77777777" w:rsidR="004649EF" w:rsidRPr="00F21983" w:rsidRDefault="004649EF" w:rsidP="00020C68">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8E1FD0A" w14:textId="77777777" w:rsidR="004649EF" w:rsidRPr="00F21983" w:rsidRDefault="004649EF" w:rsidP="00020C68">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0B55DF9" w14:textId="77777777" w:rsidR="004649EF" w:rsidRPr="00F21983" w:rsidRDefault="004649EF" w:rsidP="00020C68">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8E2DE52" w14:textId="77777777" w:rsidR="004649EF" w:rsidRPr="00F21983" w:rsidRDefault="004649EF" w:rsidP="00020C6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277A07E" w14:textId="77777777" w:rsidR="004649EF" w:rsidRPr="00F21983" w:rsidRDefault="004649EF" w:rsidP="00020C68">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254DE29" w14:textId="77777777" w:rsidR="004649EF" w:rsidRPr="00F21983" w:rsidRDefault="00C17B92" w:rsidP="00DC22AE">
      <w:pPr>
        <w:jc w:val="both"/>
        <w:rPr>
          <w:rFonts w:cs="Arial"/>
          <w:sz w:val="20"/>
        </w:rPr>
      </w:pPr>
      <w:r>
        <w:rPr>
          <w:rFonts w:cs="Arial"/>
          <w:sz w:val="20"/>
        </w:rPr>
        <w:br w:type="page"/>
      </w:r>
    </w:p>
    <w:p w14:paraId="1CDBA350"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59914016"/>
      <w:r w:rsidRPr="0075518C">
        <w:rPr>
          <w:sz w:val="22"/>
          <w:szCs w:val="22"/>
        </w:rPr>
        <w:lastRenderedPageBreak/>
        <w:t>Renewals</w:t>
      </w:r>
      <w:bookmarkEnd w:id="46"/>
    </w:p>
    <w:p w14:paraId="3114F46D" w14:textId="77777777" w:rsidR="004649EF" w:rsidRPr="005E3E6D" w:rsidRDefault="004649EF" w:rsidP="00DC22AE">
      <w:pPr>
        <w:jc w:val="both"/>
        <w:rPr>
          <w:rFonts w:cs="Arial"/>
          <w:sz w:val="20"/>
        </w:rPr>
      </w:pPr>
    </w:p>
    <w:p w14:paraId="0BF1D490" w14:textId="77777777" w:rsidR="00D41714" w:rsidRPr="005E3E6D" w:rsidRDefault="00D41714" w:rsidP="00020C68">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7745F6B" w14:textId="77777777" w:rsidR="00D16CA9" w:rsidRPr="005E3E6D" w:rsidRDefault="00D16CA9" w:rsidP="00DC22AE">
      <w:pPr>
        <w:jc w:val="both"/>
        <w:rPr>
          <w:rFonts w:cs="Arial"/>
          <w:sz w:val="20"/>
        </w:rPr>
      </w:pPr>
    </w:p>
    <w:p w14:paraId="267D742C"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59914017"/>
      <w:r w:rsidRPr="0075518C">
        <w:rPr>
          <w:bCs/>
          <w:sz w:val="22"/>
        </w:rPr>
        <w:t>Stratospheric Ozone Protection</w:t>
      </w:r>
      <w:bookmarkEnd w:id="47"/>
      <w:bookmarkEnd w:id="48"/>
      <w:bookmarkEnd w:id="49"/>
    </w:p>
    <w:p w14:paraId="35DE8FD5" w14:textId="77777777" w:rsidR="00CE1923" w:rsidRPr="00F21983" w:rsidRDefault="00CE1923" w:rsidP="004F09CF">
      <w:pPr>
        <w:jc w:val="both"/>
        <w:rPr>
          <w:sz w:val="20"/>
        </w:rPr>
      </w:pPr>
    </w:p>
    <w:p w14:paraId="36409BAC" w14:textId="77777777" w:rsidR="00396734" w:rsidRPr="002C152E" w:rsidRDefault="00395F98" w:rsidP="00020C68">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7A0DF49" w14:textId="77777777" w:rsidR="00395F98" w:rsidRPr="00F21983" w:rsidRDefault="00395F98" w:rsidP="00395F98">
      <w:pPr>
        <w:rPr>
          <w:sz w:val="20"/>
        </w:rPr>
      </w:pPr>
    </w:p>
    <w:p w14:paraId="21A2F081" w14:textId="77777777" w:rsidR="00D41714" w:rsidRPr="00F21983" w:rsidRDefault="00D41714" w:rsidP="00020C68">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2F13772" w14:textId="77777777" w:rsidR="00F557DA" w:rsidRPr="00F21983" w:rsidRDefault="00F557DA" w:rsidP="00DC22AE">
      <w:pPr>
        <w:jc w:val="both"/>
        <w:rPr>
          <w:rFonts w:cs="Arial"/>
          <w:sz w:val="20"/>
        </w:rPr>
      </w:pPr>
    </w:p>
    <w:p w14:paraId="7AE8B4D3"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59914018"/>
      <w:r w:rsidRPr="0075518C">
        <w:rPr>
          <w:bCs/>
          <w:sz w:val="22"/>
        </w:rPr>
        <w:t>Risk Management Plan</w:t>
      </w:r>
      <w:bookmarkEnd w:id="50"/>
      <w:bookmarkEnd w:id="51"/>
      <w:bookmarkEnd w:id="52"/>
    </w:p>
    <w:p w14:paraId="4C6E0D7F" w14:textId="77777777" w:rsidR="0075518C" w:rsidRPr="0075518C" w:rsidRDefault="0075518C" w:rsidP="004F09CF">
      <w:pPr>
        <w:jc w:val="both"/>
      </w:pPr>
    </w:p>
    <w:p w14:paraId="3508A1DF" w14:textId="77777777" w:rsidR="00D41714" w:rsidRPr="00F21983" w:rsidRDefault="00D41714" w:rsidP="00020C68">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736AE99" w14:textId="77777777" w:rsidR="00D41714" w:rsidRPr="00F21983" w:rsidRDefault="00D41714" w:rsidP="00D41714">
      <w:pPr>
        <w:numPr>
          <w:ilvl w:val="12"/>
          <w:numId w:val="0"/>
        </w:numPr>
        <w:ind w:left="432" w:hanging="432"/>
        <w:jc w:val="both"/>
        <w:rPr>
          <w:rFonts w:cs="Arial"/>
          <w:sz w:val="20"/>
        </w:rPr>
      </w:pPr>
    </w:p>
    <w:p w14:paraId="77D4DB1A" w14:textId="77777777" w:rsidR="00D41714" w:rsidRPr="00F21983" w:rsidRDefault="00D41714" w:rsidP="00020C68">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BE66523" w14:textId="77777777" w:rsidR="00D41714" w:rsidRPr="00F21983" w:rsidRDefault="00D41714" w:rsidP="00020C68">
      <w:pPr>
        <w:numPr>
          <w:ilvl w:val="1"/>
          <w:numId w:val="20"/>
        </w:numPr>
        <w:jc w:val="both"/>
        <w:rPr>
          <w:rFonts w:cs="Arial"/>
          <w:sz w:val="20"/>
        </w:rPr>
      </w:pPr>
      <w:r w:rsidRPr="00F21983">
        <w:rPr>
          <w:rFonts w:cs="Arial"/>
          <w:sz w:val="20"/>
        </w:rPr>
        <w:t>June 21, 1999,</w:t>
      </w:r>
    </w:p>
    <w:p w14:paraId="10C2D0C0" w14:textId="77777777" w:rsidR="00D41714" w:rsidRPr="00F21983" w:rsidRDefault="00D41714" w:rsidP="00020C68">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CCF11D8" w14:textId="77777777" w:rsidR="00D41714" w:rsidRPr="00F21983" w:rsidRDefault="00C44C61" w:rsidP="00020C68">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EEC58DE" w14:textId="77777777" w:rsidR="00D41714" w:rsidRPr="00F21983" w:rsidRDefault="00D41714" w:rsidP="00D41714">
      <w:pPr>
        <w:numPr>
          <w:ilvl w:val="12"/>
          <w:numId w:val="0"/>
        </w:numPr>
        <w:ind w:left="432" w:hanging="432"/>
        <w:jc w:val="both"/>
        <w:rPr>
          <w:rFonts w:cs="Arial"/>
          <w:sz w:val="20"/>
        </w:rPr>
      </w:pPr>
    </w:p>
    <w:p w14:paraId="5C1A2ED6" w14:textId="77777777" w:rsidR="00D41714" w:rsidRPr="00F21983" w:rsidRDefault="00D41714" w:rsidP="00020C68">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383C10C" w14:textId="77777777" w:rsidR="00D41714" w:rsidRPr="00F21983" w:rsidRDefault="00D41714" w:rsidP="00D41714">
      <w:pPr>
        <w:numPr>
          <w:ilvl w:val="12"/>
          <w:numId w:val="0"/>
        </w:numPr>
        <w:ind w:left="432" w:hanging="432"/>
        <w:jc w:val="both"/>
        <w:rPr>
          <w:rFonts w:cs="Arial"/>
          <w:sz w:val="20"/>
        </w:rPr>
      </w:pPr>
    </w:p>
    <w:p w14:paraId="2091EC7C" w14:textId="77777777" w:rsidR="00D41714" w:rsidRPr="00F21983" w:rsidRDefault="00D41714" w:rsidP="00020C68">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92A2618" w14:textId="77777777" w:rsidR="00D41714" w:rsidRPr="007713F1" w:rsidRDefault="00D41714" w:rsidP="004F09CF">
      <w:pPr>
        <w:numPr>
          <w:ilvl w:val="12"/>
          <w:numId w:val="0"/>
        </w:numPr>
        <w:ind w:left="432" w:hanging="432"/>
        <w:jc w:val="both"/>
        <w:rPr>
          <w:rFonts w:cs="Arial"/>
          <w:sz w:val="20"/>
        </w:rPr>
      </w:pPr>
    </w:p>
    <w:p w14:paraId="0104206B" w14:textId="77777777" w:rsidR="00F557DA" w:rsidRPr="00A02310" w:rsidRDefault="00F557DA" w:rsidP="0075518C">
      <w:pPr>
        <w:pStyle w:val="Heading2"/>
        <w:numPr>
          <w:ilvl w:val="0"/>
          <w:numId w:val="0"/>
        </w:numPr>
        <w:jc w:val="left"/>
        <w:rPr>
          <w:b w:val="0"/>
          <w:bCs/>
          <w:sz w:val="22"/>
        </w:rPr>
      </w:pPr>
      <w:bookmarkStart w:id="53" w:name="_Toc159914019"/>
      <w:r w:rsidRPr="0075518C">
        <w:rPr>
          <w:bCs/>
          <w:sz w:val="22"/>
        </w:rPr>
        <w:t>Emission Trading</w:t>
      </w:r>
      <w:bookmarkEnd w:id="53"/>
    </w:p>
    <w:p w14:paraId="165C571B" w14:textId="77777777" w:rsidR="00F557DA" w:rsidRPr="007713F1" w:rsidRDefault="00F557DA" w:rsidP="00D41714">
      <w:pPr>
        <w:numPr>
          <w:ilvl w:val="12"/>
          <w:numId w:val="0"/>
        </w:numPr>
        <w:ind w:left="432" w:hanging="432"/>
        <w:rPr>
          <w:rFonts w:cs="Arial"/>
          <w:sz w:val="20"/>
        </w:rPr>
      </w:pPr>
    </w:p>
    <w:p w14:paraId="6F865D0E" w14:textId="77777777" w:rsidR="00F557DA" w:rsidRPr="00F21983" w:rsidRDefault="00F557DA" w:rsidP="00020C68">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0ACDAE9" w14:textId="77777777" w:rsidR="00393A6F" w:rsidRPr="00DF6609" w:rsidRDefault="00C17B92" w:rsidP="00393A6F">
      <w:pPr>
        <w:rPr>
          <w:sz w:val="20"/>
        </w:rPr>
      </w:pPr>
      <w:bookmarkStart w:id="54" w:name="_Toc1453511"/>
      <w:r>
        <w:rPr>
          <w:sz w:val="20"/>
        </w:rPr>
        <w:br w:type="page"/>
      </w:r>
    </w:p>
    <w:p w14:paraId="5256DF68" w14:textId="77777777" w:rsidR="00A775C6" w:rsidRPr="00A02310" w:rsidRDefault="00A775C6" w:rsidP="0075518C">
      <w:pPr>
        <w:pStyle w:val="Heading2"/>
        <w:numPr>
          <w:ilvl w:val="0"/>
          <w:numId w:val="0"/>
        </w:numPr>
        <w:jc w:val="left"/>
        <w:rPr>
          <w:b w:val="0"/>
          <w:bCs/>
          <w:sz w:val="22"/>
        </w:rPr>
      </w:pPr>
      <w:bookmarkStart w:id="55" w:name="_Toc15991402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69C56C8D" w14:textId="77777777" w:rsidR="006F555B" w:rsidRPr="00DF6609" w:rsidRDefault="006F555B" w:rsidP="00D41714">
      <w:pPr>
        <w:rPr>
          <w:rFonts w:cs="Arial"/>
          <w:sz w:val="20"/>
        </w:rPr>
      </w:pPr>
    </w:p>
    <w:p w14:paraId="55E239E8" w14:textId="77777777" w:rsidR="003042E2" w:rsidRPr="00105176" w:rsidRDefault="003042E2" w:rsidP="00020C68">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2D46D91" w14:textId="77777777" w:rsidR="00105176" w:rsidRPr="00F21983" w:rsidRDefault="00105176" w:rsidP="00105176">
      <w:pPr>
        <w:jc w:val="both"/>
        <w:rPr>
          <w:rFonts w:cs="Arial"/>
          <w:sz w:val="20"/>
        </w:rPr>
      </w:pPr>
    </w:p>
    <w:p w14:paraId="0A7C5049" w14:textId="77777777" w:rsidR="003042E2" w:rsidRPr="00105176" w:rsidRDefault="003042E2" w:rsidP="00020C68">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E20B69E" w14:textId="77777777" w:rsidR="00105176" w:rsidRDefault="00105176" w:rsidP="00105176">
      <w:pPr>
        <w:jc w:val="both"/>
        <w:rPr>
          <w:rFonts w:cs="Arial"/>
          <w:sz w:val="20"/>
        </w:rPr>
      </w:pPr>
    </w:p>
    <w:p w14:paraId="280AAAC9" w14:textId="77777777" w:rsidR="00775BB9" w:rsidRPr="00F21983" w:rsidRDefault="00775BB9" w:rsidP="00020C68">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C469D43" w14:textId="77777777" w:rsidR="00775BB9" w:rsidRPr="00DF6609" w:rsidRDefault="00775BB9" w:rsidP="00D41714">
      <w:pPr>
        <w:rPr>
          <w:rFonts w:cs="Arial"/>
          <w:sz w:val="20"/>
        </w:rPr>
      </w:pPr>
    </w:p>
    <w:p w14:paraId="7C0BEEAD" w14:textId="77777777" w:rsidR="003042E2" w:rsidRPr="00F21983" w:rsidRDefault="003042E2" w:rsidP="00020C68">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0D04CCB" w14:textId="77777777" w:rsidR="00A775C6" w:rsidRPr="007713F1" w:rsidRDefault="00A775C6" w:rsidP="00D41714">
      <w:pPr>
        <w:rPr>
          <w:rFonts w:cs="Arial"/>
          <w:sz w:val="20"/>
        </w:rPr>
      </w:pPr>
    </w:p>
    <w:p w14:paraId="021F01F5" w14:textId="77777777" w:rsidR="001F649E" w:rsidRPr="007713F1" w:rsidRDefault="001F649E" w:rsidP="00D41714">
      <w:pPr>
        <w:rPr>
          <w:rFonts w:cs="Arial"/>
          <w:sz w:val="20"/>
        </w:rPr>
      </w:pPr>
    </w:p>
    <w:p w14:paraId="7A9AD15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05EFA4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6B4AC1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C3AEBF0" w14:textId="77777777" w:rsidR="000B3A18" w:rsidRPr="009B2FEE" w:rsidRDefault="000B3A18" w:rsidP="000B3A18">
      <w:pPr>
        <w:jc w:val="both"/>
        <w:rPr>
          <w:szCs w:val="22"/>
        </w:rPr>
      </w:pPr>
    </w:p>
    <w:p w14:paraId="0CECA640" w14:textId="23859DD7" w:rsidR="00AA3FFA" w:rsidRPr="00AA3FFA" w:rsidRDefault="008055D8" w:rsidP="00C67C9B">
      <w:pPr>
        <w:jc w:val="both"/>
        <w:rPr>
          <w:sz w:val="20"/>
        </w:rPr>
      </w:pPr>
      <w:r>
        <w:rPr>
          <w:rFonts w:ascii="Arial Black" w:hAnsi="Arial Black"/>
          <w:b/>
          <w:szCs w:val="22"/>
        </w:rPr>
        <w:br w:type="page"/>
      </w:r>
      <w:bookmarkStart w:id="56" w:name="_Toc852394"/>
      <w:bookmarkStart w:id="57" w:name="_Toc852725"/>
      <w:bookmarkStart w:id="58" w:name="_Toc1453512"/>
    </w:p>
    <w:p w14:paraId="6DB2A5FC" w14:textId="77777777" w:rsidR="0098346A" w:rsidRPr="00752D7A" w:rsidRDefault="0098346A" w:rsidP="00AA3FFA">
      <w:pPr>
        <w:pStyle w:val="Heading1"/>
      </w:pPr>
      <w:bookmarkStart w:id="59" w:name="_Toc159914021"/>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7996B259" w14:textId="77777777" w:rsidR="0098346A" w:rsidRPr="00F21983" w:rsidRDefault="0098346A" w:rsidP="0098346A">
      <w:pPr>
        <w:jc w:val="both"/>
        <w:rPr>
          <w:sz w:val="20"/>
        </w:rPr>
      </w:pPr>
    </w:p>
    <w:p w14:paraId="2544FFA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30FDB11" w14:textId="77777777" w:rsidR="003C2679" w:rsidRPr="00F21983" w:rsidRDefault="003C2679" w:rsidP="0098346A">
      <w:pPr>
        <w:jc w:val="both"/>
        <w:rPr>
          <w:sz w:val="20"/>
        </w:rPr>
      </w:pPr>
    </w:p>
    <w:p w14:paraId="7254069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C8EEDBC" w14:textId="77777777" w:rsidR="00875F04" w:rsidRDefault="00875F04" w:rsidP="0098346A">
      <w:pPr>
        <w:jc w:val="both"/>
        <w:rPr>
          <w:sz w:val="20"/>
        </w:rPr>
      </w:pPr>
    </w:p>
    <w:p w14:paraId="5298A433" w14:textId="77777777" w:rsidR="0098346A" w:rsidRPr="00F21983" w:rsidRDefault="0098346A" w:rsidP="00E908E1">
      <w:pPr>
        <w:jc w:val="both"/>
        <w:rPr>
          <w:sz w:val="20"/>
        </w:rPr>
      </w:pPr>
    </w:p>
    <w:p w14:paraId="44E01091" w14:textId="77777777" w:rsidR="00D72D77" w:rsidRPr="00CC02A3" w:rsidRDefault="00D6512F" w:rsidP="00D72D77">
      <w:pPr>
        <w:pStyle w:val="Header"/>
        <w:tabs>
          <w:tab w:val="clear" w:pos="4320"/>
          <w:tab w:val="clear" w:pos="8640"/>
        </w:tabs>
        <w:rPr>
          <w:sz w:val="20"/>
        </w:rPr>
      </w:pPr>
      <w:r w:rsidRPr="00752D7A">
        <w:rPr>
          <w:szCs w:val="22"/>
        </w:rPr>
        <w:br w:type="page"/>
      </w:r>
    </w:p>
    <w:p w14:paraId="14CE6A13" w14:textId="77777777" w:rsidR="00E14632" w:rsidRDefault="00ED0AFD" w:rsidP="00CE44D8">
      <w:pPr>
        <w:pStyle w:val="Heading1"/>
      </w:pPr>
      <w:bookmarkStart w:id="60" w:name="_Toc159914022"/>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4DC8163F" w14:textId="77777777" w:rsidR="00E14632" w:rsidRPr="00FE0AD0" w:rsidRDefault="00E14632" w:rsidP="00E14632">
      <w:pPr>
        <w:jc w:val="both"/>
        <w:rPr>
          <w:sz w:val="20"/>
        </w:rPr>
      </w:pPr>
    </w:p>
    <w:p w14:paraId="100A435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4C5E28D" w14:textId="77777777" w:rsidR="009602B7" w:rsidRPr="00FE0AD0" w:rsidRDefault="009602B7" w:rsidP="00E14632">
      <w:pPr>
        <w:jc w:val="both"/>
        <w:rPr>
          <w:sz w:val="20"/>
        </w:rPr>
      </w:pPr>
    </w:p>
    <w:p w14:paraId="669130C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B0968B5" w14:textId="77777777" w:rsidR="00E14632" w:rsidRDefault="00E14632" w:rsidP="00E14632">
      <w:pPr>
        <w:jc w:val="both"/>
        <w:rPr>
          <w:sz w:val="20"/>
        </w:rPr>
      </w:pPr>
    </w:p>
    <w:p w14:paraId="7E3979D3"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59914023"/>
      <w:r w:rsidRPr="002B5ED5">
        <w:rPr>
          <w:sz w:val="22"/>
          <w:szCs w:val="22"/>
        </w:rPr>
        <w:t>EMISSION UNIT SUMMARY TABLE</w:t>
      </w:r>
      <w:bookmarkEnd w:id="65"/>
      <w:bookmarkEnd w:id="66"/>
      <w:bookmarkEnd w:id="67"/>
      <w:bookmarkEnd w:id="68"/>
    </w:p>
    <w:p w14:paraId="7E03877D" w14:textId="77777777" w:rsidR="00E14632" w:rsidRDefault="00736BDB" w:rsidP="00736BDB">
      <w:pPr>
        <w:jc w:val="center"/>
      </w:pPr>
      <w:r w:rsidRPr="00F35ADC">
        <w:rPr>
          <w:sz w:val="20"/>
        </w:rPr>
        <w:t>The descriptions provided below are for informational purposes and do not constitute enforceable conditions.</w:t>
      </w:r>
    </w:p>
    <w:p w14:paraId="6871BFB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870"/>
        <w:gridCol w:w="1800"/>
        <w:gridCol w:w="2471"/>
      </w:tblGrid>
      <w:tr w:rsidR="00E14632" w14:paraId="4DDC99DE" w14:textId="77777777" w:rsidTr="00E02068">
        <w:trPr>
          <w:cantSplit/>
          <w:tblHeader/>
        </w:trPr>
        <w:tc>
          <w:tcPr>
            <w:tcW w:w="2299" w:type="dxa"/>
            <w:tcBorders>
              <w:top w:val="double" w:sz="6" w:space="0" w:color="auto"/>
              <w:bottom w:val="double" w:sz="4" w:space="0" w:color="auto"/>
            </w:tcBorders>
            <w:shd w:val="pct10" w:color="auto" w:fill="auto"/>
          </w:tcPr>
          <w:p w14:paraId="6ED4D2AD" w14:textId="77777777" w:rsidR="00E14632" w:rsidRPr="00BB5D62" w:rsidRDefault="00E14632" w:rsidP="00C6273C">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75A33912"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1D15C0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27C549F2" w14:textId="77777777" w:rsidR="00E14632" w:rsidRPr="00BB5D62" w:rsidRDefault="00E14632" w:rsidP="00C6273C">
            <w:pPr>
              <w:jc w:val="center"/>
              <w:rPr>
                <w:rFonts w:cs="Arial"/>
                <w:b/>
                <w:sz w:val="20"/>
              </w:rPr>
            </w:pPr>
            <w:r w:rsidRPr="00BB5D62">
              <w:rPr>
                <w:rFonts w:cs="Arial"/>
                <w:b/>
                <w:sz w:val="20"/>
              </w:rPr>
              <w:t>Installation</w:t>
            </w:r>
          </w:p>
          <w:p w14:paraId="56B29FFB" w14:textId="77777777" w:rsidR="00E14632" w:rsidRDefault="00E14632" w:rsidP="00C6273C">
            <w:pPr>
              <w:jc w:val="center"/>
              <w:rPr>
                <w:rFonts w:cs="Arial"/>
                <w:b/>
                <w:sz w:val="20"/>
              </w:rPr>
            </w:pPr>
            <w:r w:rsidRPr="00BB5D62">
              <w:rPr>
                <w:rFonts w:cs="Arial"/>
                <w:b/>
                <w:sz w:val="20"/>
              </w:rPr>
              <w:t>Date</w:t>
            </w:r>
            <w:r>
              <w:rPr>
                <w:rFonts w:cs="Arial"/>
                <w:b/>
                <w:sz w:val="20"/>
              </w:rPr>
              <w:t>/</w:t>
            </w:r>
          </w:p>
          <w:p w14:paraId="1DB03C93" w14:textId="77777777" w:rsidR="00E14632" w:rsidRPr="00BB5D62" w:rsidRDefault="00E14632" w:rsidP="00C6273C">
            <w:pPr>
              <w:jc w:val="center"/>
              <w:rPr>
                <w:rFonts w:cs="Arial"/>
                <w:b/>
                <w:sz w:val="20"/>
              </w:rPr>
            </w:pPr>
            <w:r>
              <w:rPr>
                <w:rFonts w:cs="Arial"/>
                <w:b/>
                <w:sz w:val="20"/>
              </w:rPr>
              <w:t>Modification Date</w:t>
            </w:r>
          </w:p>
        </w:tc>
        <w:tc>
          <w:tcPr>
            <w:tcW w:w="2471" w:type="dxa"/>
            <w:tcBorders>
              <w:top w:val="double" w:sz="6" w:space="0" w:color="auto"/>
              <w:bottom w:val="double" w:sz="4" w:space="0" w:color="auto"/>
            </w:tcBorders>
            <w:shd w:val="pct10" w:color="auto" w:fill="auto"/>
          </w:tcPr>
          <w:p w14:paraId="0D10857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1C61C149" w14:textId="77777777" w:rsidTr="00E02068">
        <w:trPr>
          <w:cantSplit/>
        </w:trPr>
        <w:tc>
          <w:tcPr>
            <w:tcW w:w="2299" w:type="dxa"/>
            <w:tcBorders>
              <w:top w:val="nil"/>
            </w:tcBorders>
          </w:tcPr>
          <w:p w14:paraId="2307B49D" w14:textId="43AFBCA9" w:rsidR="00E14632" w:rsidRPr="00BB5D62" w:rsidRDefault="00C67C9B" w:rsidP="00991194">
            <w:pPr>
              <w:rPr>
                <w:rFonts w:cs="Arial"/>
                <w:sz w:val="20"/>
              </w:rPr>
            </w:pPr>
            <w:r>
              <w:rPr>
                <w:rFonts w:cs="Arial"/>
                <w:sz w:val="20"/>
              </w:rPr>
              <w:t>EUASBESTOS</w:t>
            </w:r>
          </w:p>
        </w:tc>
        <w:tc>
          <w:tcPr>
            <w:tcW w:w="3870" w:type="dxa"/>
            <w:tcBorders>
              <w:top w:val="nil"/>
            </w:tcBorders>
          </w:tcPr>
          <w:p w14:paraId="5A702727" w14:textId="77777777" w:rsidR="00E14632" w:rsidRDefault="00C67C9B" w:rsidP="00DF18D2">
            <w:pPr>
              <w:jc w:val="both"/>
              <w:rPr>
                <w:sz w:val="20"/>
              </w:rPr>
            </w:pPr>
            <w:r w:rsidRPr="00305533">
              <w:rPr>
                <w:sz w:val="20"/>
              </w:rPr>
              <w:t>This landfill is actively accepting or has accepted asbestos waste in the past.</w:t>
            </w:r>
          </w:p>
          <w:p w14:paraId="79A8B224" w14:textId="015E155A" w:rsidR="00D902C7" w:rsidRPr="00BB5D62" w:rsidRDefault="00D902C7" w:rsidP="00DF18D2">
            <w:pPr>
              <w:jc w:val="both"/>
              <w:rPr>
                <w:rFonts w:cs="Arial"/>
                <w:sz w:val="20"/>
              </w:rPr>
            </w:pPr>
          </w:p>
        </w:tc>
        <w:tc>
          <w:tcPr>
            <w:tcW w:w="1800" w:type="dxa"/>
            <w:tcBorders>
              <w:top w:val="nil"/>
            </w:tcBorders>
          </w:tcPr>
          <w:p w14:paraId="6A68666C" w14:textId="77777777" w:rsidR="00D902C7" w:rsidRPr="005F6F07" w:rsidRDefault="00D902C7" w:rsidP="00D902C7">
            <w:pPr>
              <w:jc w:val="center"/>
              <w:rPr>
                <w:rFonts w:cs="Arial"/>
                <w:sz w:val="20"/>
              </w:rPr>
            </w:pPr>
            <w:r w:rsidRPr="005F6F07">
              <w:rPr>
                <w:rFonts w:cs="Arial"/>
                <w:sz w:val="20"/>
              </w:rPr>
              <w:t>02-26-1995/</w:t>
            </w:r>
          </w:p>
          <w:p w14:paraId="57C6F761" w14:textId="422E2FBA" w:rsidR="00E14632" w:rsidRPr="005F6F07" w:rsidRDefault="00D902C7" w:rsidP="00D902C7">
            <w:pPr>
              <w:jc w:val="center"/>
              <w:rPr>
                <w:rFonts w:cs="Arial"/>
                <w:sz w:val="20"/>
              </w:rPr>
            </w:pPr>
            <w:r w:rsidRPr="005F6F07">
              <w:rPr>
                <w:rFonts w:cs="Arial"/>
                <w:sz w:val="20"/>
              </w:rPr>
              <w:t>08-22-2022</w:t>
            </w:r>
          </w:p>
        </w:tc>
        <w:tc>
          <w:tcPr>
            <w:tcW w:w="2471" w:type="dxa"/>
            <w:tcBorders>
              <w:top w:val="nil"/>
            </w:tcBorders>
          </w:tcPr>
          <w:p w14:paraId="0B390CDB" w14:textId="77777777" w:rsidR="00D902C7" w:rsidRPr="005F6F07" w:rsidRDefault="00D902C7" w:rsidP="00D902C7">
            <w:pPr>
              <w:rPr>
                <w:rFonts w:cs="Arial"/>
                <w:sz w:val="20"/>
              </w:rPr>
            </w:pPr>
            <w:r w:rsidRPr="005F6F07">
              <w:rPr>
                <w:rFonts w:cs="Arial"/>
                <w:sz w:val="20"/>
              </w:rPr>
              <w:t>FGLANDFILL-XXX&lt;34</w:t>
            </w:r>
          </w:p>
          <w:p w14:paraId="070D1816" w14:textId="26AEED53" w:rsidR="00E14632" w:rsidRPr="005F6F07" w:rsidRDefault="00D902C7" w:rsidP="00D902C7">
            <w:pPr>
              <w:rPr>
                <w:rFonts w:cs="Arial"/>
                <w:sz w:val="20"/>
              </w:rPr>
            </w:pPr>
            <w:r w:rsidRPr="005F6F07">
              <w:rPr>
                <w:rFonts w:cs="Arial"/>
                <w:sz w:val="20"/>
              </w:rPr>
              <w:t>FGLANDFILL-AAAA&lt;50</w:t>
            </w:r>
          </w:p>
        </w:tc>
      </w:tr>
      <w:tr w:rsidR="00C67C9B" w14:paraId="1E760BB7" w14:textId="77777777" w:rsidTr="00E02068">
        <w:trPr>
          <w:cantSplit/>
        </w:trPr>
        <w:tc>
          <w:tcPr>
            <w:tcW w:w="2299" w:type="dxa"/>
          </w:tcPr>
          <w:p w14:paraId="6D40D752" w14:textId="6AC8AD71" w:rsidR="00C67C9B" w:rsidRPr="00BB5D62" w:rsidRDefault="00C67C9B" w:rsidP="00C67C9B">
            <w:pPr>
              <w:rPr>
                <w:rFonts w:cs="Arial"/>
                <w:sz w:val="20"/>
              </w:rPr>
            </w:pPr>
            <w:r>
              <w:rPr>
                <w:rFonts w:cs="Arial"/>
                <w:sz w:val="20"/>
              </w:rPr>
              <w:t>EULANDFILL</w:t>
            </w:r>
          </w:p>
        </w:tc>
        <w:tc>
          <w:tcPr>
            <w:tcW w:w="3870" w:type="dxa"/>
          </w:tcPr>
          <w:p w14:paraId="22987F4F" w14:textId="77777777" w:rsidR="00C67C9B" w:rsidRDefault="00C67C9B" w:rsidP="00DF18D2">
            <w:pPr>
              <w:jc w:val="both"/>
              <w:rPr>
                <w:sz w:val="20"/>
              </w:rPr>
            </w:pPr>
            <w:r>
              <w:rPr>
                <w:sz w:val="20"/>
              </w:rPr>
              <w:t>A Municipal Solid Waste (MSW)</w:t>
            </w:r>
            <w:r w:rsidRPr="00C53F0B">
              <w:rPr>
                <w:sz w:val="20"/>
              </w:rPr>
              <w:t xml:space="preserve"> landfill </w:t>
            </w:r>
            <w:r>
              <w:rPr>
                <w:sz w:val="20"/>
              </w:rPr>
              <w:t>that</w:t>
            </w:r>
            <w:r w:rsidRPr="00C53F0B">
              <w:rPr>
                <w:sz w:val="20"/>
              </w:rPr>
              <w:t xml:space="preserve"> </w:t>
            </w:r>
            <w:r>
              <w:rPr>
                <w:sz w:val="20"/>
              </w:rPr>
              <w:t>commenced construction, reconstruction, or modification after July</w:t>
            </w:r>
            <w:r w:rsidR="00E02068">
              <w:rPr>
                <w:sz w:val="20"/>
              </w:rPr>
              <w:t> </w:t>
            </w:r>
            <w:r>
              <w:rPr>
                <w:sz w:val="20"/>
              </w:rPr>
              <w:t xml:space="preserve">17, 2014.  The MSW landfill has </w:t>
            </w:r>
            <w:r w:rsidRPr="00C53F0B">
              <w:rPr>
                <w:sz w:val="20"/>
              </w:rPr>
              <w:t xml:space="preserve">a design capacity greater than 2.5 million megagrams and 2.5 million cubic meters, </w:t>
            </w:r>
            <w:r>
              <w:rPr>
                <w:sz w:val="20"/>
              </w:rPr>
              <w:t>and</w:t>
            </w:r>
            <w:r w:rsidRPr="00C53F0B">
              <w:rPr>
                <w:sz w:val="20"/>
              </w:rPr>
              <w:t xml:space="preserve"> actual </w:t>
            </w:r>
            <w:r>
              <w:rPr>
                <w:sz w:val="20"/>
              </w:rPr>
              <w:t xml:space="preserve">NMOC </w:t>
            </w:r>
            <w:r w:rsidRPr="00C53F0B">
              <w:rPr>
                <w:sz w:val="20"/>
              </w:rPr>
              <w:t xml:space="preserve">emissions less than </w:t>
            </w:r>
            <w:r>
              <w:rPr>
                <w:sz w:val="20"/>
              </w:rPr>
              <w:t>34</w:t>
            </w:r>
            <w:r w:rsidRPr="00C53F0B">
              <w:rPr>
                <w:sz w:val="20"/>
              </w:rPr>
              <w:t xml:space="preserve"> megagrams</w:t>
            </w:r>
            <w:r>
              <w:rPr>
                <w:sz w:val="20"/>
              </w:rPr>
              <w:t xml:space="preserve"> per year.</w:t>
            </w:r>
            <w:r w:rsidRPr="00C53F0B">
              <w:rPr>
                <w:sz w:val="20"/>
              </w:rPr>
              <w:t xml:space="preserve">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w:t>
            </w:r>
            <w:r>
              <w:rPr>
                <w:sz w:val="20"/>
              </w:rPr>
              <w:t>0</w:t>
            </w:r>
            <w:r w:rsidRPr="175357AD">
              <w:rPr>
                <w:sz w:val="20"/>
              </w:rPr>
              <w:t>, Subpart</w:t>
            </w:r>
            <w:r>
              <w:rPr>
                <w:sz w:val="20"/>
              </w:rPr>
              <w:t xml:space="preserve"> XXX.</w:t>
            </w:r>
          </w:p>
          <w:p w14:paraId="6B9161C4" w14:textId="5E6B4412" w:rsidR="00D902C7" w:rsidRPr="00BB5D62" w:rsidRDefault="00D902C7" w:rsidP="00DF18D2">
            <w:pPr>
              <w:jc w:val="both"/>
              <w:rPr>
                <w:rFonts w:cs="Arial"/>
                <w:sz w:val="20"/>
              </w:rPr>
            </w:pPr>
          </w:p>
        </w:tc>
        <w:tc>
          <w:tcPr>
            <w:tcW w:w="1800" w:type="dxa"/>
          </w:tcPr>
          <w:p w14:paraId="30DDDA79" w14:textId="77777777" w:rsidR="00C67C9B" w:rsidRPr="00D902C7" w:rsidRDefault="00D902C7" w:rsidP="00C67C9B">
            <w:pPr>
              <w:jc w:val="center"/>
              <w:rPr>
                <w:rFonts w:cs="Arial"/>
                <w:sz w:val="20"/>
              </w:rPr>
            </w:pPr>
            <w:r w:rsidRPr="00D902C7">
              <w:rPr>
                <w:rFonts w:cs="Arial"/>
                <w:sz w:val="20"/>
              </w:rPr>
              <w:t>02-26-1995/</w:t>
            </w:r>
          </w:p>
          <w:p w14:paraId="43609B82" w14:textId="638967EB" w:rsidR="00D902C7" w:rsidRPr="00BB5D62" w:rsidRDefault="00D902C7" w:rsidP="00C67C9B">
            <w:pPr>
              <w:jc w:val="center"/>
              <w:rPr>
                <w:rFonts w:cs="Arial"/>
                <w:sz w:val="20"/>
              </w:rPr>
            </w:pPr>
            <w:r w:rsidRPr="00D902C7">
              <w:rPr>
                <w:rFonts w:cs="Arial"/>
                <w:sz w:val="20"/>
              </w:rPr>
              <w:t>08-22-2022</w:t>
            </w:r>
          </w:p>
        </w:tc>
        <w:tc>
          <w:tcPr>
            <w:tcW w:w="2471" w:type="dxa"/>
          </w:tcPr>
          <w:p w14:paraId="7F19BFC0" w14:textId="77777777" w:rsidR="00C67C9B" w:rsidRPr="00675797" w:rsidRDefault="00C67C9B" w:rsidP="00C67C9B">
            <w:pPr>
              <w:rPr>
                <w:rFonts w:cs="Arial"/>
                <w:sz w:val="20"/>
              </w:rPr>
            </w:pPr>
            <w:r w:rsidRPr="00675797">
              <w:rPr>
                <w:rFonts w:cs="Arial"/>
                <w:sz w:val="20"/>
              </w:rPr>
              <w:t>FGLANDFILL-XXX&lt;34</w:t>
            </w:r>
          </w:p>
          <w:p w14:paraId="6C3A9514" w14:textId="4E082FB4" w:rsidR="00E02068" w:rsidRPr="00675797" w:rsidRDefault="00E02068" w:rsidP="00C67C9B">
            <w:pPr>
              <w:rPr>
                <w:rFonts w:cs="Arial"/>
                <w:sz w:val="20"/>
              </w:rPr>
            </w:pPr>
            <w:r w:rsidRPr="00675797">
              <w:rPr>
                <w:rFonts w:cs="Arial"/>
                <w:sz w:val="20"/>
              </w:rPr>
              <w:t>FGLANDFILL-AAAA&lt;50</w:t>
            </w:r>
          </w:p>
        </w:tc>
      </w:tr>
      <w:tr w:rsidR="00E14632" w14:paraId="10BB6DC1" w14:textId="77777777" w:rsidTr="00E02068">
        <w:trPr>
          <w:cantSplit/>
        </w:trPr>
        <w:tc>
          <w:tcPr>
            <w:tcW w:w="2299" w:type="dxa"/>
          </w:tcPr>
          <w:p w14:paraId="31AC313D" w14:textId="394F50BF" w:rsidR="00E14632" w:rsidRPr="00BB5D62" w:rsidRDefault="00E02068" w:rsidP="00991194">
            <w:pPr>
              <w:rPr>
                <w:rFonts w:cs="Arial"/>
                <w:sz w:val="20"/>
              </w:rPr>
            </w:pPr>
            <w:r w:rsidRPr="002F0F22">
              <w:rPr>
                <w:rFonts w:cs="Arial"/>
                <w:sz w:val="20"/>
              </w:rPr>
              <w:t>EUGASOLINETANK</w:t>
            </w:r>
          </w:p>
        </w:tc>
        <w:tc>
          <w:tcPr>
            <w:tcW w:w="3870" w:type="dxa"/>
          </w:tcPr>
          <w:p w14:paraId="2E9485B3" w14:textId="77777777" w:rsidR="00E14632" w:rsidRDefault="002578B5" w:rsidP="00DF18D2">
            <w:pPr>
              <w:jc w:val="both"/>
              <w:rPr>
                <w:rFonts w:cs="Arial"/>
                <w:sz w:val="20"/>
              </w:rPr>
            </w:pPr>
            <w:r>
              <w:rPr>
                <w:rFonts w:cs="Arial"/>
                <w:sz w:val="20"/>
              </w:rPr>
              <w:t>A split-compartment aboveground storage tank (AST) that contains a 300-gallon compartment containing gasoline. The gasoline is dispensed to on-site vehicles. The monthly throughput will not exceed 10,000 gallons per month.</w:t>
            </w:r>
          </w:p>
          <w:p w14:paraId="35E9CF1F" w14:textId="0A4009D5" w:rsidR="002418BA" w:rsidRPr="00BB5D62" w:rsidRDefault="002418BA" w:rsidP="00DF18D2">
            <w:pPr>
              <w:jc w:val="both"/>
              <w:rPr>
                <w:rFonts w:cs="Arial"/>
                <w:sz w:val="20"/>
              </w:rPr>
            </w:pPr>
          </w:p>
        </w:tc>
        <w:tc>
          <w:tcPr>
            <w:tcW w:w="1800" w:type="dxa"/>
          </w:tcPr>
          <w:p w14:paraId="65BBA98F" w14:textId="52EBD474" w:rsidR="00E14632" w:rsidRPr="00BB5D62" w:rsidRDefault="002578B5" w:rsidP="00F466A0">
            <w:pPr>
              <w:jc w:val="center"/>
              <w:rPr>
                <w:rFonts w:cs="Arial"/>
                <w:sz w:val="20"/>
              </w:rPr>
            </w:pPr>
            <w:r>
              <w:rPr>
                <w:rFonts w:cs="Arial"/>
                <w:sz w:val="20"/>
              </w:rPr>
              <w:t>02-26-1995</w:t>
            </w:r>
          </w:p>
        </w:tc>
        <w:tc>
          <w:tcPr>
            <w:tcW w:w="2471" w:type="dxa"/>
          </w:tcPr>
          <w:p w14:paraId="6B64AFDC" w14:textId="097301D5" w:rsidR="00E14632" w:rsidRPr="00BB5D62" w:rsidRDefault="00E02068" w:rsidP="008F6D06">
            <w:pPr>
              <w:rPr>
                <w:rFonts w:cs="Arial"/>
                <w:sz w:val="20"/>
              </w:rPr>
            </w:pPr>
            <w:r>
              <w:rPr>
                <w:rFonts w:cs="Arial"/>
                <w:sz w:val="20"/>
              </w:rPr>
              <w:t>FGGASDISPENSING</w:t>
            </w:r>
          </w:p>
        </w:tc>
      </w:tr>
    </w:tbl>
    <w:p w14:paraId="1F35085F" w14:textId="77777777" w:rsidR="00B639B1" w:rsidRPr="004B4509" w:rsidRDefault="00B639B1" w:rsidP="002916F7">
      <w:pPr>
        <w:rPr>
          <w:sz w:val="20"/>
        </w:rPr>
      </w:pPr>
    </w:p>
    <w:p w14:paraId="508EE2C7" w14:textId="541F52CF" w:rsidR="00E02068" w:rsidRDefault="00E02068">
      <w:pPr>
        <w:rPr>
          <w:sz w:val="20"/>
        </w:rPr>
      </w:pPr>
      <w:r>
        <w:rPr>
          <w:sz w:val="20"/>
        </w:rPr>
        <w:br w:type="page"/>
      </w:r>
    </w:p>
    <w:p w14:paraId="1E7EC716" w14:textId="6D4F7463" w:rsidR="00C67C9B" w:rsidRDefault="00C67C9B" w:rsidP="00C67C9B">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69" w:name="_Toc159914024"/>
      <w:r>
        <w:rPr>
          <w:szCs w:val="28"/>
        </w:rPr>
        <w:lastRenderedPageBreak/>
        <w:t>EUASBESTOS</w:t>
      </w:r>
      <w:bookmarkEnd w:id="69"/>
    </w:p>
    <w:p w14:paraId="00A8691E" w14:textId="77777777" w:rsidR="00C67C9B" w:rsidRDefault="00C67C9B" w:rsidP="00C67C9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57D55A5F" w14:textId="77777777" w:rsidR="00C67C9B" w:rsidRDefault="00C67C9B" w:rsidP="00C67C9B">
      <w:pPr>
        <w:jc w:val="both"/>
        <w:rPr>
          <w:rFonts w:cs="Arial"/>
          <w:sz w:val="20"/>
        </w:rPr>
      </w:pPr>
    </w:p>
    <w:p w14:paraId="73F7F9E3" w14:textId="77777777" w:rsidR="00C67C9B" w:rsidRDefault="00C67C9B" w:rsidP="00C67C9B">
      <w:pPr>
        <w:jc w:val="both"/>
        <w:rPr>
          <w:b/>
          <w:u w:val="single"/>
        </w:rPr>
      </w:pPr>
      <w:r w:rsidRPr="00305533">
        <w:rPr>
          <w:b/>
          <w:u w:val="single"/>
        </w:rPr>
        <w:t>DESCRIPTION</w:t>
      </w:r>
    </w:p>
    <w:p w14:paraId="0B3A7759" w14:textId="77777777" w:rsidR="00C67C9B" w:rsidRPr="00952E7D" w:rsidRDefault="00C67C9B" w:rsidP="00C67C9B">
      <w:pPr>
        <w:jc w:val="both"/>
      </w:pPr>
    </w:p>
    <w:p w14:paraId="5D014ACD" w14:textId="77777777" w:rsidR="00C67C9B" w:rsidRDefault="00C67C9B" w:rsidP="00C67C9B">
      <w:pPr>
        <w:jc w:val="both"/>
        <w:rPr>
          <w:sz w:val="20"/>
        </w:rPr>
      </w:pPr>
      <w:r w:rsidRPr="00305533">
        <w:rPr>
          <w:sz w:val="20"/>
        </w:rPr>
        <w:t xml:space="preserve">This landfill is actively accepting or has accepted asbestos waste in the past.  </w:t>
      </w:r>
    </w:p>
    <w:p w14:paraId="159F8087" w14:textId="77777777" w:rsidR="00C67C9B" w:rsidRPr="002C4A50" w:rsidRDefault="00C67C9B" w:rsidP="00C67C9B">
      <w:pPr>
        <w:jc w:val="both"/>
        <w:rPr>
          <w:rFonts w:cs="Arial"/>
          <w:sz w:val="20"/>
        </w:rPr>
      </w:pPr>
    </w:p>
    <w:p w14:paraId="23127DA8" w14:textId="2A4D839D" w:rsidR="00C67C9B" w:rsidRPr="002418BA" w:rsidRDefault="00C67C9B" w:rsidP="00C67C9B">
      <w:pPr>
        <w:jc w:val="both"/>
        <w:rPr>
          <w:sz w:val="20"/>
        </w:rPr>
      </w:pPr>
      <w:r w:rsidRPr="00305533">
        <w:rPr>
          <w:b/>
          <w:sz w:val="20"/>
        </w:rPr>
        <w:t>Flexible Group ID:</w:t>
      </w:r>
      <w:r w:rsidRPr="00305533">
        <w:rPr>
          <w:sz w:val="20"/>
        </w:rPr>
        <w:t xml:space="preserve">  </w:t>
      </w:r>
      <w:r w:rsidRPr="00001A42">
        <w:rPr>
          <w:sz w:val="20"/>
        </w:rPr>
        <w:t>FGLANDFILL</w:t>
      </w:r>
      <w:r>
        <w:rPr>
          <w:sz w:val="20"/>
        </w:rPr>
        <w:t>-</w:t>
      </w:r>
      <w:r w:rsidR="002418BA" w:rsidRPr="002418BA">
        <w:rPr>
          <w:sz w:val="20"/>
        </w:rPr>
        <w:t>XXX&lt;34, FG</w:t>
      </w:r>
      <w:r w:rsidR="002418BA">
        <w:rPr>
          <w:sz w:val="20"/>
        </w:rPr>
        <w:t>LANDFILL-AAAA&lt;50</w:t>
      </w:r>
    </w:p>
    <w:p w14:paraId="176B5BDE" w14:textId="77777777" w:rsidR="00C67C9B" w:rsidRPr="00305533" w:rsidRDefault="00C67C9B" w:rsidP="00C67C9B">
      <w:pPr>
        <w:jc w:val="both"/>
      </w:pPr>
    </w:p>
    <w:p w14:paraId="0CB01238" w14:textId="77777777" w:rsidR="00C67C9B" w:rsidRDefault="00C67C9B" w:rsidP="00C67C9B">
      <w:pPr>
        <w:jc w:val="both"/>
        <w:rPr>
          <w:b/>
          <w:u w:val="single"/>
        </w:rPr>
      </w:pPr>
      <w:r w:rsidRPr="00305533">
        <w:rPr>
          <w:b/>
          <w:u w:val="single"/>
        </w:rPr>
        <w:t>POLLUTION CONTROL EQUIPMENT</w:t>
      </w:r>
    </w:p>
    <w:p w14:paraId="59B79528" w14:textId="77777777" w:rsidR="00C67C9B" w:rsidRPr="00952E7D" w:rsidRDefault="00C67C9B" w:rsidP="00C67C9B">
      <w:pPr>
        <w:jc w:val="both"/>
        <w:rPr>
          <w:sz w:val="20"/>
        </w:rPr>
      </w:pPr>
    </w:p>
    <w:p w14:paraId="72E1FCD0" w14:textId="77777777" w:rsidR="00C67C9B" w:rsidRPr="005849F8" w:rsidRDefault="00C67C9B" w:rsidP="00C67C9B">
      <w:pPr>
        <w:jc w:val="both"/>
        <w:rPr>
          <w:sz w:val="20"/>
        </w:rPr>
      </w:pPr>
      <w:r w:rsidRPr="005849F8">
        <w:rPr>
          <w:sz w:val="20"/>
        </w:rPr>
        <w:t>NA</w:t>
      </w:r>
    </w:p>
    <w:p w14:paraId="62ACBD3C" w14:textId="77777777" w:rsidR="00C67C9B" w:rsidRPr="00952E7D" w:rsidRDefault="00C67C9B" w:rsidP="00C67C9B">
      <w:pPr>
        <w:jc w:val="both"/>
      </w:pPr>
    </w:p>
    <w:p w14:paraId="17E48270" w14:textId="77777777" w:rsidR="00C67C9B" w:rsidRPr="00305533" w:rsidRDefault="00C67C9B" w:rsidP="00C67C9B">
      <w:pPr>
        <w:jc w:val="both"/>
        <w:rPr>
          <w:b/>
          <w:u w:val="single"/>
        </w:rPr>
      </w:pPr>
      <w:r w:rsidRPr="00305533">
        <w:rPr>
          <w:b/>
        </w:rPr>
        <w:t xml:space="preserve">I.  </w:t>
      </w:r>
      <w:r w:rsidRPr="00305533">
        <w:rPr>
          <w:b/>
          <w:u w:val="single"/>
        </w:rPr>
        <w:t>EMISSION LIMIT(S)</w:t>
      </w:r>
    </w:p>
    <w:p w14:paraId="346CBBC9" w14:textId="77777777" w:rsidR="00C67C9B" w:rsidRDefault="00C67C9B" w:rsidP="00C67C9B">
      <w:pPr>
        <w:jc w:val="both"/>
        <w:rPr>
          <w:sz w:val="20"/>
        </w:rPr>
      </w:pPr>
    </w:p>
    <w:p w14:paraId="4A6CD13B" w14:textId="77777777" w:rsidR="00C67C9B" w:rsidRDefault="00C67C9B" w:rsidP="00C67C9B">
      <w:pPr>
        <w:jc w:val="both"/>
        <w:rPr>
          <w:sz w:val="20"/>
        </w:rPr>
      </w:pPr>
      <w:r>
        <w:rPr>
          <w:sz w:val="20"/>
        </w:rPr>
        <w:t>NA</w:t>
      </w:r>
    </w:p>
    <w:p w14:paraId="4BA39BA6" w14:textId="77777777" w:rsidR="00C67C9B" w:rsidRPr="00305533" w:rsidRDefault="00C67C9B" w:rsidP="00C67C9B">
      <w:pPr>
        <w:jc w:val="both"/>
        <w:rPr>
          <w:sz w:val="20"/>
        </w:rPr>
      </w:pPr>
    </w:p>
    <w:p w14:paraId="5E9719A0" w14:textId="77777777" w:rsidR="00C67C9B" w:rsidRPr="00305533" w:rsidRDefault="00C67C9B" w:rsidP="00C67C9B">
      <w:pPr>
        <w:tabs>
          <w:tab w:val="left" w:pos="374"/>
        </w:tabs>
        <w:jc w:val="both"/>
        <w:rPr>
          <w:b/>
          <w:u w:val="single"/>
        </w:rPr>
      </w:pPr>
      <w:r>
        <w:rPr>
          <w:b/>
        </w:rPr>
        <w:t xml:space="preserve">II.  </w:t>
      </w:r>
      <w:r w:rsidRPr="00305533">
        <w:rPr>
          <w:b/>
          <w:u w:val="single"/>
        </w:rPr>
        <w:t>MATERIAL LIMIT(S)</w:t>
      </w:r>
    </w:p>
    <w:p w14:paraId="65BF05A9" w14:textId="77777777" w:rsidR="00C67C9B" w:rsidRPr="00305533" w:rsidRDefault="00C67C9B" w:rsidP="00C67C9B">
      <w:pPr>
        <w:jc w:val="both"/>
        <w:rPr>
          <w:sz w:val="20"/>
        </w:rPr>
      </w:pPr>
    </w:p>
    <w:p w14:paraId="6C490BDE" w14:textId="77777777" w:rsidR="00C67C9B" w:rsidRDefault="00C67C9B" w:rsidP="00C67C9B">
      <w:pPr>
        <w:rPr>
          <w:sz w:val="20"/>
        </w:rPr>
      </w:pPr>
      <w:r>
        <w:rPr>
          <w:sz w:val="20"/>
        </w:rPr>
        <w:t>NA</w:t>
      </w:r>
    </w:p>
    <w:p w14:paraId="49593DEE" w14:textId="77777777" w:rsidR="00C67C9B" w:rsidRPr="00305533" w:rsidRDefault="00C67C9B" w:rsidP="00C67C9B">
      <w:pPr>
        <w:rPr>
          <w:sz w:val="20"/>
        </w:rPr>
      </w:pPr>
    </w:p>
    <w:p w14:paraId="7FA9BE15" w14:textId="77777777" w:rsidR="00C67C9B" w:rsidRPr="00305533" w:rsidRDefault="00C67C9B" w:rsidP="00C67C9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DEE17AD" w14:textId="77777777" w:rsidR="00C67C9B" w:rsidRPr="00305533" w:rsidRDefault="00C67C9B" w:rsidP="00C67C9B">
      <w:pPr>
        <w:jc w:val="both"/>
        <w:rPr>
          <w:sz w:val="20"/>
        </w:rPr>
      </w:pPr>
    </w:p>
    <w:p w14:paraId="220F1EFE" w14:textId="77777777" w:rsidR="00C67C9B" w:rsidRPr="00305533" w:rsidRDefault="00C67C9B" w:rsidP="00020C68">
      <w:pPr>
        <w:numPr>
          <w:ilvl w:val="0"/>
          <w:numId w:val="35"/>
        </w:numPr>
        <w:tabs>
          <w:tab w:val="clear" w:pos="0"/>
        </w:tabs>
        <w:spacing w:after="120"/>
        <w:jc w:val="both"/>
        <w:rPr>
          <w:rFonts w:cs="Arial"/>
          <w:sz w:val="20"/>
        </w:rPr>
      </w:pPr>
      <w:r w:rsidRPr="002418BA">
        <w:rPr>
          <w:rFonts w:cs="Arial"/>
          <w:sz w:val="20"/>
        </w:rPr>
        <w:t xml:space="preserve">If the landfill accepts asbestos-containing waste materials from a source covered under 40 CFR 61.149, 40 CFR 61.150, or 40 CFR 61.155, the </w:t>
      </w:r>
      <w:r w:rsidRPr="00305533">
        <w:rPr>
          <w:rFonts w:cs="Arial"/>
          <w:sz w:val="20"/>
        </w:rPr>
        <w:t xml:space="preserve">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3924B344" w14:textId="77777777" w:rsidR="00C67C9B" w:rsidRPr="00305533" w:rsidRDefault="00C67C9B" w:rsidP="00020C68">
      <w:pPr>
        <w:numPr>
          <w:ilvl w:val="1"/>
          <w:numId w:val="35"/>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4FFE0BFF" w14:textId="77777777" w:rsidR="00C67C9B" w:rsidRPr="00305533" w:rsidRDefault="00C67C9B" w:rsidP="00020C68">
      <w:pPr>
        <w:numPr>
          <w:ilvl w:val="1"/>
          <w:numId w:val="35"/>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0" w:name="_Hlk11069896"/>
      <w:bookmarkStart w:id="71" w:name="_Hlk11069780"/>
      <w:r w:rsidRPr="00305533">
        <w:rPr>
          <w:rFonts w:cs="Arial"/>
          <w:b/>
          <w:sz w:val="20"/>
        </w:rPr>
        <w:t>(40</w:t>
      </w:r>
      <w:r>
        <w:rPr>
          <w:rFonts w:cs="Arial"/>
          <w:b/>
          <w:sz w:val="20"/>
        </w:rPr>
        <w:t> </w:t>
      </w:r>
      <w:r w:rsidRPr="00305533">
        <w:rPr>
          <w:rFonts w:cs="Arial"/>
          <w:b/>
          <w:sz w:val="20"/>
        </w:rPr>
        <w:t>CFR 61.154(b))</w:t>
      </w:r>
      <w:bookmarkEnd w:id="70"/>
    </w:p>
    <w:bookmarkEnd w:id="71"/>
    <w:p w14:paraId="601F1CBD" w14:textId="77777777" w:rsidR="00C67C9B" w:rsidRPr="00305533" w:rsidRDefault="00C67C9B" w:rsidP="00020C68">
      <w:pPr>
        <w:numPr>
          <w:ilvl w:val="2"/>
          <w:numId w:val="35"/>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2"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2"/>
      <w:r w:rsidRPr="00305533">
        <w:rPr>
          <w:rFonts w:cs="Arial"/>
          <w:sz w:val="20"/>
        </w:rPr>
        <w:t xml:space="preserve">The warning signs must:  </w:t>
      </w:r>
    </w:p>
    <w:p w14:paraId="249E561A" w14:textId="77777777" w:rsidR="00C67C9B" w:rsidRPr="00305533" w:rsidRDefault="00C67C9B" w:rsidP="00020C68">
      <w:pPr>
        <w:numPr>
          <w:ilvl w:val="0"/>
          <w:numId w:val="34"/>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14:paraId="6959FC4F" w14:textId="77777777" w:rsidR="00C67C9B" w:rsidRPr="00305533" w:rsidRDefault="00C67C9B" w:rsidP="00020C68">
      <w:pPr>
        <w:numPr>
          <w:ilvl w:val="3"/>
          <w:numId w:val="31"/>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3C314CE0" w14:textId="77777777" w:rsidR="00C67C9B" w:rsidRPr="00305533" w:rsidRDefault="00C67C9B" w:rsidP="00020C68">
      <w:pPr>
        <w:numPr>
          <w:ilvl w:val="3"/>
          <w:numId w:val="31"/>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4A5EEF9C" w14:textId="77777777" w:rsidR="00C67C9B" w:rsidRPr="00305533" w:rsidRDefault="00C67C9B" w:rsidP="00020C68">
      <w:pPr>
        <w:numPr>
          <w:ilvl w:val="2"/>
          <w:numId w:val="36"/>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371B2364" w14:textId="77777777" w:rsidR="00C67C9B" w:rsidRDefault="00C67C9B" w:rsidP="00020C68">
      <w:pPr>
        <w:numPr>
          <w:ilvl w:val="2"/>
          <w:numId w:val="36"/>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27298680" w14:textId="77777777" w:rsidR="00C67C9B" w:rsidRDefault="00C67C9B" w:rsidP="00C67C9B">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7F19A7CD" w14:textId="77777777" w:rsidR="00C67C9B" w:rsidRDefault="00C67C9B" w:rsidP="00020C68">
      <w:pPr>
        <w:numPr>
          <w:ilvl w:val="3"/>
          <w:numId w:val="36"/>
        </w:numPr>
        <w:tabs>
          <w:tab w:val="clear" w:pos="360"/>
        </w:tabs>
        <w:jc w:val="both"/>
        <w:rPr>
          <w:rFonts w:cs="Arial"/>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1647525F" w14:textId="77777777" w:rsidR="00C67C9B" w:rsidRPr="00305533" w:rsidRDefault="00C67C9B" w:rsidP="00C67C9B">
      <w:pPr>
        <w:spacing w:after="120"/>
        <w:ind w:left="720"/>
        <w:jc w:val="both"/>
        <w:rPr>
          <w:rFonts w:cs="Arial"/>
          <w:sz w:val="20"/>
        </w:rPr>
      </w:pPr>
      <w:r w:rsidRPr="00305533">
        <w:rPr>
          <w:rFonts w:cs="Arial"/>
          <w:b/>
          <w:sz w:val="20"/>
        </w:rPr>
        <w:t>(40 CFR 61.154(c))</w:t>
      </w:r>
    </w:p>
    <w:p w14:paraId="492FB365" w14:textId="77777777" w:rsidR="00C67C9B" w:rsidRPr="00305533" w:rsidRDefault="00C67C9B" w:rsidP="00020C68">
      <w:pPr>
        <w:numPr>
          <w:ilvl w:val="0"/>
          <w:numId w:val="37"/>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4601FBF6" w14:textId="77777777" w:rsidR="00C67C9B" w:rsidRPr="00305533" w:rsidRDefault="00C67C9B" w:rsidP="00020C68">
      <w:pPr>
        <w:numPr>
          <w:ilvl w:val="0"/>
          <w:numId w:val="37"/>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552BF724" w14:textId="77777777" w:rsidR="00C67C9B" w:rsidRPr="00305533" w:rsidRDefault="00C67C9B" w:rsidP="00C67C9B">
      <w:pPr>
        <w:jc w:val="both"/>
        <w:rPr>
          <w:sz w:val="20"/>
        </w:rPr>
      </w:pPr>
    </w:p>
    <w:p w14:paraId="12B4F3B4" w14:textId="77777777" w:rsidR="00C67C9B" w:rsidRPr="00305533" w:rsidRDefault="00C67C9B" w:rsidP="00C67C9B">
      <w:pPr>
        <w:tabs>
          <w:tab w:val="left" w:pos="374"/>
        </w:tabs>
        <w:jc w:val="both"/>
      </w:pPr>
      <w:r>
        <w:rPr>
          <w:b/>
        </w:rPr>
        <w:t xml:space="preserve">IV.  </w:t>
      </w:r>
      <w:r w:rsidRPr="00305533">
        <w:rPr>
          <w:b/>
          <w:u w:val="single"/>
        </w:rPr>
        <w:t>DESIGN/EQUIPMENT PARAMETERS</w:t>
      </w:r>
    </w:p>
    <w:p w14:paraId="42F5E8C7" w14:textId="77777777" w:rsidR="00C67C9B" w:rsidRPr="00305533" w:rsidRDefault="00C67C9B" w:rsidP="00C67C9B">
      <w:pPr>
        <w:jc w:val="both"/>
      </w:pPr>
    </w:p>
    <w:p w14:paraId="6EEFF075" w14:textId="3B2B9D56" w:rsidR="00C67C9B" w:rsidRPr="00F66CD2" w:rsidRDefault="00C67C9B" w:rsidP="00020C68">
      <w:pPr>
        <w:numPr>
          <w:ilvl w:val="0"/>
          <w:numId w:val="32"/>
        </w:numPr>
        <w:tabs>
          <w:tab w:val="clear" w:pos="0"/>
        </w:tabs>
        <w:spacing w:after="120"/>
        <w:jc w:val="both"/>
        <w:rPr>
          <w:sz w:val="20"/>
        </w:rPr>
      </w:pPr>
      <w:r w:rsidRPr="00F66CD2">
        <w:rPr>
          <w:sz w:val="20"/>
        </w:rPr>
        <w:t xml:space="preserve">The </w:t>
      </w:r>
      <w:r w:rsidRPr="00502096">
        <w:rPr>
          <w:sz w:val="20"/>
        </w:rPr>
        <w:t>placement of gas collection devices determined in paragraph 40 CFR 60.769(a)(1) and 40 CFR 63.1962(a)(1) must control all gas producing areas, except as provided by 40 CFR 60.769(a)(3)(</w:t>
      </w:r>
      <w:proofErr w:type="spellStart"/>
      <w:r w:rsidRPr="00502096">
        <w:rPr>
          <w:sz w:val="20"/>
        </w:rPr>
        <w:t>i</w:t>
      </w:r>
      <w:proofErr w:type="spellEnd"/>
      <w:r w:rsidRPr="00502096">
        <w:rPr>
          <w:sz w:val="20"/>
        </w:rPr>
        <w:t>) and (a)(3)(ii), and 40 CFR 63.1962(a)(3)(</w:t>
      </w:r>
      <w:proofErr w:type="spellStart"/>
      <w:r w:rsidRPr="00502096">
        <w:rPr>
          <w:sz w:val="20"/>
        </w:rPr>
        <w:t>i</w:t>
      </w:r>
      <w:proofErr w:type="spellEnd"/>
      <w:r w:rsidRPr="00502096">
        <w:rPr>
          <w:sz w:val="20"/>
        </w:rPr>
        <w:t xml:space="preserve">) and (a)(3)(ii).  </w:t>
      </w:r>
      <w:r w:rsidRPr="00502096">
        <w:rPr>
          <w:b/>
          <w:sz w:val="20"/>
        </w:rPr>
        <w:t>(40 CFR 60.769(a)(3), 40 CFR 63.1962(a)(3))</w:t>
      </w:r>
    </w:p>
    <w:p w14:paraId="05E8B45D" w14:textId="39F1CB91" w:rsidR="00C67C9B" w:rsidRPr="00305533" w:rsidRDefault="00C67C9B" w:rsidP="00020C68">
      <w:pPr>
        <w:numPr>
          <w:ilvl w:val="1"/>
          <w:numId w:val="32"/>
        </w:numPr>
        <w:tabs>
          <w:tab w:val="clear" w:pos="360"/>
        </w:tabs>
        <w:jc w:val="both"/>
        <w:rPr>
          <w:sz w:val="20"/>
        </w:rPr>
      </w:pPr>
      <w:r w:rsidRPr="00F66CD2">
        <w:rPr>
          <w:sz w:val="20"/>
        </w:rPr>
        <w:t>Any segregated</w:t>
      </w:r>
      <w:r w:rsidRPr="00305533">
        <w:rPr>
          <w:sz w:val="20"/>
        </w:rPr>
        <w:t xml:space="preserve"> area of asbestos or non</w:t>
      </w:r>
      <w:r>
        <w:rPr>
          <w:sz w:val="20"/>
        </w:rPr>
        <w:t>-</w:t>
      </w:r>
      <w:r w:rsidRPr="00305533">
        <w:rPr>
          <w:sz w:val="20"/>
        </w:rPr>
        <w:t xml:space="preserve">degradable material may be excluded from collection if documented as provided under </w:t>
      </w:r>
      <w:r>
        <w:rPr>
          <w:sz w:val="20"/>
        </w:rPr>
        <w:t xml:space="preserve">40 CFR </w:t>
      </w:r>
      <w:r w:rsidRPr="00305533">
        <w:rPr>
          <w:sz w:val="20"/>
        </w:rPr>
        <w:t>60.7</w:t>
      </w:r>
      <w:r>
        <w:rPr>
          <w:sz w:val="20"/>
        </w:rPr>
        <w:t>6</w:t>
      </w:r>
      <w:r w:rsidRPr="00305533">
        <w:rPr>
          <w:sz w:val="20"/>
        </w:rPr>
        <w:t>8(d</w:t>
      </w:r>
      <w:r w:rsidRPr="00502096">
        <w:rPr>
          <w:sz w:val="20"/>
        </w:rPr>
        <w:t xml:space="preserve">) </w:t>
      </w:r>
      <w:r w:rsidRPr="00502096">
        <w:rPr>
          <w:bCs/>
          <w:sz w:val="20"/>
        </w:rPr>
        <w:t>and 40 CFR 63.1983(d)</w:t>
      </w:r>
      <w:r w:rsidRPr="00502096">
        <w:rPr>
          <w:sz w:val="20"/>
        </w:rPr>
        <w:t xml:space="preserve">.  </w:t>
      </w:r>
      <w:r w:rsidRPr="00305533">
        <w:rPr>
          <w:sz w:val="20"/>
        </w:rPr>
        <w:t xml:space="preserve">The documentation </w:t>
      </w:r>
      <w:r>
        <w:rPr>
          <w:sz w:val="20"/>
        </w:rPr>
        <w:t>must</w:t>
      </w:r>
      <w:r w:rsidRPr="00305533">
        <w:rPr>
          <w:sz w:val="20"/>
        </w:rPr>
        <w:t xml:space="preserve">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F66CD2">
        <w:rPr>
          <w:b/>
          <w:sz w:val="20"/>
        </w:rPr>
        <w:t>(</w:t>
      </w:r>
      <w:r w:rsidRPr="00305533">
        <w:rPr>
          <w:b/>
          <w:sz w:val="20"/>
        </w:rPr>
        <w:t>40</w:t>
      </w:r>
      <w:r>
        <w:rPr>
          <w:b/>
          <w:sz w:val="20"/>
        </w:rPr>
        <w:t> </w:t>
      </w:r>
      <w:r w:rsidRPr="00305533">
        <w:rPr>
          <w:b/>
          <w:sz w:val="20"/>
        </w:rPr>
        <w:t>CFR 60.7</w:t>
      </w:r>
      <w:r>
        <w:rPr>
          <w:b/>
          <w:sz w:val="20"/>
        </w:rPr>
        <w:t>6</w:t>
      </w:r>
      <w:r w:rsidRPr="00305533">
        <w:rPr>
          <w:b/>
          <w:sz w:val="20"/>
        </w:rPr>
        <w:t>9(a)(3</w:t>
      </w:r>
      <w:r w:rsidRPr="00502096">
        <w:rPr>
          <w:b/>
          <w:sz w:val="20"/>
        </w:rPr>
        <w:t>)(</w:t>
      </w:r>
      <w:proofErr w:type="spellStart"/>
      <w:r w:rsidRPr="00502096">
        <w:rPr>
          <w:b/>
          <w:sz w:val="20"/>
        </w:rPr>
        <w:t>i</w:t>
      </w:r>
      <w:proofErr w:type="spellEnd"/>
      <w:r w:rsidRPr="00502096">
        <w:rPr>
          <w:b/>
          <w:sz w:val="20"/>
        </w:rPr>
        <w:t>)</w:t>
      </w:r>
      <w:r w:rsidRPr="00502096">
        <w:rPr>
          <w:b/>
          <w:bCs/>
          <w:sz w:val="20"/>
        </w:rPr>
        <w:t>, 40 CFR 63.1962(a)(3)(</w:t>
      </w:r>
      <w:proofErr w:type="spellStart"/>
      <w:r w:rsidRPr="00502096">
        <w:rPr>
          <w:b/>
          <w:bCs/>
          <w:sz w:val="20"/>
        </w:rPr>
        <w:t>i</w:t>
      </w:r>
      <w:proofErr w:type="spellEnd"/>
      <w:r w:rsidRPr="00502096">
        <w:rPr>
          <w:b/>
          <w:bCs/>
          <w:sz w:val="20"/>
        </w:rPr>
        <w:t>))</w:t>
      </w:r>
    </w:p>
    <w:p w14:paraId="4B5C1100" w14:textId="77777777" w:rsidR="00C67C9B" w:rsidRPr="00305533" w:rsidRDefault="00C67C9B" w:rsidP="00C67C9B">
      <w:pPr>
        <w:rPr>
          <w:sz w:val="20"/>
        </w:rPr>
      </w:pPr>
    </w:p>
    <w:p w14:paraId="26051634" w14:textId="77777777" w:rsidR="00C67C9B" w:rsidRPr="00305533" w:rsidRDefault="00C67C9B" w:rsidP="00C67C9B">
      <w:pPr>
        <w:jc w:val="both"/>
        <w:rPr>
          <w:b/>
          <w:u w:val="single"/>
        </w:rPr>
      </w:pPr>
      <w:r w:rsidRPr="00305533">
        <w:rPr>
          <w:b/>
        </w:rPr>
        <w:t xml:space="preserve">V.  </w:t>
      </w:r>
      <w:r w:rsidRPr="00305533">
        <w:rPr>
          <w:b/>
          <w:u w:val="single"/>
        </w:rPr>
        <w:t>TESTING/SAMPLING</w:t>
      </w:r>
    </w:p>
    <w:p w14:paraId="2C317D44" w14:textId="77777777" w:rsidR="00C67C9B" w:rsidRDefault="00C67C9B" w:rsidP="00C67C9B">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19F7246" w14:textId="77777777" w:rsidR="00C67C9B" w:rsidRPr="00305533" w:rsidRDefault="00C67C9B" w:rsidP="00C67C9B">
      <w:pPr>
        <w:jc w:val="both"/>
        <w:rPr>
          <w:sz w:val="20"/>
        </w:rPr>
      </w:pPr>
    </w:p>
    <w:p w14:paraId="5CEF8F5D" w14:textId="77777777" w:rsidR="00C67C9B" w:rsidRPr="00305533" w:rsidRDefault="00C67C9B" w:rsidP="00C67C9B">
      <w:pPr>
        <w:jc w:val="both"/>
        <w:rPr>
          <w:sz w:val="20"/>
        </w:rPr>
      </w:pPr>
      <w:r w:rsidRPr="00305533">
        <w:rPr>
          <w:sz w:val="20"/>
        </w:rPr>
        <w:t>NA</w:t>
      </w:r>
    </w:p>
    <w:p w14:paraId="6D5BDBDE" w14:textId="77777777" w:rsidR="00C67C9B" w:rsidRPr="00305533" w:rsidRDefault="00C67C9B" w:rsidP="00C67C9B">
      <w:pPr>
        <w:jc w:val="both"/>
        <w:rPr>
          <w:sz w:val="20"/>
        </w:rPr>
      </w:pPr>
    </w:p>
    <w:p w14:paraId="780ECD54" w14:textId="77777777" w:rsidR="00C67C9B" w:rsidRPr="00305533" w:rsidRDefault="00C67C9B" w:rsidP="00C67C9B">
      <w:pPr>
        <w:tabs>
          <w:tab w:val="left" w:pos="374"/>
        </w:tabs>
        <w:jc w:val="both"/>
      </w:pPr>
      <w:r>
        <w:rPr>
          <w:b/>
        </w:rPr>
        <w:t xml:space="preserve">VI.  </w:t>
      </w:r>
      <w:r w:rsidRPr="00305533">
        <w:rPr>
          <w:b/>
          <w:u w:val="single"/>
        </w:rPr>
        <w:t>MONITORING/RECORDKEEPING</w:t>
      </w:r>
    </w:p>
    <w:p w14:paraId="6AE80F1E" w14:textId="77777777" w:rsidR="00C67C9B" w:rsidRPr="00305533" w:rsidRDefault="00C67C9B" w:rsidP="00C67C9B">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6398D8A0" w14:textId="77777777" w:rsidR="00C67C9B" w:rsidRPr="00305533" w:rsidRDefault="00C67C9B" w:rsidP="00C67C9B">
      <w:pPr>
        <w:jc w:val="both"/>
        <w:rPr>
          <w:sz w:val="20"/>
        </w:rPr>
      </w:pPr>
    </w:p>
    <w:p w14:paraId="79BB4D29" w14:textId="77777777" w:rsidR="00C67C9B" w:rsidRPr="00305533" w:rsidRDefault="00C67C9B" w:rsidP="00020C68">
      <w:pPr>
        <w:numPr>
          <w:ilvl w:val="0"/>
          <w:numId w:val="28"/>
        </w:numPr>
        <w:tabs>
          <w:tab w:val="clear" w:pos="360"/>
        </w:tabs>
        <w:spacing w:after="120"/>
        <w:jc w:val="both"/>
        <w:rPr>
          <w:rFonts w:cs="Arial"/>
          <w:sz w:val="20"/>
        </w:rPr>
      </w:pPr>
      <w:r w:rsidRPr="00502096">
        <w:rPr>
          <w:rFonts w:cs="Arial"/>
          <w:sz w:val="20"/>
        </w:rPr>
        <w:t xml:space="preserve">For all asbestos-containing waste material received, the permittee </w:t>
      </w:r>
      <w:r w:rsidRPr="00305533">
        <w:rPr>
          <w:rFonts w:cs="Arial"/>
          <w:sz w:val="20"/>
        </w:rPr>
        <w:t xml:space="preserve">of the active waste disposal site shall:  </w:t>
      </w:r>
    </w:p>
    <w:p w14:paraId="218C1256" w14:textId="77777777" w:rsidR="00C67C9B" w:rsidRPr="00305533" w:rsidRDefault="00C67C9B" w:rsidP="00020C68">
      <w:pPr>
        <w:numPr>
          <w:ilvl w:val="1"/>
          <w:numId w:val="28"/>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15A82B36" w14:textId="77777777" w:rsidR="00C67C9B" w:rsidRPr="00305533" w:rsidRDefault="00C67C9B" w:rsidP="00020C68">
      <w:pPr>
        <w:numPr>
          <w:ilvl w:val="2"/>
          <w:numId w:val="28"/>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14:paraId="6F8E7268" w14:textId="7D832C17" w:rsidR="00C67C9B" w:rsidRPr="00305533" w:rsidRDefault="00C67C9B" w:rsidP="00020C68">
      <w:pPr>
        <w:numPr>
          <w:ilvl w:val="2"/>
          <w:numId w:val="28"/>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r w:rsidR="00FC5D79">
        <w:rPr>
          <w:rFonts w:cs="Arial"/>
          <w:b/>
          <w:sz w:val="20"/>
        </w:rPr>
        <w:t>)</w:t>
      </w:r>
    </w:p>
    <w:p w14:paraId="46C7FE09" w14:textId="77777777" w:rsidR="00C67C9B" w:rsidRPr="00305533" w:rsidRDefault="00C67C9B" w:rsidP="00020C68">
      <w:pPr>
        <w:numPr>
          <w:ilvl w:val="2"/>
          <w:numId w:val="28"/>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01697BA9" w14:textId="77777777" w:rsidR="00C67C9B" w:rsidRPr="00305533" w:rsidRDefault="00C67C9B" w:rsidP="00020C68">
      <w:pPr>
        <w:numPr>
          <w:ilvl w:val="2"/>
          <w:numId w:val="28"/>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46B9B472" w14:textId="77777777" w:rsidR="00C67C9B" w:rsidRPr="00305533" w:rsidRDefault="00C67C9B" w:rsidP="00020C68">
      <w:pPr>
        <w:numPr>
          <w:ilvl w:val="2"/>
          <w:numId w:val="28"/>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5D4C6024" w14:textId="77777777" w:rsidR="00C67C9B" w:rsidRPr="00305533" w:rsidRDefault="00C67C9B" w:rsidP="00020C68">
      <w:pPr>
        <w:numPr>
          <w:ilvl w:val="1"/>
          <w:numId w:val="28"/>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56112B81" w14:textId="2C3F65DE" w:rsidR="00C67C9B" w:rsidRPr="00305533" w:rsidRDefault="00C67C9B" w:rsidP="00020C68">
      <w:pPr>
        <w:numPr>
          <w:ilvl w:val="1"/>
          <w:numId w:val="28"/>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sidRPr="00305533">
        <w:rPr>
          <w:rFonts w:cs="Arial"/>
          <w:sz w:val="20"/>
        </w:rPr>
        <w:t xml:space="preserve">  </w:t>
      </w:r>
      <w:r w:rsidRPr="00305533">
        <w:rPr>
          <w:rFonts w:cs="Arial"/>
          <w:b/>
          <w:sz w:val="20"/>
        </w:rPr>
        <w:t>(40 CFR 61.154(e)(3))</w:t>
      </w:r>
    </w:p>
    <w:p w14:paraId="6BBED950" w14:textId="77777777" w:rsidR="00C67C9B" w:rsidRPr="00305533" w:rsidRDefault="00C67C9B" w:rsidP="00C67C9B">
      <w:pPr>
        <w:jc w:val="both"/>
        <w:rPr>
          <w:rFonts w:cs="Arial"/>
          <w:sz w:val="20"/>
        </w:rPr>
      </w:pPr>
    </w:p>
    <w:p w14:paraId="13A3D005" w14:textId="77777777" w:rsidR="00C67C9B" w:rsidRPr="00305533" w:rsidRDefault="00C67C9B" w:rsidP="00020C68">
      <w:pPr>
        <w:numPr>
          <w:ilvl w:val="0"/>
          <w:numId w:val="28"/>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0E701055" w14:textId="77777777" w:rsidR="00C67C9B" w:rsidRPr="00305533" w:rsidRDefault="00C67C9B" w:rsidP="00C67C9B">
      <w:pPr>
        <w:jc w:val="both"/>
        <w:rPr>
          <w:sz w:val="20"/>
        </w:rPr>
      </w:pPr>
    </w:p>
    <w:p w14:paraId="7C2F4F69" w14:textId="1087475B" w:rsidR="00C67C9B" w:rsidRPr="00502096" w:rsidRDefault="00C67C9B" w:rsidP="00020C68">
      <w:pPr>
        <w:numPr>
          <w:ilvl w:val="0"/>
          <w:numId w:val="33"/>
        </w:numPr>
        <w:tabs>
          <w:tab w:val="clear" w:pos="0"/>
        </w:tabs>
        <w:jc w:val="both"/>
        <w:rPr>
          <w:sz w:val="20"/>
        </w:rPr>
      </w:pPr>
      <w:r w:rsidRPr="00305533">
        <w:rPr>
          <w:sz w:val="20"/>
        </w:rPr>
        <w:t xml:space="preserve">The permittee </w:t>
      </w:r>
      <w:r>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60.7</w:t>
      </w:r>
      <w:r>
        <w:rPr>
          <w:sz w:val="20"/>
        </w:rPr>
        <w:t>6</w:t>
      </w:r>
      <w:r w:rsidRPr="00305533">
        <w:rPr>
          <w:sz w:val="20"/>
        </w:rPr>
        <w:t>9(a)(3)(</w:t>
      </w:r>
      <w:proofErr w:type="spellStart"/>
      <w:r w:rsidRPr="00305533">
        <w:rPr>
          <w:sz w:val="20"/>
        </w:rPr>
        <w:t>i</w:t>
      </w:r>
      <w:proofErr w:type="spellEnd"/>
      <w:r w:rsidRPr="00305533">
        <w:rPr>
          <w:sz w:val="20"/>
        </w:rPr>
        <w:t>)</w:t>
      </w:r>
      <w:r>
        <w:rPr>
          <w:sz w:val="20"/>
        </w:rPr>
        <w:t xml:space="preserve"> </w:t>
      </w:r>
      <w:r w:rsidRPr="00502096">
        <w:rPr>
          <w:sz w:val="20"/>
        </w:rPr>
        <w:t>and 40 CFR 63.1962(a)(3)(</w:t>
      </w:r>
      <w:proofErr w:type="spellStart"/>
      <w:r w:rsidRPr="00502096">
        <w:rPr>
          <w:sz w:val="20"/>
        </w:rPr>
        <w:t>i</w:t>
      </w:r>
      <w:proofErr w:type="spellEnd"/>
      <w:r w:rsidRPr="00502096">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60.7</w:t>
      </w:r>
      <w:r>
        <w:rPr>
          <w:sz w:val="20"/>
        </w:rPr>
        <w:t>6</w:t>
      </w:r>
      <w:r w:rsidRPr="00305533">
        <w:rPr>
          <w:sz w:val="20"/>
        </w:rPr>
        <w:t>9(a)(3)(ii)</w:t>
      </w:r>
      <w:r>
        <w:rPr>
          <w:sz w:val="20"/>
        </w:rPr>
        <w:t xml:space="preserve"> and 40 CFR </w:t>
      </w:r>
      <w:r w:rsidRPr="00305533">
        <w:rPr>
          <w:sz w:val="20"/>
        </w:rPr>
        <w:t>6</w:t>
      </w:r>
      <w:r>
        <w:rPr>
          <w:sz w:val="20"/>
        </w:rPr>
        <w:t>3</w:t>
      </w:r>
      <w:r w:rsidRPr="00305533">
        <w:rPr>
          <w:sz w:val="20"/>
        </w:rPr>
        <w:t>.</w:t>
      </w:r>
      <w:r>
        <w:rPr>
          <w:sz w:val="20"/>
        </w:rPr>
        <w:t>1962</w:t>
      </w:r>
      <w:r w:rsidRPr="00305533">
        <w:rPr>
          <w:sz w:val="20"/>
        </w:rPr>
        <w:t>(a)(3)(i</w:t>
      </w:r>
      <w:r>
        <w:rPr>
          <w:sz w:val="20"/>
        </w:rPr>
        <w:t>i</w:t>
      </w:r>
      <w:r w:rsidRPr="00305533">
        <w:rPr>
          <w:sz w:val="20"/>
        </w:rPr>
        <w:t xml:space="preserve">).  </w:t>
      </w:r>
      <w:r w:rsidRPr="00BA6F16">
        <w:rPr>
          <w:b/>
          <w:bCs/>
          <w:sz w:val="20"/>
        </w:rPr>
        <w:t>(</w:t>
      </w:r>
      <w:r w:rsidRPr="00177522">
        <w:rPr>
          <w:b/>
          <w:sz w:val="20"/>
        </w:rPr>
        <w:t>4</w:t>
      </w:r>
      <w:r>
        <w:rPr>
          <w:b/>
          <w:sz w:val="20"/>
        </w:rPr>
        <w:t>0 </w:t>
      </w:r>
      <w:r w:rsidRPr="00177522">
        <w:rPr>
          <w:b/>
          <w:sz w:val="20"/>
        </w:rPr>
        <w:t>CFR 60.7</w:t>
      </w:r>
      <w:r>
        <w:rPr>
          <w:b/>
          <w:sz w:val="20"/>
        </w:rPr>
        <w:t>6</w:t>
      </w:r>
      <w:r w:rsidRPr="00177522">
        <w:rPr>
          <w:b/>
          <w:sz w:val="20"/>
        </w:rPr>
        <w:t>8(d)(2)</w:t>
      </w:r>
      <w:r>
        <w:rPr>
          <w:b/>
          <w:sz w:val="20"/>
        </w:rPr>
        <w:t xml:space="preserve">, </w:t>
      </w:r>
      <w:r w:rsidRPr="00502096">
        <w:rPr>
          <w:b/>
          <w:sz w:val="20"/>
        </w:rPr>
        <w:t>40 CFR 63.1983(d)(2))</w:t>
      </w:r>
    </w:p>
    <w:p w14:paraId="3E067ABD" w14:textId="77777777" w:rsidR="00C67C9B" w:rsidRDefault="00C67C9B" w:rsidP="00C67C9B">
      <w:pPr>
        <w:rPr>
          <w:sz w:val="20"/>
        </w:rPr>
      </w:pPr>
    </w:p>
    <w:p w14:paraId="199F676D" w14:textId="77777777" w:rsidR="00C67C9B" w:rsidRPr="004C0AA7" w:rsidRDefault="00C67C9B" w:rsidP="00020C68">
      <w:pPr>
        <w:numPr>
          <w:ilvl w:val="0"/>
          <w:numId w:val="33"/>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134F6E02" w14:textId="77777777" w:rsidR="00C67C9B" w:rsidRPr="00B62110" w:rsidRDefault="00C67C9B" w:rsidP="00020C68">
      <w:pPr>
        <w:numPr>
          <w:ilvl w:val="1"/>
          <w:numId w:val="38"/>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693BF90C" w14:textId="77777777" w:rsidR="00C67C9B" w:rsidRPr="00B62110" w:rsidRDefault="00C67C9B" w:rsidP="00020C68">
      <w:pPr>
        <w:numPr>
          <w:ilvl w:val="1"/>
          <w:numId w:val="38"/>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 xml:space="preserve">III.1.c of this table.  </w:t>
      </w:r>
      <w:r>
        <w:rPr>
          <w:rFonts w:cs="Arial"/>
          <w:b/>
          <w:sz w:val="20"/>
        </w:rPr>
        <w:t>(40 CFR 61.154(c))</w:t>
      </w:r>
    </w:p>
    <w:p w14:paraId="3CCE35A6" w14:textId="77777777" w:rsidR="00C67C9B" w:rsidRPr="004C0AA7" w:rsidRDefault="00C67C9B" w:rsidP="00020C68">
      <w:pPr>
        <w:numPr>
          <w:ilvl w:val="1"/>
          <w:numId w:val="38"/>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DECF78C" w14:textId="77777777" w:rsidR="00C67C9B" w:rsidRPr="00305533" w:rsidRDefault="00C67C9B" w:rsidP="00C67C9B">
      <w:pPr>
        <w:rPr>
          <w:sz w:val="20"/>
        </w:rPr>
      </w:pPr>
    </w:p>
    <w:p w14:paraId="16E19253" w14:textId="77777777" w:rsidR="00C67C9B" w:rsidRPr="00305533" w:rsidRDefault="00C67C9B" w:rsidP="00C67C9B">
      <w:pPr>
        <w:tabs>
          <w:tab w:val="left" w:pos="374"/>
        </w:tabs>
        <w:jc w:val="both"/>
        <w:rPr>
          <w:b/>
          <w:u w:val="single"/>
        </w:rPr>
      </w:pPr>
      <w:r>
        <w:rPr>
          <w:b/>
        </w:rPr>
        <w:t xml:space="preserve">VII.  </w:t>
      </w:r>
      <w:r w:rsidRPr="00305533">
        <w:rPr>
          <w:b/>
          <w:u w:val="single"/>
        </w:rPr>
        <w:t>REPORTING</w:t>
      </w:r>
    </w:p>
    <w:p w14:paraId="66B7332C" w14:textId="77777777" w:rsidR="00C67C9B" w:rsidRPr="00305533" w:rsidRDefault="00C67C9B" w:rsidP="00C67C9B">
      <w:pPr>
        <w:jc w:val="both"/>
        <w:rPr>
          <w:sz w:val="20"/>
        </w:rPr>
      </w:pPr>
    </w:p>
    <w:p w14:paraId="1D330198" w14:textId="77777777" w:rsidR="00C67C9B" w:rsidRPr="00305533" w:rsidRDefault="00C67C9B" w:rsidP="00020C68">
      <w:pPr>
        <w:numPr>
          <w:ilvl w:val="0"/>
          <w:numId w:val="30"/>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8D0D931" w14:textId="77777777" w:rsidR="00C67C9B" w:rsidRPr="00305533" w:rsidRDefault="00C67C9B" w:rsidP="00C67C9B">
      <w:pPr>
        <w:ind w:left="360" w:hanging="360"/>
        <w:jc w:val="both"/>
        <w:rPr>
          <w:sz w:val="20"/>
        </w:rPr>
      </w:pPr>
    </w:p>
    <w:p w14:paraId="0F2916C1" w14:textId="77777777" w:rsidR="00C67C9B" w:rsidRPr="00305533" w:rsidRDefault="00C67C9B" w:rsidP="00020C68">
      <w:pPr>
        <w:numPr>
          <w:ilvl w:val="0"/>
          <w:numId w:val="30"/>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365A9772" w14:textId="77777777" w:rsidR="00C67C9B" w:rsidRPr="00305533" w:rsidRDefault="00C67C9B" w:rsidP="00C67C9B">
      <w:pPr>
        <w:ind w:left="360" w:hanging="360"/>
        <w:jc w:val="both"/>
        <w:rPr>
          <w:sz w:val="20"/>
        </w:rPr>
      </w:pPr>
    </w:p>
    <w:p w14:paraId="4C70C622" w14:textId="77777777" w:rsidR="00C67C9B" w:rsidRPr="00305533" w:rsidRDefault="00C67C9B" w:rsidP="00020C68">
      <w:pPr>
        <w:numPr>
          <w:ilvl w:val="0"/>
          <w:numId w:val="30"/>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D6DD867" w14:textId="77777777" w:rsidR="00C67C9B" w:rsidRPr="00305533" w:rsidRDefault="00C67C9B" w:rsidP="00C67C9B">
      <w:pPr>
        <w:ind w:right="72"/>
        <w:jc w:val="both"/>
        <w:rPr>
          <w:rFonts w:cs="Arial"/>
          <w:sz w:val="20"/>
        </w:rPr>
      </w:pPr>
    </w:p>
    <w:p w14:paraId="1A1396ED" w14:textId="77777777" w:rsidR="00C67C9B" w:rsidRPr="00305533" w:rsidRDefault="00C67C9B" w:rsidP="00020C68">
      <w:pPr>
        <w:numPr>
          <w:ilvl w:val="0"/>
          <w:numId w:val="30"/>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7C91BBB7" w14:textId="77777777" w:rsidR="00C67C9B" w:rsidRPr="00305533" w:rsidRDefault="00C67C9B" w:rsidP="00C67C9B">
      <w:pPr>
        <w:jc w:val="both"/>
        <w:rPr>
          <w:rFonts w:cs="Arial"/>
          <w:sz w:val="20"/>
        </w:rPr>
      </w:pPr>
    </w:p>
    <w:p w14:paraId="7DDB4F77" w14:textId="77777777" w:rsidR="00C67C9B" w:rsidRPr="00305533" w:rsidRDefault="00C67C9B" w:rsidP="00020C68">
      <w:pPr>
        <w:numPr>
          <w:ilvl w:val="0"/>
          <w:numId w:val="30"/>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14:paraId="61848F53" w14:textId="77777777" w:rsidR="00C67C9B" w:rsidRPr="00305533" w:rsidRDefault="00C67C9B" w:rsidP="00C67C9B">
      <w:pPr>
        <w:jc w:val="both"/>
        <w:rPr>
          <w:rFonts w:cs="Arial"/>
          <w:sz w:val="20"/>
        </w:rPr>
      </w:pPr>
    </w:p>
    <w:p w14:paraId="357B502D" w14:textId="77777777" w:rsidR="00C67C9B" w:rsidRDefault="00C67C9B" w:rsidP="00020C68">
      <w:pPr>
        <w:numPr>
          <w:ilvl w:val="0"/>
          <w:numId w:val="30"/>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56BF8CD6" w14:textId="77777777" w:rsidR="00C67C9B" w:rsidRPr="00303292" w:rsidRDefault="00C67C9B" w:rsidP="00C67C9B">
      <w:pPr>
        <w:spacing w:after="120"/>
        <w:ind w:left="360"/>
        <w:jc w:val="both"/>
        <w:rPr>
          <w:rFonts w:cs="Arial"/>
          <w:sz w:val="20"/>
        </w:rPr>
      </w:pPr>
      <w:r w:rsidRPr="00303292">
        <w:rPr>
          <w:rFonts w:cs="Arial"/>
          <w:sz w:val="20"/>
        </w:rPr>
        <w:t xml:space="preserve">Include the following information in the notice:  </w:t>
      </w:r>
    </w:p>
    <w:p w14:paraId="0D8ADA51" w14:textId="77777777" w:rsidR="00C67C9B" w:rsidRPr="00305533" w:rsidRDefault="00C67C9B" w:rsidP="00020C68">
      <w:pPr>
        <w:numPr>
          <w:ilvl w:val="1"/>
          <w:numId w:val="29"/>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22E61079" w14:textId="77777777" w:rsidR="00C67C9B" w:rsidRPr="00305533" w:rsidRDefault="00C67C9B" w:rsidP="00020C68">
      <w:pPr>
        <w:numPr>
          <w:ilvl w:val="1"/>
          <w:numId w:val="29"/>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F12AA86" w14:textId="77777777" w:rsidR="00C67C9B" w:rsidRPr="00305533" w:rsidRDefault="00C67C9B" w:rsidP="00020C68">
      <w:pPr>
        <w:numPr>
          <w:ilvl w:val="1"/>
          <w:numId w:val="29"/>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3A24DC34" w14:textId="77777777" w:rsidR="00C67C9B" w:rsidRPr="00C20B46" w:rsidRDefault="00C67C9B" w:rsidP="00020C68">
      <w:pPr>
        <w:numPr>
          <w:ilvl w:val="1"/>
          <w:numId w:val="29"/>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332084BE" w14:textId="77777777" w:rsidR="00C67C9B" w:rsidRPr="00EB5D05" w:rsidRDefault="00C67C9B" w:rsidP="00C67C9B">
      <w:pPr>
        <w:jc w:val="both"/>
        <w:rPr>
          <w:rFonts w:cs="Arial"/>
          <w:bCs/>
          <w:sz w:val="20"/>
        </w:rPr>
      </w:pPr>
    </w:p>
    <w:p w14:paraId="01913C4D" w14:textId="77777777" w:rsidR="00C67C9B" w:rsidRPr="00305533" w:rsidRDefault="00C67C9B" w:rsidP="00C67C9B">
      <w:pPr>
        <w:jc w:val="both"/>
        <w:rPr>
          <w:rFonts w:cs="Arial"/>
          <w:b/>
          <w:sz w:val="20"/>
        </w:rPr>
      </w:pPr>
      <w:r w:rsidRPr="00305533">
        <w:rPr>
          <w:rFonts w:cs="Arial"/>
          <w:b/>
          <w:sz w:val="20"/>
        </w:rPr>
        <w:t>See Appendix 8</w:t>
      </w:r>
    </w:p>
    <w:p w14:paraId="3BC31031" w14:textId="77777777" w:rsidR="00C67C9B" w:rsidRDefault="00C67C9B" w:rsidP="00C67C9B">
      <w:pPr>
        <w:jc w:val="both"/>
        <w:rPr>
          <w:rFonts w:cs="Arial"/>
          <w:sz w:val="20"/>
        </w:rPr>
      </w:pPr>
    </w:p>
    <w:p w14:paraId="455106D0" w14:textId="77777777" w:rsidR="00C67C9B" w:rsidRPr="00305533" w:rsidRDefault="00C67C9B" w:rsidP="00C67C9B">
      <w:pPr>
        <w:tabs>
          <w:tab w:val="left" w:pos="374"/>
        </w:tabs>
        <w:jc w:val="both"/>
      </w:pPr>
      <w:r>
        <w:rPr>
          <w:b/>
        </w:rPr>
        <w:t xml:space="preserve">VIII.  </w:t>
      </w:r>
      <w:r w:rsidRPr="00305533">
        <w:rPr>
          <w:b/>
          <w:u w:val="single"/>
        </w:rPr>
        <w:t>STACK/VENT RESTRICTION(S)</w:t>
      </w:r>
    </w:p>
    <w:p w14:paraId="507F24CA" w14:textId="77777777" w:rsidR="00C67C9B" w:rsidRDefault="00C67C9B" w:rsidP="00C67C9B">
      <w:pPr>
        <w:jc w:val="both"/>
        <w:rPr>
          <w:sz w:val="20"/>
        </w:rPr>
      </w:pPr>
    </w:p>
    <w:p w14:paraId="38B3414F" w14:textId="77777777" w:rsidR="00C67C9B" w:rsidRDefault="00C67C9B" w:rsidP="00C67C9B">
      <w:pPr>
        <w:rPr>
          <w:sz w:val="20"/>
        </w:rPr>
      </w:pPr>
      <w:r>
        <w:rPr>
          <w:sz w:val="20"/>
        </w:rPr>
        <w:t>NA</w:t>
      </w:r>
    </w:p>
    <w:p w14:paraId="4FDD4B11" w14:textId="77777777" w:rsidR="00C67C9B" w:rsidRPr="00305533" w:rsidRDefault="00C67C9B" w:rsidP="00C67C9B">
      <w:pPr>
        <w:rPr>
          <w:sz w:val="20"/>
        </w:rPr>
      </w:pPr>
    </w:p>
    <w:p w14:paraId="77959D12" w14:textId="77777777" w:rsidR="00C67C9B" w:rsidRPr="00305533" w:rsidRDefault="00C67C9B" w:rsidP="00C67C9B">
      <w:pPr>
        <w:tabs>
          <w:tab w:val="left" w:pos="374"/>
        </w:tabs>
        <w:jc w:val="both"/>
      </w:pPr>
      <w:r>
        <w:rPr>
          <w:b/>
        </w:rPr>
        <w:t xml:space="preserve">IX.  </w:t>
      </w:r>
      <w:r w:rsidRPr="00305533">
        <w:rPr>
          <w:b/>
          <w:u w:val="single"/>
        </w:rPr>
        <w:t>OTHER REQUIREMENT(S)</w:t>
      </w:r>
    </w:p>
    <w:p w14:paraId="41B7A9D5" w14:textId="77777777" w:rsidR="00C67C9B" w:rsidRPr="00305533" w:rsidRDefault="00C67C9B" w:rsidP="00C67C9B">
      <w:pPr>
        <w:jc w:val="both"/>
        <w:rPr>
          <w:sz w:val="20"/>
        </w:rPr>
      </w:pPr>
    </w:p>
    <w:p w14:paraId="3DFB389B" w14:textId="08FF16F0" w:rsidR="00C67C9B" w:rsidRPr="0020063F" w:rsidRDefault="00C67C9B" w:rsidP="00020C68">
      <w:pPr>
        <w:numPr>
          <w:ilvl w:val="0"/>
          <w:numId w:val="39"/>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(40 CFR Part 61, Subparts A and</w:t>
      </w:r>
      <w:r w:rsidR="00637380">
        <w:rPr>
          <w:b/>
          <w:bCs/>
          <w:color w:val="000000"/>
          <w:sz w:val="20"/>
        </w:rPr>
        <w:t> </w:t>
      </w:r>
      <w:r w:rsidRPr="0020063F">
        <w:rPr>
          <w:b/>
          <w:bCs/>
          <w:color w:val="000000"/>
          <w:sz w:val="20"/>
        </w:rPr>
        <w:t>M)</w:t>
      </w:r>
    </w:p>
    <w:p w14:paraId="69B75F2F" w14:textId="77777777" w:rsidR="00C67C9B" w:rsidRPr="00BA6F16" w:rsidRDefault="00C67C9B" w:rsidP="00C67C9B">
      <w:pPr>
        <w:jc w:val="both"/>
        <w:rPr>
          <w:color w:val="000000"/>
          <w:sz w:val="20"/>
        </w:rPr>
      </w:pPr>
    </w:p>
    <w:p w14:paraId="63FFD543" w14:textId="77777777" w:rsidR="00C67C9B" w:rsidRDefault="00C67C9B" w:rsidP="00C67C9B">
      <w:pPr>
        <w:jc w:val="both"/>
        <w:rPr>
          <w:sz w:val="20"/>
        </w:rPr>
      </w:pPr>
    </w:p>
    <w:p w14:paraId="68A558E2" w14:textId="77777777" w:rsidR="00C67C9B" w:rsidRPr="00305533" w:rsidRDefault="00C67C9B" w:rsidP="00C67C9B">
      <w:pPr>
        <w:jc w:val="both"/>
        <w:rPr>
          <w:sz w:val="20"/>
        </w:rPr>
      </w:pPr>
    </w:p>
    <w:p w14:paraId="3089102E" w14:textId="77777777" w:rsidR="00E14632" w:rsidRPr="00FE0AD0" w:rsidRDefault="00E14632" w:rsidP="00E14632">
      <w:pPr>
        <w:rPr>
          <w:sz w:val="20"/>
        </w:rPr>
      </w:pPr>
    </w:p>
    <w:p w14:paraId="153E79CC" w14:textId="77777777" w:rsidR="00A86D8D" w:rsidRPr="007014BE" w:rsidRDefault="00E14632" w:rsidP="007014BE">
      <w:pPr>
        <w:rPr>
          <w:szCs w:val="22"/>
        </w:rPr>
      </w:pPr>
      <w:r>
        <w:br w:type="page"/>
      </w:r>
    </w:p>
    <w:p w14:paraId="18D34CB8" w14:textId="77777777" w:rsidR="0034744B" w:rsidRPr="00FC1F2C" w:rsidRDefault="0034744B" w:rsidP="00393A6F">
      <w:pPr>
        <w:pStyle w:val="Heading1"/>
        <w:rPr>
          <w:b w:val="0"/>
          <w:sz w:val="20"/>
          <w:szCs w:val="20"/>
        </w:rPr>
      </w:pPr>
      <w:bookmarkStart w:id="73" w:name="_Toc159914025"/>
      <w:r w:rsidRPr="00393A6F">
        <w:lastRenderedPageBreak/>
        <w:t xml:space="preserve">D.  FLEXIBLE GROUP </w:t>
      </w:r>
      <w:bookmarkEnd w:id="64"/>
      <w:r w:rsidR="00494D15">
        <w:t xml:space="preserve">SPECIAL </w:t>
      </w:r>
      <w:r w:rsidR="00456F47" w:rsidRPr="00393A6F">
        <w:t>CONDITIONS</w:t>
      </w:r>
      <w:bookmarkEnd w:id="73"/>
    </w:p>
    <w:p w14:paraId="7D32FEDD" w14:textId="77777777" w:rsidR="0034744B" w:rsidRPr="008E1254" w:rsidRDefault="0034744B" w:rsidP="00FC1F2C">
      <w:pPr>
        <w:rPr>
          <w:sz w:val="20"/>
        </w:rPr>
      </w:pPr>
    </w:p>
    <w:p w14:paraId="2868643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7D861AD" w14:textId="77777777" w:rsidR="009602B7" w:rsidRPr="00FE0AD0" w:rsidRDefault="009602B7" w:rsidP="0034744B">
      <w:pPr>
        <w:jc w:val="both"/>
        <w:rPr>
          <w:sz w:val="20"/>
        </w:rPr>
      </w:pPr>
    </w:p>
    <w:p w14:paraId="5327F45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ED5031F" w14:textId="77777777" w:rsidR="0034744B" w:rsidRDefault="0034744B" w:rsidP="0034744B">
      <w:pPr>
        <w:jc w:val="both"/>
        <w:rPr>
          <w:sz w:val="20"/>
        </w:rPr>
      </w:pPr>
    </w:p>
    <w:p w14:paraId="5ECA9478" w14:textId="77777777" w:rsidR="0034744B" w:rsidRPr="009E40D6" w:rsidRDefault="0034744B" w:rsidP="001F649E">
      <w:pPr>
        <w:pStyle w:val="Heading2"/>
        <w:numPr>
          <w:ilvl w:val="0"/>
          <w:numId w:val="0"/>
        </w:numPr>
        <w:rPr>
          <w:b w:val="0"/>
          <w:bCs/>
          <w:sz w:val="22"/>
          <w:szCs w:val="22"/>
        </w:rPr>
      </w:pPr>
      <w:bookmarkStart w:id="74" w:name="_Toc2571646"/>
      <w:bookmarkStart w:id="75" w:name="_Toc159914026"/>
      <w:r w:rsidRPr="002B5ED5">
        <w:rPr>
          <w:bCs/>
          <w:sz w:val="22"/>
          <w:szCs w:val="22"/>
        </w:rPr>
        <w:t>FLEXIBLE GROUP SUMMARY TABLE</w:t>
      </w:r>
      <w:bookmarkEnd w:id="74"/>
      <w:bookmarkEnd w:id="75"/>
    </w:p>
    <w:p w14:paraId="1CAEAAB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3D90B1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991"/>
        <w:gridCol w:w="2700"/>
      </w:tblGrid>
      <w:tr w:rsidR="00234667" w14:paraId="0FF45782" w14:textId="77777777" w:rsidTr="005F6F07">
        <w:trPr>
          <w:cantSplit/>
          <w:tblHeader/>
        </w:trPr>
        <w:tc>
          <w:tcPr>
            <w:tcW w:w="2479" w:type="dxa"/>
            <w:tcBorders>
              <w:top w:val="double" w:sz="6" w:space="0" w:color="auto"/>
              <w:bottom w:val="double" w:sz="4" w:space="0" w:color="auto"/>
            </w:tcBorders>
            <w:shd w:val="pct10" w:color="auto" w:fill="auto"/>
          </w:tcPr>
          <w:p w14:paraId="688C84C4" w14:textId="77777777" w:rsidR="00234667" w:rsidRPr="006D3561" w:rsidRDefault="00234667" w:rsidP="00991194">
            <w:pPr>
              <w:jc w:val="center"/>
              <w:rPr>
                <w:rFonts w:cs="Arial"/>
                <w:b/>
                <w:sz w:val="20"/>
              </w:rPr>
            </w:pPr>
            <w:r w:rsidRPr="006D3561">
              <w:rPr>
                <w:rFonts w:cs="Arial"/>
                <w:b/>
                <w:sz w:val="20"/>
              </w:rPr>
              <w:t>Flexible Group ID</w:t>
            </w:r>
          </w:p>
        </w:tc>
        <w:tc>
          <w:tcPr>
            <w:tcW w:w="4991" w:type="dxa"/>
            <w:tcBorders>
              <w:top w:val="double" w:sz="6" w:space="0" w:color="auto"/>
              <w:bottom w:val="double" w:sz="4" w:space="0" w:color="auto"/>
            </w:tcBorders>
            <w:shd w:val="pct10" w:color="auto" w:fill="auto"/>
          </w:tcPr>
          <w:p w14:paraId="71CE519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31D918F" w14:textId="77777777" w:rsidR="00234667" w:rsidRPr="006D3561" w:rsidRDefault="00234667" w:rsidP="00991194">
            <w:pPr>
              <w:jc w:val="center"/>
              <w:rPr>
                <w:rFonts w:cs="Arial"/>
                <w:b/>
                <w:sz w:val="20"/>
              </w:rPr>
            </w:pPr>
            <w:r w:rsidRPr="006D3561">
              <w:rPr>
                <w:rFonts w:cs="Arial"/>
                <w:b/>
                <w:sz w:val="20"/>
              </w:rPr>
              <w:t>Associated</w:t>
            </w:r>
          </w:p>
          <w:p w14:paraId="7065E44D" w14:textId="77777777" w:rsidR="00234667" w:rsidRPr="006D3561" w:rsidRDefault="00234667" w:rsidP="00991194">
            <w:pPr>
              <w:jc w:val="center"/>
              <w:rPr>
                <w:rFonts w:cs="Arial"/>
                <w:b/>
                <w:sz w:val="20"/>
              </w:rPr>
            </w:pPr>
            <w:r w:rsidRPr="006D3561">
              <w:rPr>
                <w:rFonts w:cs="Arial"/>
                <w:b/>
                <w:sz w:val="20"/>
              </w:rPr>
              <w:t>Emission Unit IDs</w:t>
            </w:r>
          </w:p>
        </w:tc>
      </w:tr>
      <w:tr w:rsidR="00C67C9B" w14:paraId="45870D00" w14:textId="77777777" w:rsidTr="005F6F07">
        <w:trPr>
          <w:cantSplit/>
        </w:trPr>
        <w:tc>
          <w:tcPr>
            <w:tcW w:w="2479" w:type="dxa"/>
            <w:tcBorders>
              <w:top w:val="nil"/>
              <w:bottom w:val="nil"/>
            </w:tcBorders>
          </w:tcPr>
          <w:p w14:paraId="2BCDE1AE" w14:textId="72C07644" w:rsidR="00C67C9B" w:rsidRPr="001B5E34" w:rsidRDefault="00C67C9B" w:rsidP="00C67C9B">
            <w:pPr>
              <w:rPr>
                <w:rFonts w:cs="Arial"/>
                <w:sz w:val="20"/>
              </w:rPr>
            </w:pPr>
            <w:r>
              <w:rPr>
                <w:rFonts w:cs="Arial"/>
                <w:sz w:val="20"/>
              </w:rPr>
              <w:t>FGLANDFILL-XXX&lt;34</w:t>
            </w:r>
          </w:p>
        </w:tc>
        <w:tc>
          <w:tcPr>
            <w:tcW w:w="4991" w:type="dxa"/>
            <w:tcBorders>
              <w:top w:val="nil"/>
              <w:bottom w:val="nil"/>
            </w:tcBorders>
          </w:tcPr>
          <w:p w14:paraId="68539670" w14:textId="77777777" w:rsidR="00C67C9B" w:rsidRDefault="00C67C9B" w:rsidP="00C67C9B">
            <w:pPr>
              <w:jc w:val="both"/>
              <w:rPr>
                <w:sz w:val="20"/>
              </w:rPr>
            </w:pPr>
            <w:r>
              <w:rPr>
                <w:sz w:val="20"/>
              </w:rPr>
              <w:t>A MSW</w:t>
            </w:r>
            <w:r w:rsidRPr="00C53F0B">
              <w:rPr>
                <w:sz w:val="20"/>
              </w:rPr>
              <w:t xml:space="preserve"> landfill </w:t>
            </w:r>
            <w:r>
              <w:rPr>
                <w:sz w:val="20"/>
              </w:rPr>
              <w:t>that</w:t>
            </w:r>
            <w:r w:rsidRPr="00C53F0B">
              <w:rPr>
                <w:sz w:val="20"/>
              </w:rPr>
              <w:t xml:space="preserve"> </w:t>
            </w:r>
            <w:r>
              <w:rPr>
                <w:sz w:val="20"/>
              </w:rPr>
              <w:t xml:space="preserve">commenced construction, reconstruction, or modification after July 17, 2014.  The MSW landfill has </w:t>
            </w:r>
            <w:r w:rsidRPr="00C53F0B">
              <w:rPr>
                <w:sz w:val="20"/>
              </w:rPr>
              <w:t xml:space="preserve">a design capacity greater than 2.5 million megagrams and 2.5 million cubic meters, </w:t>
            </w:r>
            <w:r>
              <w:rPr>
                <w:sz w:val="20"/>
              </w:rPr>
              <w:t>and</w:t>
            </w:r>
            <w:r w:rsidRPr="00C53F0B">
              <w:rPr>
                <w:sz w:val="20"/>
              </w:rPr>
              <w:t xml:space="preserve"> actual </w:t>
            </w:r>
            <w:r>
              <w:rPr>
                <w:sz w:val="20"/>
              </w:rPr>
              <w:t xml:space="preserve">NMOC </w:t>
            </w:r>
            <w:r w:rsidRPr="00C53F0B">
              <w:rPr>
                <w:sz w:val="20"/>
              </w:rPr>
              <w:t xml:space="preserve">emissions less than </w:t>
            </w:r>
            <w:r>
              <w:rPr>
                <w:sz w:val="20"/>
              </w:rPr>
              <w:t>34</w:t>
            </w:r>
            <w:r w:rsidRPr="00C53F0B">
              <w:rPr>
                <w:sz w:val="20"/>
              </w:rPr>
              <w:t xml:space="preserve"> megagrams</w:t>
            </w:r>
            <w:r>
              <w:rPr>
                <w:sz w:val="20"/>
              </w:rPr>
              <w:t xml:space="preserve"> per year.  </w:t>
            </w:r>
            <w:r w:rsidRPr="175357AD">
              <w:rPr>
                <w:sz w:val="20"/>
              </w:rPr>
              <w:t xml:space="preserve">This </w:t>
            </w:r>
            <w:r>
              <w:rPr>
                <w:sz w:val="20"/>
              </w:rPr>
              <w:t>MSW landfill</w:t>
            </w:r>
            <w:r w:rsidRPr="175357AD">
              <w:rPr>
                <w:sz w:val="20"/>
              </w:rPr>
              <w:t xml:space="preserve"> is subject to the requirements of 40 CFR Part 6</w:t>
            </w:r>
            <w:r>
              <w:rPr>
                <w:sz w:val="20"/>
              </w:rPr>
              <w:t>0</w:t>
            </w:r>
            <w:r w:rsidRPr="175357AD">
              <w:rPr>
                <w:sz w:val="20"/>
              </w:rPr>
              <w:t>, Subpart</w:t>
            </w:r>
            <w:r>
              <w:rPr>
                <w:sz w:val="20"/>
              </w:rPr>
              <w:t xml:space="preserve"> XXX.</w:t>
            </w:r>
          </w:p>
          <w:p w14:paraId="1457A6AE" w14:textId="5C85FDF8" w:rsidR="00875AD0" w:rsidRPr="001B5E34" w:rsidRDefault="00875AD0" w:rsidP="00C67C9B">
            <w:pPr>
              <w:jc w:val="both"/>
              <w:rPr>
                <w:rFonts w:cs="Arial"/>
                <w:sz w:val="20"/>
              </w:rPr>
            </w:pPr>
          </w:p>
        </w:tc>
        <w:tc>
          <w:tcPr>
            <w:tcW w:w="2700" w:type="dxa"/>
            <w:tcBorders>
              <w:top w:val="nil"/>
              <w:bottom w:val="nil"/>
            </w:tcBorders>
          </w:tcPr>
          <w:p w14:paraId="285EF2E4" w14:textId="77777777" w:rsidR="00C67C9B" w:rsidRDefault="00C67C9B" w:rsidP="00C67C9B">
            <w:pPr>
              <w:rPr>
                <w:rFonts w:cs="Arial"/>
                <w:sz w:val="20"/>
              </w:rPr>
            </w:pPr>
            <w:r>
              <w:rPr>
                <w:rFonts w:cs="Arial"/>
                <w:sz w:val="20"/>
              </w:rPr>
              <w:t>EULANDFILL</w:t>
            </w:r>
            <w:r w:rsidR="000E7E3C">
              <w:rPr>
                <w:rFonts w:cs="Arial"/>
                <w:sz w:val="20"/>
              </w:rPr>
              <w:t>,</w:t>
            </w:r>
          </w:p>
          <w:p w14:paraId="01A22C38" w14:textId="04C3F2A6" w:rsidR="000E7E3C" w:rsidRPr="001B5E34" w:rsidRDefault="000E7E3C" w:rsidP="00C67C9B">
            <w:pPr>
              <w:rPr>
                <w:rFonts w:cs="Arial"/>
                <w:sz w:val="20"/>
              </w:rPr>
            </w:pPr>
            <w:r>
              <w:rPr>
                <w:rFonts w:cs="Arial"/>
                <w:sz w:val="20"/>
              </w:rPr>
              <w:t>EUASBESTOS</w:t>
            </w:r>
          </w:p>
        </w:tc>
      </w:tr>
      <w:tr w:rsidR="009C1949" w14:paraId="5CBDB5D6" w14:textId="77777777" w:rsidTr="005F6F07">
        <w:trPr>
          <w:cantSplit/>
        </w:trPr>
        <w:tc>
          <w:tcPr>
            <w:tcW w:w="2479" w:type="dxa"/>
          </w:tcPr>
          <w:p w14:paraId="690A9CBB" w14:textId="69FF53A3" w:rsidR="009C1949" w:rsidRPr="001B5E34" w:rsidRDefault="009C1949" w:rsidP="009C1949">
            <w:pPr>
              <w:rPr>
                <w:rFonts w:cs="Arial"/>
                <w:sz w:val="20"/>
              </w:rPr>
            </w:pPr>
            <w:r>
              <w:rPr>
                <w:rFonts w:cs="Arial"/>
                <w:sz w:val="20"/>
              </w:rPr>
              <w:t>FG</w:t>
            </w:r>
            <w:r w:rsidRPr="00B0696A">
              <w:rPr>
                <w:rFonts w:cs="Arial"/>
                <w:sz w:val="20"/>
              </w:rPr>
              <w:t>LANDFILL</w:t>
            </w:r>
            <w:r>
              <w:rPr>
                <w:rFonts w:cs="Arial"/>
                <w:sz w:val="20"/>
              </w:rPr>
              <w:t>-AAAA&lt;50</w:t>
            </w:r>
          </w:p>
        </w:tc>
        <w:tc>
          <w:tcPr>
            <w:tcW w:w="4991" w:type="dxa"/>
          </w:tcPr>
          <w:p w14:paraId="6A4EA7A7" w14:textId="77777777" w:rsidR="009C1949" w:rsidRDefault="009C1949" w:rsidP="009C1949">
            <w:pPr>
              <w:jc w:val="both"/>
              <w:rPr>
                <w:sz w:val="20"/>
              </w:rPr>
            </w:pPr>
            <w:r w:rsidRPr="175357AD">
              <w:rPr>
                <w:sz w:val="20"/>
              </w:rPr>
              <w:t>A Municipal Solid Waste (MSW) landfill that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w:t>
            </w:r>
            <w:r w:rsidRPr="175357AD">
              <w:rPr>
                <w:sz w:val="20"/>
              </w:rPr>
              <w:t xml:space="preserve">actual NMOC emissions less than </w:t>
            </w:r>
            <w:r>
              <w:rPr>
                <w:sz w:val="20"/>
              </w:rPr>
              <w:t>50</w:t>
            </w:r>
            <w:r w:rsidRPr="175357AD">
              <w:rPr>
                <w:sz w:val="20"/>
              </w:rPr>
              <w:t xml:space="preserve"> </w:t>
            </w:r>
            <w:r>
              <w:rPr>
                <w:sz w:val="20"/>
              </w:rPr>
              <w:t>Mg</w:t>
            </w:r>
            <w:r w:rsidRPr="175357AD">
              <w:rPr>
                <w:sz w:val="20"/>
              </w:rPr>
              <w:t xml:space="preserve"> per year</w:t>
            </w:r>
            <w:r>
              <w:rPr>
                <w:sz w:val="20"/>
              </w:rPr>
              <w:t xml:space="preserve"> </w:t>
            </w:r>
            <w:r w:rsidRPr="00A60A6E">
              <w:rPr>
                <w:sz w:val="20"/>
              </w:rPr>
              <w:t>as calculated according to 40 CFR 63.1959</w:t>
            </w:r>
            <w:r w:rsidRPr="175357AD">
              <w:rPr>
                <w:sz w:val="20"/>
              </w:rPr>
              <w:t xml:space="preserve">.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w:t>
            </w:r>
            <w:r>
              <w:rPr>
                <w:sz w:val="20"/>
              </w:rPr>
              <w:t>3</w:t>
            </w:r>
            <w:r w:rsidRPr="175357AD">
              <w:rPr>
                <w:sz w:val="20"/>
              </w:rPr>
              <w:t xml:space="preserve">, Subpart </w:t>
            </w:r>
            <w:r>
              <w:rPr>
                <w:sz w:val="20"/>
              </w:rPr>
              <w:t>AAAA</w:t>
            </w:r>
            <w:r w:rsidRPr="175357AD">
              <w:rPr>
                <w:sz w:val="20"/>
              </w:rPr>
              <w:t>.</w:t>
            </w:r>
            <w:r>
              <w:rPr>
                <w:sz w:val="20"/>
              </w:rPr>
              <w:t xml:space="preserve"> </w:t>
            </w:r>
          </w:p>
          <w:p w14:paraId="572B8E2B" w14:textId="39AC97F3" w:rsidR="00875AD0" w:rsidRPr="001B5E34" w:rsidRDefault="00875AD0" w:rsidP="009C1949">
            <w:pPr>
              <w:jc w:val="both"/>
              <w:rPr>
                <w:rFonts w:cs="Arial"/>
                <w:sz w:val="20"/>
              </w:rPr>
            </w:pPr>
          </w:p>
        </w:tc>
        <w:tc>
          <w:tcPr>
            <w:tcW w:w="2700" w:type="dxa"/>
          </w:tcPr>
          <w:p w14:paraId="1F9426A9" w14:textId="77777777" w:rsidR="009C1949" w:rsidRDefault="009C1949" w:rsidP="009C1949">
            <w:pPr>
              <w:rPr>
                <w:rFonts w:cs="Arial"/>
                <w:sz w:val="20"/>
              </w:rPr>
            </w:pPr>
            <w:r w:rsidRPr="000E7E3C">
              <w:rPr>
                <w:rFonts w:cs="Arial"/>
                <w:sz w:val="20"/>
              </w:rPr>
              <w:t>EULANDFILL</w:t>
            </w:r>
            <w:r w:rsidR="000E7E3C">
              <w:rPr>
                <w:rFonts w:cs="Arial"/>
                <w:sz w:val="20"/>
              </w:rPr>
              <w:t>,</w:t>
            </w:r>
          </w:p>
          <w:p w14:paraId="3CF9F877" w14:textId="5161F401" w:rsidR="000E7E3C" w:rsidRPr="001B5E34" w:rsidRDefault="000E7E3C" w:rsidP="009C1949">
            <w:pPr>
              <w:rPr>
                <w:rFonts w:cs="Arial"/>
                <w:sz w:val="20"/>
              </w:rPr>
            </w:pPr>
            <w:r>
              <w:rPr>
                <w:rFonts w:cs="Arial"/>
                <w:sz w:val="20"/>
              </w:rPr>
              <w:t>EUASBESTOS</w:t>
            </w:r>
          </w:p>
        </w:tc>
      </w:tr>
      <w:tr w:rsidR="00234667" w14:paraId="591D7365" w14:textId="77777777" w:rsidTr="005F6F07">
        <w:trPr>
          <w:cantSplit/>
        </w:trPr>
        <w:tc>
          <w:tcPr>
            <w:tcW w:w="2479" w:type="dxa"/>
            <w:tcBorders>
              <w:top w:val="nil"/>
              <w:bottom w:val="single" w:sz="6" w:space="0" w:color="auto"/>
            </w:tcBorders>
          </w:tcPr>
          <w:p w14:paraId="74F5ACF4" w14:textId="13C9CD8B" w:rsidR="00234667" w:rsidRPr="001B5E34" w:rsidRDefault="00E02068" w:rsidP="00991194">
            <w:pPr>
              <w:rPr>
                <w:rFonts w:cs="Arial"/>
                <w:sz w:val="20"/>
              </w:rPr>
            </w:pPr>
            <w:r>
              <w:rPr>
                <w:rFonts w:cs="Arial"/>
                <w:sz w:val="20"/>
              </w:rPr>
              <w:t>FGGASDISPENSING</w:t>
            </w:r>
          </w:p>
        </w:tc>
        <w:tc>
          <w:tcPr>
            <w:tcW w:w="4991" w:type="dxa"/>
            <w:tcBorders>
              <w:top w:val="nil"/>
              <w:bottom w:val="single" w:sz="6" w:space="0" w:color="auto"/>
            </w:tcBorders>
          </w:tcPr>
          <w:p w14:paraId="3CC6A284" w14:textId="2D71593D" w:rsidR="00234667" w:rsidRDefault="00F93249" w:rsidP="008F6D06">
            <w:pPr>
              <w:jc w:val="both"/>
              <w:rPr>
                <w:rFonts w:cs="Arial"/>
                <w:sz w:val="20"/>
              </w:rPr>
            </w:pPr>
            <w:bookmarkStart w:id="76" w:name="_Hlk146205412"/>
            <w:r>
              <w:rPr>
                <w:rFonts w:cs="Arial"/>
                <w:sz w:val="20"/>
              </w:rPr>
              <w:t>This flexible group specifies requirements for a gasoline dispensing facility (GDF) that is subject to 40</w:t>
            </w:r>
            <w:r w:rsidR="00DF18D2">
              <w:rPr>
                <w:rFonts w:cs="Arial"/>
                <w:sz w:val="20"/>
              </w:rPr>
              <w:t> </w:t>
            </w:r>
            <w:r>
              <w:rPr>
                <w:rFonts w:cs="Arial"/>
                <w:sz w:val="20"/>
              </w:rPr>
              <w:t xml:space="preserve">CFR Part 63 Subpart CCCCCC – National Emission Standards for Hazardous Air Pollutants (NESHAP) for Source Categories: Gasoline Dispensing Facilities. </w:t>
            </w:r>
            <w:r w:rsidR="00DF18D2">
              <w:rPr>
                <w:rFonts w:cs="Arial"/>
                <w:sz w:val="20"/>
              </w:rPr>
              <w:t xml:space="preserve"> </w:t>
            </w:r>
            <w:r>
              <w:rPr>
                <w:rFonts w:cs="Arial"/>
                <w:sz w:val="20"/>
              </w:rPr>
              <w:t xml:space="preserve">This flexible group includes existing stationary GDF equipment that was constructed before November 9, 2006, and that have a monthly gasoline throughput less than 10,000 gallons and is located at an area source of hazardous air pollutants. </w:t>
            </w:r>
            <w:r w:rsidR="00DF18D2">
              <w:rPr>
                <w:rFonts w:cs="Arial"/>
                <w:sz w:val="20"/>
              </w:rPr>
              <w:t xml:space="preserve"> </w:t>
            </w:r>
            <w:r>
              <w:rPr>
                <w:rFonts w:cs="Arial"/>
                <w:sz w:val="20"/>
              </w:rPr>
              <w:t xml:space="preserve">The affected </w:t>
            </w:r>
            <w:r w:rsidR="00875AD0">
              <w:rPr>
                <w:rFonts w:cs="Arial"/>
                <w:sz w:val="20"/>
              </w:rPr>
              <w:t xml:space="preserve">source includes each gasoline cargo tank during the delivery of product to a GDF and includes each storage tank that dispenses gasoline into the fuel tank of a motor vehicle. </w:t>
            </w:r>
          </w:p>
          <w:bookmarkEnd w:id="76"/>
          <w:p w14:paraId="0FF90128" w14:textId="676C0048" w:rsidR="00875AD0" w:rsidRPr="001B5E34" w:rsidRDefault="00875AD0" w:rsidP="008F6D06">
            <w:pPr>
              <w:jc w:val="both"/>
              <w:rPr>
                <w:rFonts w:cs="Arial"/>
                <w:sz w:val="20"/>
              </w:rPr>
            </w:pPr>
          </w:p>
        </w:tc>
        <w:tc>
          <w:tcPr>
            <w:tcW w:w="2700" w:type="dxa"/>
            <w:tcBorders>
              <w:top w:val="nil"/>
              <w:bottom w:val="single" w:sz="6" w:space="0" w:color="auto"/>
            </w:tcBorders>
          </w:tcPr>
          <w:p w14:paraId="6BD5D403" w14:textId="203BEC2B" w:rsidR="00234667" w:rsidRDefault="00E02068" w:rsidP="00991194">
            <w:pPr>
              <w:rPr>
                <w:rFonts w:cs="Arial"/>
                <w:sz w:val="20"/>
              </w:rPr>
            </w:pPr>
            <w:r>
              <w:rPr>
                <w:rFonts w:cs="Arial"/>
                <w:sz w:val="20"/>
              </w:rPr>
              <w:t>EUGASOLINETANK</w:t>
            </w:r>
          </w:p>
          <w:p w14:paraId="5EAE2064" w14:textId="35DAA6C0" w:rsidR="00E02068" w:rsidRPr="001B5E34" w:rsidRDefault="00E02068" w:rsidP="00991194">
            <w:pPr>
              <w:rPr>
                <w:rFonts w:cs="Arial"/>
                <w:sz w:val="20"/>
              </w:rPr>
            </w:pPr>
          </w:p>
        </w:tc>
      </w:tr>
    </w:tbl>
    <w:p w14:paraId="0E66C17F" w14:textId="77777777" w:rsidR="00E735E6" w:rsidRDefault="00E735E6" w:rsidP="008427BE">
      <w:pPr>
        <w:jc w:val="both"/>
        <w:rPr>
          <w:sz w:val="20"/>
        </w:rPr>
      </w:pPr>
    </w:p>
    <w:p w14:paraId="1719D6D1" w14:textId="77777777" w:rsidR="00AE1D84" w:rsidRDefault="00AE1D84" w:rsidP="008427BE">
      <w:pPr>
        <w:jc w:val="both"/>
        <w:rPr>
          <w:sz w:val="20"/>
        </w:rPr>
      </w:pPr>
      <w:r>
        <w:rPr>
          <w:sz w:val="20"/>
        </w:rPr>
        <w:br w:type="page"/>
      </w:r>
    </w:p>
    <w:p w14:paraId="73343A14" w14:textId="77777777" w:rsidR="00C67C9B" w:rsidRPr="0075518C" w:rsidRDefault="00C67C9B" w:rsidP="00C67C9B">
      <w:pPr>
        <w:pStyle w:val="Heading2"/>
        <w:numPr>
          <w:ilvl w:val="0"/>
          <w:numId w:val="0"/>
        </w:numPr>
        <w:pBdr>
          <w:top w:val="single" w:sz="4" w:space="1" w:color="auto"/>
          <w:left w:val="single" w:sz="4" w:space="4" w:color="auto"/>
          <w:bottom w:val="single" w:sz="4" w:space="1" w:color="auto"/>
          <w:right w:val="single" w:sz="4" w:space="4" w:color="auto"/>
        </w:pBdr>
      </w:pPr>
      <w:bookmarkStart w:id="77" w:name="_Toc159914027"/>
      <w:bookmarkStart w:id="78" w:name="_Toc1453518"/>
      <w:bookmarkEnd w:id="61"/>
      <w:bookmarkEnd w:id="62"/>
      <w:bookmarkEnd w:id="63"/>
      <w:r>
        <w:lastRenderedPageBreak/>
        <w:t>FG</w:t>
      </w:r>
      <w:r w:rsidRPr="00484DDB">
        <w:rPr>
          <w:szCs w:val="28"/>
        </w:rPr>
        <w:t>LANDFILL</w:t>
      </w:r>
      <w:r>
        <w:rPr>
          <w:szCs w:val="28"/>
        </w:rPr>
        <w:t>-XXX</w:t>
      </w:r>
      <w:r w:rsidRPr="00484DDB">
        <w:rPr>
          <w:szCs w:val="28"/>
        </w:rPr>
        <w:t>&lt;34</w:t>
      </w:r>
      <w:bookmarkEnd w:id="77"/>
    </w:p>
    <w:p w14:paraId="35A50BC6" w14:textId="77777777" w:rsidR="00C67C9B" w:rsidRPr="00EE02F9" w:rsidRDefault="00C67C9B" w:rsidP="00C67C9B">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EE02F9">
        <w:rPr>
          <w:b/>
          <w:sz w:val="28"/>
          <w:szCs w:val="28"/>
        </w:rPr>
        <w:t xml:space="preserve"> </w:t>
      </w:r>
      <w:r>
        <w:rPr>
          <w:b/>
          <w:sz w:val="28"/>
          <w:szCs w:val="28"/>
        </w:rPr>
        <w:t>CONDITION</w:t>
      </w:r>
      <w:r w:rsidRPr="00EE02F9">
        <w:rPr>
          <w:b/>
          <w:sz w:val="28"/>
          <w:szCs w:val="28"/>
        </w:rPr>
        <w:t>S</w:t>
      </w:r>
    </w:p>
    <w:p w14:paraId="17C1842C" w14:textId="77777777" w:rsidR="00C67C9B" w:rsidRPr="00CC02A3" w:rsidRDefault="00C67C9B" w:rsidP="00C67C9B">
      <w:pPr>
        <w:rPr>
          <w:sz w:val="20"/>
        </w:rPr>
      </w:pPr>
    </w:p>
    <w:p w14:paraId="75F84C45" w14:textId="77777777" w:rsidR="00C67C9B" w:rsidRPr="00CC02A3" w:rsidRDefault="00C67C9B" w:rsidP="00C67C9B">
      <w:pPr>
        <w:rPr>
          <w:sz w:val="20"/>
        </w:rPr>
      </w:pPr>
    </w:p>
    <w:p w14:paraId="5192ED6C" w14:textId="77777777" w:rsidR="00C67C9B" w:rsidRPr="00CC02A3" w:rsidRDefault="00C67C9B" w:rsidP="00C67C9B">
      <w:pPr>
        <w:jc w:val="both"/>
        <w:rPr>
          <w:b/>
          <w:sz w:val="20"/>
          <w:u w:val="single"/>
        </w:rPr>
      </w:pPr>
      <w:r>
        <w:rPr>
          <w:b/>
          <w:u w:val="single"/>
        </w:rPr>
        <w:t>DESCRIPTION</w:t>
      </w:r>
    </w:p>
    <w:p w14:paraId="0CAB39E7" w14:textId="77777777" w:rsidR="00C67C9B" w:rsidRPr="00906ACF" w:rsidRDefault="00C67C9B" w:rsidP="00C67C9B">
      <w:pPr>
        <w:jc w:val="both"/>
        <w:rPr>
          <w:sz w:val="20"/>
        </w:rPr>
      </w:pPr>
    </w:p>
    <w:p w14:paraId="1FD91B73" w14:textId="77777777" w:rsidR="00C67C9B" w:rsidRPr="00906ACF" w:rsidRDefault="00C67C9B" w:rsidP="00C67C9B">
      <w:pPr>
        <w:jc w:val="both"/>
        <w:rPr>
          <w:sz w:val="20"/>
        </w:rPr>
      </w:pPr>
      <w:r>
        <w:rPr>
          <w:sz w:val="20"/>
        </w:rPr>
        <w:t>A MSW</w:t>
      </w:r>
      <w:r w:rsidRPr="00C53F0B">
        <w:rPr>
          <w:sz w:val="20"/>
        </w:rPr>
        <w:t xml:space="preserve"> landfill </w:t>
      </w:r>
      <w:r>
        <w:rPr>
          <w:sz w:val="20"/>
        </w:rPr>
        <w:t>that</w:t>
      </w:r>
      <w:r w:rsidRPr="00C53F0B">
        <w:rPr>
          <w:sz w:val="20"/>
        </w:rPr>
        <w:t xml:space="preserve"> </w:t>
      </w:r>
      <w:r>
        <w:rPr>
          <w:sz w:val="20"/>
        </w:rPr>
        <w:t xml:space="preserve">commenced construction, reconstruction, or modification after July 17, 2014.  The MSW landfill has </w:t>
      </w:r>
      <w:r w:rsidRPr="00C53F0B">
        <w:rPr>
          <w:sz w:val="20"/>
        </w:rPr>
        <w:t xml:space="preserve">a design capacity greater than 2.5 million megagrams and 2.5 million cubic meters, </w:t>
      </w:r>
      <w:r>
        <w:rPr>
          <w:sz w:val="20"/>
        </w:rPr>
        <w:t>and</w:t>
      </w:r>
      <w:r w:rsidRPr="00C53F0B">
        <w:rPr>
          <w:sz w:val="20"/>
        </w:rPr>
        <w:t xml:space="preserve"> actual </w:t>
      </w:r>
      <w:r>
        <w:rPr>
          <w:sz w:val="20"/>
        </w:rPr>
        <w:t xml:space="preserve">NMOC </w:t>
      </w:r>
      <w:r w:rsidRPr="00C53F0B">
        <w:rPr>
          <w:sz w:val="20"/>
        </w:rPr>
        <w:t xml:space="preserve">emissions less than </w:t>
      </w:r>
      <w:r>
        <w:rPr>
          <w:sz w:val="20"/>
        </w:rPr>
        <w:t>34</w:t>
      </w:r>
      <w:r w:rsidRPr="00C53F0B">
        <w:rPr>
          <w:sz w:val="20"/>
        </w:rPr>
        <w:t xml:space="preserve"> megagrams</w:t>
      </w:r>
      <w:r>
        <w:rPr>
          <w:sz w:val="20"/>
        </w:rPr>
        <w:t xml:space="preserve"> per year.  </w:t>
      </w:r>
      <w:r w:rsidRPr="175357AD">
        <w:rPr>
          <w:sz w:val="20"/>
        </w:rPr>
        <w:t xml:space="preserve">This </w:t>
      </w:r>
      <w:r>
        <w:rPr>
          <w:sz w:val="20"/>
        </w:rPr>
        <w:t>MSW landfill</w:t>
      </w:r>
      <w:r w:rsidRPr="175357AD">
        <w:rPr>
          <w:sz w:val="20"/>
        </w:rPr>
        <w:t xml:space="preserve"> is subject to the requirements of 40 CFR Part 6</w:t>
      </w:r>
      <w:r>
        <w:rPr>
          <w:sz w:val="20"/>
        </w:rPr>
        <w:t>0</w:t>
      </w:r>
      <w:r w:rsidRPr="175357AD">
        <w:rPr>
          <w:sz w:val="20"/>
        </w:rPr>
        <w:t>, Subpart</w:t>
      </w:r>
      <w:r>
        <w:rPr>
          <w:sz w:val="20"/>
        </w:rPr>
        <w:t xml:space="preserve"> XXX.</w:t>
      </w:r>
    </w:p>
    <w:p w14:paraId="66FEDE05" w14:textId="77777777" w:rsidR="00C67C9B" w:rsidRPr="00112935" w:rsidRDefault="00C67C9B" w:rsidP="00C67C9B">
      <w:pPr>
        <w:jc w:val="both"/>
        <w:rPr>
          <w:sz w:val="20"/>
        </w:rPr>
      </w:pPr>
    </w:p>
    <w:p w14:paraId="5A985E73" w14:textId="056A846A" w:rsidR="00C67C9B" w:rsidRPr="00251BC9" w:rsidRDefault="00C67C9B" w:rsidP="00C67C9B">
      <w:pPr>
        <w:jc w:val="both"/>
        <w:rPr>
          <w:sz w:val="20"/>
        </w:rPr>
      </w:pPr>
      <w:r>
        <w:rPr>
          <w:b/>
          <w:sz w:val="20"/>
        </w:rPr>
        <w:t>Emission Unit</w:t>
      </w:r>
      <w:r w:rsidR="000E7ACC">
        <w:rPr>
          <w:b/>
          <w:sz w:val="20"/>
        </w:rPr>
        <w:t>s</w:t>
      </w:r>
      <w:r>
        <w:rPr>
          <w:b/>
          <w:sz w:val="20"/>
        </w:rPr>
        <w:t>:</w:t>
      </w:r>
      <w:r w:rsidRPr="00E50FF1">
        <w:rPr>
          <w:sz w:val="20"/>
        </w:rPr>
        <w:t xml:space="preserve">  </w:t>
      </w:r>
      <w:r w:rsidRPr="00675797">
        <w:rPr>
          <w:sz w:val="20"/>
        </w:rPr>
        <w:t>EULANDFILL</w:t>
      </w:r>
      <w:r w:rsidR="007C6C51">
        <w:rPr>
          <w:sz w:val="20"/>
        </w:rPr>
        <w:t>, EUASBESTOS</w:t>
      </w:r>
    </w:p>
    <w:p w14:paraId="226C4C8D" w14:textId="77777777" w:rsidR="00C67C9B" w:rsidRPr="00906ACF" w:rsidRDefault="00C67C9B" w:rsidP="00C67C9B">
      <w:pPr>
        <w:jc w:val="both"/>
        <w:rPr>
          <w:sz w:val="20"/>
        </w:rPr>
      </w:pPr>
    </w:p>
    <w:p w14:paraId="2FC190D8" w14:textId="77777777" w:rsidR="00C67C9B" w:rsidRDefault="00C67C9B" w:rsidP="00C67C9B">
      <w:pPr>
        <w:jc w:val="both"/>
        <w:rPr>
          <w:b/>
          <w:u w:val="single"/>
        </w:rPr>
      </w:pPr>
      <w:r>
        <w:rPr>
          <w:b/>
          <w:u w:val="single"/>
        </w:rPr>
        <w:t>POLLUTION CONTROL EQUIPMENT</w:t>
      </w:r>
    </w:p>
    <w:p w14:paraId="2FDE7D38" w14:textId="77777777" w:rsidR="00C67C9B" w:rsidRPr="00906ACF" w:rsidRDefault="00C67C9B" w:rsidP="00C67C9B">
      <w:pPr>
        <w:jc w:val="both"/>
        <w:rPr>
          <w:sz w:val="20"/>
        </w:rPr>
      </w:pPr>
    </w:p>
    <w:p w14:paraId="0576A384" w14:textId="0B2A356F" w:rsidR="00C67C9B" w:rsidRPr="00875AD0" w:rsidRDefault="00875AD0" w:rsidP="00C67C9B">
      <w:pPr>
        <w:rPr>
          <w:sz w:val="20"/>
        </w:rPr>
      </w:pPr>
      <w:bookmarkStart w:id="79" w:name="_Hlk146624839"/>
      <w:r w:rsidRPr="00875AD0">
        <w:rPr>
          <w:sz w:val="20"/>
        </w:rPr>
        <w:t xml:space="preserve">Three (3) solar passive vent flares. </w:t>
      </w:r>
    </w:p>
    <w:bookmarkEnd w:id="79"/>
    <w:p w14:paraId="336BAE16" w14:textId="77777777" w:rsidR="00C67C9B" w:rsidRPr="00112935" w:rsidRDefault="00C67C9B" w:rsidP="00C67C9B">
      <w:pPr>
        <w:jc w:val="both"/>
        <w:rPr>
          <w:sz w:val="20"/>
        </w:rPr>
      </w:pPr>
    </w:p>
    <w:p w14:paraId="45023F22" w14:textId="77777777" w:rsidR="00C67C9B" w:rsidRPr="00CC02A3" w:rsidRDefault="00C67C9B" w:rsidP="00C67C9B">
      <w:pPr>
        <w:jc w:val="both"/>
        <w:rPr>
          <w:b/>
          <w:sz w:val="20"/>
          <w:u w:val="single"/>
        </w:rPr>
      </w:pPr>
      <w:r>
        <w:rPr>
          <w:b/>
        </w:rPr>
        <w:t xml:space="preserve">I.  </w:t>
      </w:r>
      <w:r>
        <w:rPr>
          <w:b/>
          <w:u w:val="single"/>
        </w:rPr>
        <w:t>EMISSION LIMIT(S)</w:t>
      </w:r>
    </w:p>
    <w:p w14:paraId="023CDD96" w14:textId="77777777" w:rsidR="00C67C9B" w:rsidRDefault="00C67C9B" w:rsidP="00C67C9B">
      <w:pPr>
        <w:jc w:val="both"/>
        <w:rPr>
          <w:sz w:val="20"/>
        </w:rPr>
      </w:pPr>
    </w:p>
    <w:p w14:paraId="740D7BFC" w14:textId="77777777" w:rsidR="00C67C9B" w:rsidRDefault="00C67C9B" w:rsidP="00C67C9B">
      <w:pPr>
        <w:jc w:val="both"/>
        <w:rPr>
          <w:sz w:val="20"/>
        </w:rPr>
      </w:pPr>
      <w:r>
        <w:rPr>
          <w:sz w:val="20"/>
        </w:rPr>
        <w:t>NA</w:t>
      </w:r>
    </w:p>
    <w:p w14:paraId="445A711A" w14:textId="77777777" w:rsidR="00C67C9B" w:rsidRDefault="00C67C9B" w:rsidP="00C67C9B">
      <w:pPr>
        <w:jc w:val="both"/>
        <w:rPr>
          <w:sz w:val="20"/>
        </w:rPr>
      </w:pPr>
    </w:p>
    <w:p w14:paraId="5CB1DB45" w14:textId="77777777" w:rsidR="00C67C9B" w:rsidRDefault="00C67C9B" w:rsidP="00C67C9B">
      <w:pPr>
        <w:jc w:val="both"/>
        <w:rPr>
          <w:b/>
          <w:u w:val="single"/>
        </w:rPr>
      </w:pPr>
      <w:r>
        <w:rPr>
          <w:b/>
        </w:rPr>
        <w:t xml:space="preserve">II.  </w:t>
      </w:r>
      <w:r>
        <w:rPr>
          <w:b/>
          <w:u w:val="single"/>
        </w:rPr>
        <w:t>MATERIAL LIMIT(S)</w:t>
      </w:r>
    </w:p>
    <w:p w14:paraId="2E35C454" w14:textId="77777777" w:rsidR="00C67C9B" w:rsidRPr="00112935" w:rsidRDefault="00C67C9B" w:rsidP="00C67C9B">
      <w:pPr>
        <w:jc w:val="both"/>
        <w:rPr>
          <w:sz w:val="20"/>
        </w:rPr>
      </w:pPr>
    </w:p>
    <w:p w14:paraId="5FB99152" w14:textId="77777777" w:rsidR="00C67C9B" w:rsidRDefault="00C67C9B" w:rsidP="00C67C9B">
      <w:pPr>
        <w:jc w:val="both"/>
        <w:rPr>
          <w:sz w:val="20"/>
        </w:rPr>
      </w:pPr>
      <w:r>
        <w:rPr>
          <w:sz w:val="20"/>
        </w:rPr>
        <w:t>NA</w:t>
      </w:r>
    </w:p>
    <w:p w14:paraId="6D08E994" w14:textId="77777777" w:rsidR="00C67C9B" w:rsidRDefault="00C67C9B" w:rsidP="00C67C9B">
      <w:pPr>
        <w:jc w:val="both"/>
        <w:rPr>
          <w:sz w:val="20"/>
        </w:rPr>
      </w:pPr>
    </w:p>
    <w:p w14:paraId="09F5B719" w14:textId="77777777" w:rsidR="00C67C9B" w:rsidRPr="00CC02A3" w:rsidRDefault="00C67C9B" w:rsidP="00C67C9B">
      <w:pPr>
        <w:jc w:val="both"/>
        <w:rPr>
          <w:b/>
          <w:sz w:val="20"/>
          <w:u w:val="single"/>
        </w:rPr>
      </w:pPr>
      <w:r>
        <w:rPr>
          <w:b/>
        </w:rPr>
        <w:t xml:space="preserve">III.  </w:t>
      </w:r>
      <w:r>
        <w:rPr>
          <w:b/>
          <w:u w:val="single"/>
        </w:rPr>
        <w:t>PROCESS/OPERATIONAL RESTRICTION(S)</w:t>
      </w:r>
      <w:r w:rsidDel="001C614B">
        <w:rPr>
          <w:b/>
          <w:u w:val="single"/>
        </w:rPr>
        <w:t xml:space="preserve"> </w:t>
      </w:r>
    </w:p>
    <w:p w14:paraId="327DF5F3" w14:textId="77777777" w:rsidR="00C67C9B" w:rsidRDefault="00C67C9B" w:rsidP="00C67C9B">
      <w:pPr>
        <w:jc w:val="both"/>
        <w:rPr>
          <w:sz w:val="20"/>
        </w:rPr>
      </w:pPr>
    </w:p>
    <w:p w14:paraId="25514A23" w14:textId="77777777" w:rsidR="00C67C9B" w:rsidRPr="00FE0AD0" w:rsidRDefault="00C67C9B" w:rsidP="00C67C9B">
      <w:pPr>
        <w:jc w:val="both"/>
        <w:rPr>
          <w:sz w:val="20"/>
        </w:rPr>
      </w:pPr>
      <w:r>
        <w:rPr>
          <w:sz w:val="20"/>
        </w:rPr>
        <w:t>NA</w:t>
      </w:r>
    </w:p>
    <w:p w14:paraId="3A95F8E8" w14:textId="77777777" w:rsidR="00C67C9B" w:rsidRPr="00666AB0" w:rsidRDefault="00C67C9B" w:rsidP="00C67C9B">
      <w:pPr>
        <w:jc w:val="both"/>
        <w:rPr>
          <w:rFonts w:cs="Arial"/>
          <w:sz w:val="20"/>
        </w:rPr>
      </w:pPr>
    </w:p>
    <w:p w14:paraId="267AAE1B" w14:textId="77777777" w:rsidR="00C67C9B" w:rsidRPr="00CC02A3" w:rsidRDefault="00C67C9B" w:rsidP="00C67C9B">
      <w:pPr>
        <w:jc w:val="both"/>
        <w:rPr>
          <w:b/>
          <w:sz w:val="20"/>
          <w:u w:val="single"/>
        </w:rPr>
      </w:pPr>
      <w:r>
        <w:rPr>
          <w:b/>
        </w:rPr>
        <w:t xml:space="preserve">IV.  </w:t>
      </w:r>
      <w:r>
        <w:rPr>
          <w:b/>
          <w:u w:val="single"/>
        </w:rPr>
        <w:t>DESIGN/EQUIPMENT PARAMETER(S)</w:t>
      </w:r>
    </w:p>
    <w:p w14:paraId="4B7602C5" w14:textId="77777777" w:rsidR="00C67C9B" w:rsidRPr="00FE0AD0" w:rsidRDefault="00C67C9B" w:rsidP="00C67C9B">
      <w:pPr>
        <w:jc w:val="both"/>
        <w:rPr>
          <w:sz w:val="20"/>
        </w:rPr>
      </w:pPr>
    </w:p>
    <w:p w14:paraId="09552BEB" w14:textId="77777777" w:rsidR="00C67C9B" w:rsidRPr="00794966" w:rsidRDefault="00C67C9B" w:rsidP="00C67C9B">
      <w:pPr>
        <w:jc w:val="both"/>
        <w:rPr>
          <w:sz w:val="20"/>
        </w:rPr>
      </w:pPr>
      <w:r>
        <w:rPr>
          <w:sz w:val="20"/>
        </w:rPr>
        <w:t>NA</w:t>
      </w:r>
    </w:p>
    <w:p w14:paraId="23827C83" w14:textId="77777777" w:rsidR="00C67C9B" w:rsidRDefault="00C67C9B" w:rsidP="00C67C9B">
      <w:pPr>
        <w:jc w:val="both"/>
        <w:rPr>
          <w:sz w:val="20"/>
        </w:rPr>
      </w:pPr>
    </w:p>
    <w:p w14:paraId="5FEF7286" w14:textId="77777777" w:rsidR="00C67C9B" w:rsidRPr="00CC02A3" w:rsidRDefault="00C67C9B" w:rsidP="00C67C9B">
      <w:pPr>
        <w:jc w:val="both"/>
        <w:rPr>
          <w:b/>
          <w:sz w:val="20"/>
          <w:u w:val="single"/>
        </w:rPr>
      </w:pPr>
      <w:r>
        <w:rPr>
          <w:b/>
        </w:rPr>
        <w:t xml:space="preserve">V.  </w:t>
      </w:r>
      <w:r>
        <w:rPr>
          <w:b/>
          <w:u w:val="single"/>
        </w:rPr>
        <w:t>TESTING/SAMPLING</w:t>
      </w:r>
    </w:p>
    <w:p w14:paraId="00095CB8" w14:textId="77777777" w:rsidR="00C67C9B" w:rsidRDefault="00C67C9B" w:rsidP="00C67C9B">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36B0C0" w14:textId="77777777" w:rsidR="00C67C9B" w:rsidRPr="00FE0AD0" w:rsidRDefault="00C67C9B" w:rsidP="00C67C9B">
      <w:pPr>
        <w:jc w:val="both"/>
        <w:rPr>
          <w:sz w:val="20"/>
        </w:rPr>
      </w:pPr>
    </w:p>
    <w:p w14:paraId="0727682F" w14:textId="3423C3B1" w:rsidR="00C67C9B" w:rsidRPr="0072480A" w:rsidRDefault="00C67C9B" w:rsidP="00020C68">
      <w:pPr>
        <w:pStyle w:val="NoSpacing"/>
        <w:numPr>
          <w:ilvl w:val="0"/>
          <w:numId w:val="41"/>
        </w:numPr>
        <w:spacing w:after="120"/>
        <w:jc w:val="both"/>
        <w:rPr>
          <w:sz w:val="20"/>
        </w:rPr>
      </w:pPr>
      <w:r w:rsidRPr="0072480A">
        <w:rPr>
          <w:sz w:val="20"/>
        </w:rPr>
        <w:t xml:space="preserve">The permittee </w:t>
      </w:r>
      <w:r>
        <w:rPr>
          <w:sz w:val="20"/>
        </w:rPr>
        <w:t>must</w:t>
      </w:r>
      <w:r w:rsidRPr="0072480A">
        <w:rPr>
          <w:sz w:val="20"/>
        </w:rPr>
        <w:t xml:space="preserve"> determine NMOC mass emission rate by testing at owner's expense, in accordance with Department requirements.  Testing </w:t>
      </w:r>
      <w:r>
        <w:rPr>
          <w:sz w:val="20"/>
        </w:rPr>
        <w:t>must</w:t>
      </w:r>
      <w:r w:rsidRPr="0072480A">
        <w:rPr>
          <w:sz w:val="20"/>
        </w:rPr>
        <w:t xml:space="preserve"> be performed using procedures and calculations, as described in Appendices 5 and 7.  No less than 30 days prior to testing, the permittee </w:t>
      </w:r>
      <w:r>
        <w:rPr>
          <w:sz w:val="20"/>
        </w:rPr>
        <w:t>must</w:t>
      </w:r>
      <w:r w:rsidRPr="0072480A">
        <w:rPr>
          <w:sz w:val="20"/>
        </w:rPr>
        <w:t xml:space="preserve"> submit a complete test plan to the AQD Technical Programs Unit and </w:t>
      </w:r>
      <w:r>
        <w:rPr>
          <w:sz w:val="20"/>
        </w:rPr>
        <w:t xml:space="preserve">the appropriate AQD </w:t>
      </w:r>
      <w:r w:rsidRPr="0072480A">
        <w:rPr>
          <w:sz w:val="20"/>
        </w:rPr>
        <w:t>District Office</w:t>
      </w:r>
      <w:r>
        <w:rPr>
          <w:sz w:val="20"/>
        </w:rPr>
        <w:t>.  T</w:t>
      </w:r>
      <w:r w:rsidRPr="0072480A">
        <w:rPr>
          <w:sz w:val="20"/>
        </w:rPr>
        <w:t xml:space="preserve">he AQD must approve the final plan prior to testing, including any modifications to the method in the test protocol </w:t>
      </w:r>
      <w:r w:rsidRPr="008F19E2">
        <w:rPr>
          <w:color w:val="000000"/>
          <w:sz w:val="20"/>
        </w:rPr>
        <w:t>that are proposed after initial submittal</w:t>
      </w:r>
      <w:r w:rsidRPr="00C92257">
        <w:t xml:space="preserve">. </w:t>
      </w:r>
      <w:r>
        <w:t xml:space="preserve"> </w:t>
      </w:r>
      <w:r w:rsidRPr="0072480A">
        <w:rPr>
          <w:rFonts w:cs="Arial"/>
          <w:sz w:val="20"/>
        </w:rPr>
        <w:t xml:space="preserve">The permittee must submit </w:t>
      </w:r>
      <w:r w:rsidRPr="00617790">
        <w:rPr>
          <w:color w:val="000000"/>
          <w:sz w:val="20"/>
        </w:rPr>
        <w:t xml:space="preserve">a complete report of the test results to the AQD Technical Programs Unit and </w:t>
      </w:r>
      <w:r>
        <w:rPr>
          <w:color w:val="000000"/>
          <w:sz w:val="20"/>
        </w:rPr>
        <w:t xml:space="preserve">the appropriate AQD </w:t>
      </w:r>
      <w:r w:rsidRPr="00617790">
        <w:rPr>
          <w:color w:val="000000"/>
          <w:sz w:val="20"/>
        </w:rPr>
        <w:t xml:space="preserve">District Office </w:t>
      </w:r>
      <w:r w:rsidRPr="0072480A">
        <w:rPr>
          <w:rFonts w:cs="Arial"/>
          <w:sz w:val="20"/>
        </w:rPr>
        <w:t>within 60 days following the last date of the test.</w:t>
      </w:r>
      <w:r w:rsidRPr="0072480A">
        <w:rPr>
          <w:sz w:val="20"/>
        </w:rPr>
        <w:t xml:space="preserve"> </w:t>
      </w:r>
      <w:r>
        <w:rPr>
          <w:sz w:val="20"/>
        </w:rPr>
        <w:t xml:space="preserve"> </w:t>
      </w:r>
      <w:r w:rsidRPr="0072480A">
        <w:rPr>
          <w:b/>
          <w:sz w:val="20"/>
        </w:rPr>
        <w:t>(R 336.2001, R 336.2003, R 336.2004, 40 CFR 60.762(b)(1), 40 CFR 60.764(a))</w:t>
      </w:r>
    </w:p>
    <w:p w14:paraId="0DD47736" w14:textId="77777777" w:rsidR="00C67C9B" w:rsidRPr="0072480A" w:rsidRDefault="00C67C9B" w:rsidP="00020C68">
      <w:pPr>
        <w:pStyle w:val="NoSpacing"/>
        <w:numPr>
          <w:ilvl w:val="0"/>
          <w:numId w:val="44"/>
        </w:numPr>
        <w:spacing w:after="120"/>
        <w:jc w:val="both"/>
        <w:rPr>
          <w:sz w:val="20"/>
        </w:rPr>
      </w:pPr>
      <w:r w:rsidRPr="0072480A">
        <w:rPr>
          <w:sz w:val="20"/>
        </w:rPr>
        <w:t xml:space="preserve">Upon completion of each Tier test, the permittee </w:t>
      </w:r>
      <w:r>
        <w:rPr>
          <w:sz w:val="20"/>
        </w:rPr>
        <w:t>must</w:t>
      </w:r>
      <w:r w:rsidRPr="0072480A">
        <w:rPr>
          <w:sz w:val="20"/>
        </w:rPr>
        <w:t xml:space="preserve"> compare the results to the NMOC mass emission rate standard of 34 Mg per year.  If the results are equal to or greater than 34 Mg, then the permittee </w:t>
      </w:r>
      <w:r>
        <w:rPr>
          <w:sz w:val="20"/>
        </w:rPr>
        <w:t>must</w:t>
      </w:r>
      <w:r w:rsidRPr="0072480A">
        <w:rPr>
          <w:sz w:val="20"/>
        </w:rPr>
        <w:t xml:space="preserve"> move to the next higher tier in accordance with the following:</w:t>
      </w:r>
      <w:r>
        <w:rPr>
          <w:sz w:val="20"/>
        </w:rPr>
        <w:t xml:space="preserve"> </w:t>
      </w:r>
      <w:r w:rsidRPr="0072480A">
        <w:rPr>
          <w:sz w:val="20"/>
        </w:rPr>
        <w:t>Tier 1 and Tier 2 NMOC mass emission rate</w:t>
      </w:r>
      <w:r>
        <w:rPr>
          <w:sz w:val="20"/>
        </w:rPr>
        <w:t xml:space="preserve"> must</w:t>
      </w:r>
      <w:r w:rsidRPr="0072480A">
        <w:rPr>
          <w:sz w:val="20"/>
        </w:rPr>
        <w:t xml:space="preserve"> be recalculated annually if the NMOC mass emission rate is less than the standard.  </w:t>
      </w:r>
      <w:r w:rsidRPr="0072480A">
        <w:rPr>
          <w:b/>
          <w:sz w:val="20"/>
        </w:rPr>
        <w:t>(40 CFR 60.764(a)(2) and (3))</w:t>
      </w:r>
    </w:p>
    <w:p w14:paraId="2AEE1360" w14:textId="77777777" w:rsidR="00C67C9B" w:rsidRPr="0072480A" w:rsidRDefault="00C67C9B" w:rsidP="00020C68">
      <w:pPr>
        <w:pStyle w:val="NoSpacing"/>
        <w:numPr>
          <w:ilvl w:val="0"/>
          <w:numId w:val="44"/>
        </w:numPr>
        <w:spacing w:after="120"/>
        <w:jc w:val="both"/>
        <w:rPr>
          <w:sz w:val="20"/>
        </w:rPr>
      </w:pPr>
      <w:r w:rsidRPr="0072480A">
        <w:rPr>
          <w:rFonts w:cs="Arial"/>
          <w:sz w:val="20"/>
        </w:rPr>
        <w:t xml:space="preserve">Tier 2 </w:t>
      </w:r>
      <w:r>
        <w:rPr>
          <w:rFonts w:cs="Arial"/>
          <w:sz w:val="20"/>
        </w:rPr>
        <w:t xml:space="preserve">testing </w:t>
      </w:r>
      <w:r w:rsidRPr="00261485">
        <w:rPr>
          <w:rStyle w:val="normaltextrun"/>
          <w:rFonts w:ascii="Calibri" w:hAnsi="Calibri" w:cs="Calibri"/>
          <w:szCs w:val="22"/>
          <w:bdr w:val="none" w:sz="0" w:space="0" w:color="auto" w:frame="1"/>
        </w:rPr>
        <w:t>to establish a site-specific NMOC concentration</w:t>
      </w:r>
      <w:r w:rsidRPr="00261485">
        <w:rPr>
          <w:rFonts w:cs="Arial"/>
          <w:sz w:val="20"/>
        </w:rPr>
        <w:t xml:space="preserve"> </w:t>
      </w:r>
      <w:r>
        <w:rPr>
          <w:rFonts w:cs="Arial"/>
          <w:sz w:val="20"/>
        </w:rPr>
        <w:t>must</w:t>
      </w:r>
      <w:r w:rsidRPr="0072480A">
        <w:rPr>
          <w:rFonts w:cs="Arial"/>
          <w:sz w:val="20"/>
        </w:rPr>
        <w:t xml:space="preserve"> be performed at least once every five years.</w:t>
      </w:r>
      <w:r>
        <w:rPr>
          <w:rFonts w:cs="Arial"/>
          <w:sz w:val="20"/>
        </w:rPr>
        <w:t xml:space="preserve"> </w:t>
      </w:r>
      <w:r w:rsidRPr="0072480A">
        <w:rPr>
          <w:rFonts w:cs="Arial"/>
          <w:b/>
          <w:sz w:val="20"/>
        </w:rPr>
        <w:t xml:space="preserve"> (40 CFR 60.764(a)(3))</w:t>
      </w:r>
    </w:p>
    <w:p w14:paraId="235FDED2" w14:textId="5E367D5D" w:rsidR="00C67C9B" w:rsidRPr="007C6C51" w:rsidRDefault="00C67C9B" w:rsidP="007F576E">
      <w:pPr>
        <w:pStyle w:val="NoSpacing"/>
        <w:numPr>
          <w:ilvl w:val="0"/>
          <w:numId w:val="44"/>
        </w:numPr>
        <w:spacing w:after="120"/>
        <w:jc w:val="both"/>
        <w:rPr>
          <w:sz w:val="20"/>
        </w:rPr>
      </w:pPr>
      <w:r w:rsidRPr="007C6C51">
        <w:rPr>
          <w:rFonts w:cs="Arial"/>
          <w:sz w:val="20"/>
        </w:rPr>
        <w:t xml:space="preserve">Tier 3 testing must be performed to establish a site-specific methane generation rate constant. </w:t>
      </w:r>
      <w:r w:rsidRPr="007C6C51">
        <w:rPr>
          <w:rFonts w:cs="Arial"/>
          <w:b/>
          <w:sz w:val="20"/>
        </w:rPr>
        <w:t xml:space="preserve"> (40 CFR 60.764(a)(4))</w:t>
      </w:r>
    </w:p>
    <w:p w14:paraId="2FF3EA0B" w14:textId="77777777" w:rsidR="00C67C9B" w:rsidRPr="00E431CA" w:rsidRDefault="00C67C9B" w:rsidP="00020C68">
      <w:pPr>
        <w:pStyle w:val="NoSpacing"/>
        <w:numPr>
          <w:ilvl w:val="0"/>
          <w:numId w:val="44"/>
        </w:numPr>
        <w:spacing w:after="120"/>
        <w:jc w:val="both"/>
        <w:rPr>
          <w:rFonts w:cs="Arial"/>
          <w:bCs/>
          <w:sz w:val="20"/>
        </w:rPr>
      </w:pPr>
      <w:r w:rsidRPr="00E431CA">
        <w:rPr>
          <w:sz w:val="20"/>
        </w:rPr>
        <w:lastRenderedPageBreak/>
        <w:t xml:space="preserve">Tier 4 testing to determine surface methane emissions, as described in Appendix 5, may be used if Tiers 1 through 3 testing demonstrate NMOC mass emissions equal to or greater than 34 Mg per year.  </w:t>
      </w:r>
      <w:r w:rsidRPr="00E431CA">
        <w:rPr>
          <w:rFonts w:cs="Arial"/>
          <w:b/>
          <w:sz w:val="20"/>
        </w:rPr>
        <w:t>(40 CFR 60.764(a)(6))</w:t>
      </w:r>
    </w:p>
    <w:p w14:paraId="3B6673F9" w14:textId="6B744D4C" w:rsidR="00C67C9B" w:rsidRPr="00251BC9" w:rsidRDefault="00C67C9B" w:rsidP="00020C68">
      <w:pPr>
        <w:pStyle w:val="NoSpacing"/>
        <w:numPr>
          <w:ilvl w:val="0"/>
          <w:numId w:val="44"/>
        </w:numPr>
        <w:jc w:val="both"/>
        <w:rPr>
          <w:rFonts w:cs="Arial"/>
          <w:bCs/>
          <w:sz w:val="20"/>
        </w:rPr>
      </w:pPr>
      <w:r w:rsidRPr="0072480A">
        <w:rPr>
          <w:rFonts w:cs="Arial"/>
          <w:sz w:val="20"/>
        </w:rPr>
        <w:t xml:space="preserve">Tier 4 testing </w:t>
      </w:r>
      <w:r>
        <w:rPr>
          <w:rFonts w:cs="Arial"/>
          <w:sz w:val="20"/>
        </w:rPr>
        <w:t>must</w:t>
      </w:r>
      <w:r w:rsidRPr="0072480A">
        <w:rPr>
          <w:rFonts w:cs="Arial"/>
          <w:sz w:val="20"/>
        </w:rPr>
        <w:t xml:space="preserve"> be performed to establish surface methane emissions are below the standard of 500 ppm. </w:t>
      </w:r>
      <w:r w:rsidR="007C6C51">
        <w:rPr>
          <w:rFonts w:cs="Arial"/>
          <w:sz w:val="20"/>
        </w:rPr>
        <w:t xml:space="preserve"> </w:t>
      </w:r>
      <w:r w:rsidRPr="0072480A">
        <w:rPr>
          <w:rFonts w:cs="Arial"/>
          <w:b/>
          <w:sz w:val="20"/>
        </w:rPr>
        <w:t>(40 CFR 60.764(a)(6))</w:t>
      </w:r>
    </w:p>
    <w:p w14:paraId="647BF856" w14:textId="77777777" w:rsidR="00C67C9B" w:rsidRPr="00112935" w:rsidRDefault="00C67C9B" w:rsidP="00C67C9B">
      <w:pPr>
        <w:pStyle w:val="NoSpacing"/>
        <w:jc w:val="both"/>
        <w:rPr>
          <w:rFonts w:cs="Arial"/>
          <w:sz w:val="20"/>
        </w:rPr>
      </w:pPr>
    </w:p>
    <w:p w14:paraId="02F2F621" w14:textId="77777777" w:rsidR="00C67C9B" w:rsidRPr="0072480A" w:rsidRDefault="00C67C9B" w:rsidP="00020C68">
      <w:pPr>
        <w:pStyle w:val="NoSpacing"/>
        <w:numPr>
          <w:ilvl w:val="0"/>
          <w:numId w:val="41"/>
        </w:numPr>
        <w:jc w:val="both"/>
        <w:rPr>
          <w:sz w:val="20"/>
        </w:rPr>
      </w:pPr>
      <w:r w:rsidRPr="0072480A">
        <w:rPr>
          <w:rFonts w:cs="Arial"/>
          <w:sz w:val="20"/>
        </w:rPr>
        <w:t xml:space="preserve">Each permittee seeking to use other methods to determine the NMOC concentration or a site-specific methane generation rate constant as an alternative to methods in Tier 2 and Tier 3 must request and have received approval from USEPA prior to submitting a test protocol to AQD.  </w:t>
      </w:r>
      <w:r w:rsidRPr="0072480A">
        <w:rPr>
          <w:rFonts w:cs="Arial"/>
          <w:b/>
          <w:sz w:val="20"/>
        </w:rPr>
        <w:t>(40 CFR 60.764(a)(5))</w:t>
      </w:r>
    </w:p>
    <w:p w14:paraId="3DD8FF45" w14:textId="77777777" w:rsidR="00C67C9B" w:rsidRPr="00FE0AD0" w:rsidRDefault="00C67C9B" w:rsidP="00C67C9B">
      <w:pPr>
        <w:jc w:val="both"/>
        <w:rPr>
          <w:sz w:val="20"/>
        </w:rPr>
      </w:pPr>
    </w:p>
    <w:p w14:paraId="48C5C526" w14:textId="77777777" w:rsidR="00C67C9B" w:rsidRPr="00FE0AD0" w:rsidRDefault="00C67C9B" w:rsidP="00C67C9B">
      <w:pPr>
        <w:jc w:val="both"/>
        <w:rPr>
          <w:b/>
          <w:sz w:val="20"/>
        </w:rPr>
      </w:pPr>
      <w:r w:rsidRPr="00FE0AD0">
        <w:rPr>
          <w:b/>
          <w:sz w:val="20"/>
        </w:rPr>
        <w:t>See Appendi</w:t>
      </w:r>
      <w:r>
        <w:rPr>
          <w:b/>
          <w:sz w:val="20"/>
        </w:rPr>
        <w:t>ces</w:t>
      </w:r>
      <w:r w:rsidRPr="00FE0AD0">
        <w:rPr>
          <w:b/>
          <w:sz w:val="20"/>
        </w:rPr>
        <w:t xml:space="preserve"> 5</w:t>
      </w:r>
      <w:r>
        <w:rPr>
          <w:b/>
          <w:sz w:val="20"/>
        </w:rPr>
        <w:t xml:space="preserve"> and 7</w:t>
      </w:r>
    </w:p>
    <w:p w14:paraId="66290D6E" w14:textId="77777777" w:rsidR="00C67C9B" w:rsidRDefault="00C67C9B" w:rsidP="00C67C9B">
      <w:pPr>
        <w:jc w:val="both"/>
        <w:rPr>
          <w:sz w:val="20"/>
        </w:rPr>
      </w:pPr>
    </w:p>
    <w:p w14:paraId="4FF531DE" w14:textId="77777777" w:rsidR="00C67C9B" w:rsidRPr="00CC02A3" w:rsidRDefault="00C67C9B" w:rsidP="00C67C9B">
      <w:pPr>
        <w:jc w:val="both"/>
        <w:rPr>
          <w:sz w:val="20"/>
        </w:rPr>
      </w:pPr>
      <w:r>
        <w:rPr>
          <w:b/>
        </w:rPr>
        <w:t xml:space="preserve">VI.  </w:t>
      </w:r>
      <w:r>
        <w:rPr>
          <w:b/>
          <w:u w:val="single"/>
        </w:rPr>
        <w:t>MONITORING/RECORDKEEPING</w:t>
      </w:r>
    </w:p>
    <w:p w14:paraId="0C86E3A0" w14:textId="77777777" w:rsidR="00C67C9B" w:rsidRDefault="00C67C9B" w:rsidP="00C67C9B">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D719AA" w14:textId="77777777" w:rsidR="00C67C9B" w:rsidRDefault="00C67C9B" w:rsidP="00C67C9B">
      <w:pPr>
        <w:jc w:val="both"/>
        <w:rPr>
          <w:sz w:val="20"/>
        </w:rPr>
      </w:pPr>
    </w:p>
    <w:p w14:paraId="30004C80" w14:textId="77777777" w:rsidR="00C67C9B" w:rsidRPr="00C92257" w:rsidRDefault="00C67C9B" w:rsidP="00020C68">
      <w:pPr>
        <w:pStyle w:val="ListParagraph"/>
        <w:numPr>
          <w:ilvl w:val="0"/>
          <w:numId w:val="42"/>
        </w:numPr>
        <w:jc w:val="both"/>
        <w:rPr>
          <w:sz w:val="20"/>
        </w:rPr>
      </w:pPr>
      <w:r w:rsidRPr="00C92257">
        <w:rPr>
          <w:sz w:val="20"/>
        </w:rPr>
        <w:t xml:space="preserve">The permittee </w:t>
      </w:r>
      <w:r>
        <w:rPr>
          <w:sz w:val="20"/>
        </w:rPr>
        <w:t xml:space="preserve">must </w:t>
      </w:r>
      <w:r w:rsidRPr="00C92257">
        <w:rPr>
          <w:sz w:val="20"/>
        </w:rPr>
        <w:t xml:space="preserve">calculate the annual NMOC emission rates using methods outlined in Appendix 7.  </w:t>
      </w:r>
      <w:r w:rsidRPr="00C92257">
        <w:rPr>
          <w:b/>
          <w:sz w:val="20"/>
        </w:rPr>
        <w:t>(40 CFR 60.764(a)(1))</w:t>
      </w:r>
    </w:p>
    <w:p w14:paraId="168397C1" w14:textId="77777777" w:rsidR="00C67C9B" w:rsidRPr="00FE0AD0" w:rsidRDefault="00C67C9B" w:rsidP="00C67C9B">
      <w:pPr>
        <w:jc w:val="both"/>
        <w:rPr>
          <w:sz w:val="20"/>
        </w:rPr>
      </w:pPr>
    </w:p>
    <w:p w14:paraId="51618501" w14:textId="77777777" w:rsidR="00C67C9B" w:rsidRPr="007103E8" w:rsidRDefault="00C67C9B" w:rsidP="00020C68">
      <w:pPr>
        <w:pStyle w:val="NoSpacing"/>
        <w:numPr>
          <w:ilvl w:val="0"/>
          <w:numId w:val="42"/>
        </w:numPr>
        <w:jc w:val="both"/>
        <w:rPr>
          <w:sz w:val="20"/>
        </w:rPr>
      </w:pPr>
      <w:r>
        <w:rPr>
          <w:sz w:val="20"/>
        </w:rPr>
        <w:t>T</w:t>
      </w:r>
      <w:r w:rsidRPr="00305533">
        <w:rPr>
          <w:sz w:val="20"/>
        </w:rPr>
        <w:t xml:space="preserve">he permittee </w:t>
      </w:r>
      <w:r>
        <w:rPr>
          <w:sz w:val="20"/>
        </w:rPr>
        <w:t>must</w:t>
      </w:r>
      <w:r w:rsidRPr="00305533">
        <w:rPr>
          <w:sz w:val="20"/>
        </w:rPr>
        <w:t xml:space="preserve"> maintain up-to-date, readily accessible, on-site records of the design capacity report which triggered </w:t>
      </w:r>
      <w:r>
        <w:rPr>
          <w:sz w:val="20"/>
        </w:rPr>
        <w:t xml:space="preserve">40 CFR </w:t>
      </w:r>
      <w:r w:rsidRPr="00305533">
        <w:rPr>
          <w:sz w:val="20"/>
        </w:rPr>
        <w:t>60.7</w:t>
      </w:r>
      <w:r>
        <w:rPr>
          <w:sz w:val="20"/>
        </w:rPr>
        <w:t>6</w:t>
      </w:r>
      <w:r w:rsidRPr="00305533">
        <w:rPr>
          <w:sz w:val="20"/>
        </w:rPr>
        <w:t>2(b), the current amount of solid waste in</w:t>
      </w:r>
      <w:r>
        <w:rPr>
          <w:sz w:val="20"/>
        </w:rPr>
        <w:t xml:space="preserve"> </w:t>
      </w:r>
      <w:r w:rsidRPr="00305533">
        <w:rPr>
          <w:sz w:val="20"/>
        </w:rPr>
        <w:t xml:space="preserve">place, and the year-by-year waste acceptance rate.  Off-site records may be maintained if they are retrievable within </w:t>
      </w:r>
      <w:r>
        <w:rPr>
          <w:sz w:val="20"/>
        </w:rPr>
        <w:t xml:space="preserve">4 </w:t>
      </w:r>
      <w:r w:rsidRPr="00305533">
        <w:rPr>
          <w:sz w:val="20"/>
        </w:rPr>
        <w:t xml:space="preserve">hours.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available upon request.</w:t>
      </w:r>
      <w:r>
        <w:rPr>
          <w:rFonts w:cs="Arial"/>
          <w:sz w:val="20"/>
        </w:rPr>
        <w:t xml:space="preserve"> </w:t>
      </w:r>
      <w:r w:rsidRPr="00FF5645">
        <w:rPr>
          <w:b/>
        </w:rPr>
        <w:t xml:space="preserve"> </w:t>
      </w:r>
      <w:r w:rsidRPr="0072480A">
        <w:rPr>
          <w:b/>
          <w:sz w:val="20"/>
        </w:rPr>
        <w:t>(40</w:t>
      </w:r>
      <w:r>
        <w:rPr>
          <w:b/>
          <w:sz w:val="20"/>
        </w:rPr>
        <w:t> </w:t>
      </w:r>
      <w:r w:rsidRPr="0072480A">
        <w:rPr>
          <w:b/>
          <w:sz w:val="20"/>
        </w:rPr>
        <w:t>CFR 60.768(a))</w:t>
      </w:r>
    </w:p>
    <w:p w14:paraId="2538528E" w14:textId="77777777" w:rsidR="00C67C9B" w:rsidRDefault="00C67C9B" w:rsidP="00C67C9B">
      <w:pPr>
        <w:pStyle w:val="NoSpacing"/>
        <w:ind w:left="360"/>
        <w:jc w:val="both"/>
        <w:rPr>
          <w:sz w:val="20"/>
        </w:rPr>
      </w:pPr>
    </w:p>
    <w:p w14:paraId="43CC8ABD" w14:textId="77777777" w:rsidR="00C67C9B" w:rsidRDefault="00C67C9B" w:rsidP="00C67C9B">
      <w:pPr>
        <w:jc w:val="both"/>
        <w:rPr>
          <w:b/>
          <w:sz w:val="20"/>
        </w:rPr>
      </w:pPr>
      <w:r w:rsidRPr="00FE0AD0">
        <w:rPr>
          <w:b/>
          <w:sz w:val="20"/>
        </w:rPr>
        <w:t>See Appendi</w:t>
      </w:r>
      <w:r>
        <w:rPr>
          <w:b/>
          <w:sz w:val="20"/>
        </w:rPr>
        <w:t>x</w:t>
      </w:r>
      <w:r w:rsidRPr="00FE0AD0">
        <w:rPr>
          <w:b/>
          <w:sz w:val="20"/>
        </w:rPr>
        <w:t xml:space="preserve"> 7</w:t>
      </w:r>
    </w:p>
    <w:p w14:paraId="18F3503A" w14:textId="77777777" w:rsidR="00C67C9B" w:rsidRPr="00FD5AAB" w:rsidRDefault="00C67C9B" w:rsidP="00C67C9B">
      <w:pPr>
        <w:jc w:val="both"/>
        <w:rPr>
          <w:sz w:val="20"/>
        </w:rPr>
      </w:pPr>
    </w:p>
    <w:p w14:paraId="49597332" w14:textId="77777777" w:rsidR="00C67C9B" w:rsidRPr="00CC02A3" w:rsidRDefault="00C67C9B" w:rsidP="00C67C9B">
      <w:pPr>
        <w:jc w:val="both"/>
        <w:rPr>
          <w:sz w:val="20"/>
          <w:u w:val="single"/>
        </w:rPr>
      </w:pPr>
      <w:r>
        <w:rPr>
          <w:b/>
        </w:rPr>
        <w:t xml:space="preserve">VII.  </w:t>
      </w:r>
      <w:r>
        <w:rPr>
          <w:b/>
          <w:u w:val="single"/>
        </w:rPr>
        <w:t>REPORTING</w:t>
      </w:r>
    </w:p>
    <w:p w14:paraId="07A532DD" w14:textId="77777777" w:rsidR="00C67C9B" w:rsidRPr="003F4905" w:rsidRDefault="00C67C9B" w:rsidP="00C67C9B">
      <w:pPr>
        <w:jc w:val="both"/>
        <w:rPr>
          <w:sz w:val="20"/>
        </w:rPr>
      </w:pPr>
    </w:p>
    <w:p w14:paraId="679CF8C3" w14:textId="77777777" w:rsidR="00C67C9B" w:rsidRPr="0072480A" w:rsidRDefault="00C67C9B" w:rsidP="00020C68">
      <w:pPr>
        <w:pStyle w:val="NoSpacing"/>
        <w:numPr>
          <w:ilvl w:val="0"/>
          <w:numId w:val="43"/>
        </w:numPr>
        <w:ind w:left="360"/>
        <w:jc w:val="both"/>
        <w:rPr>
          <w:sz w:val="20"/>
        </w:rPr>
      </w:pPr>
      <w:r w:rsidRPr="0072480A">
        <w:rPr>
          <w:sz w:val="20"/>
        </w:rPr>
        <w:t xml:space="preserve">Prompt reporting of deviations pursuant to General Conditions 21 and 22 of Part A.  </w:t>
      </w:r>
      <w:r w:rsidRPr="0072480A">
        <w:rPr>
          <w:b/>
          <w:sz w:val="20"/>
        </w:rPr>
        <w:t>(R 336.1213(3)(c)(ii))</w:t>
      </w:r>
    </w:p>
    <w:p w14:paraId="0C003EB0" w14:textId="77777777" w:rsidR="00C67C9B" w:rsidRPr="0072480A" w:rsidRDefault="00C67C9B" w:rsidP="00C67C9B">
      <w:pPr>
        <w:pStyle w:val="NoSpacing"/>
        <w:jc w:val="both"/>
        <w:rPr>
          <w:sz w:val="20"/>
        </w:rPr>
      </w:pPr>
    </w:p>
    <w:p w14:paraId="0071A45B" w14:textId="77777777" w:rsidR="00C67C9B" w:rsidRPr="0072480A" w:rsidRDefault="00C67C9B" w:rsidP="00020C68">
      <w:pPr>
        <w:pStyle w:val="NoSpacing"/>
        <w:numPr>
          <w:ilvl w:val="0"/>
          <w:numId w:val="43"/>
        </w:numPr>
        <w:ind w:left="360"/>
        <w:jc w:val="both"/>
        <w:rPr>
          <w:sz w:val="20"/>
        </w:rPr>
      </w:pPr>
      <w:r w:rsidRPr="0072480A">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2480A">
        <w:rPr>
          <w:b/>
          <w:sz w:val="20"/>
        </w:rPr>
        <w:t>(R 336.1213(3)(c)(</w:t>
      </w:r>
      <w:proofErr w:type="spellStart"/>
      <w:r w:rsidRPr="0072480A">
        <w:rPr>
          <w:b/>
          <w:sz w:val="20"/>
        </w:rPr>
        <w:t>i</w:t>
      </w:r>
      <w:proofErr w:type="spellEnd"/>
      <w:r w:rsidRPr="0072480A">
        <w:rPr>
          <w:b/>
          <w:sz w:val="20"/>
        </w:rPr>
        <w:t>))</w:t>
      </w:r>
    </w:p>
    <w:p w14:paraId="22BAF64D" w14:textId="77777777" w:rsidR="00C67C9B" w:rsidRPr="0072480A" w:rsidRDefault="00C67C9B" w:rsidP="00C67C9B">
      <w:pPr>
        <w:pStyle w:val="NoSpacing"/>
        <w:jc w:val="both"/>
        <w:rPr>
          <w:sz w:val="20"/>
        </w:rPr>
      </w:pPr>
    </w:p>
    <w:p w14:paraId="7987A723" w14:textId="77777777" w:rsidR="00C67C9B" w:rsidRPr="0072480A" w:rsidRDefault="00C67C9B" w:rsidP="00020C68">
      <w:pPr>
        <w:pStyle w:val="NoSpacing"/>
        <w:numPr>
          <w:ilvl w:val="0"/>
          <w:numId w:val="43"/>
        </w:numPr>
        <w:ind w:left="360"/>
        <w:jc w:val="both"/>
        <w:rPr>
          <w:b/>
          <w:sz w:val="20"/>
        </w:rPr>
      </w:pPr>
      <w:r w:rsidRPr="0072480A">
        <w:rPr>
          <w:sz w:val="20"/>
        </w:rPr>
        <w:t xml:space="preserve">Annual certification of compliance pursuant to General Conditions 19 and 20 of Part A.  The report shall be postmarked or received by the appropriate AQD District Office by March 15 for the previous calendar year.  </w:t>
      </w:r>
      <w:r w:rsidRPr="0072480A">
        <w:rPr>
          <w:b/>
          <w:sz w:val="20"/>
        </w:rPr>
        <w:t>(R 336.1213(4)(c))</w:t>
      </w:r>
    </w:p>
    <w:p w14:paraId="6423D3C6" w14:textId="77777777" w:rsidR="00C67C9B" w:rsidRPr="0072480A" w:rsidRDefault="00C67C9B" w:rsidP="00C67C9B">
      <w:pPr>
        <w:pStyle w:val="NoSpacing"/>
        <w:jc w:val="both"/>
        <w:rPr>
          <w:sz w:val="20"/>
        </w:rPr>
      </w:pPr>
    </w:p>
    <w:p w14:paraId="4D80444C" w14:textId="77777777" w:rsidR="00C67C9B" w:rsidRPr="0072480A" w:rsidRDefault="00C67C9B" w:rsidP="00020C68">
      <w:pPr>
        <w:pStyle w:val="NoSpacing"/>
        <w:numPr>
          <w:ilvl w:val="0"/>
          <w:numId w:val="43"/>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annual NMOC emission rate report to the appropriate AQD District Office. </w:t>
      </w:r>
      <w:r>
        <w:rPr>
          <w:rFonts w:cs="Arial"/>
          <w:sz w:val="20"/>
        </w:rPr>
        <w:t xml:space="preserve"> </w:t>
      </w:r>
      <w:r w:rsidRPr="0072480A">
        <w:rPr>
          <w:rFonts w:cs="Arial"/>
          <w:sz w:val="20"/>
        </w:rPr>
        <w:t xml:space="preserve">This report </w:t>
      </w:r>
      <w:r>
        <w:rPr>
          <w:rFonts w:cs="Arial"/>
          <w:sz w:val="20"/>
        </w:rPr>
        <w:t>must</w:t>
      </w:r>
      <w:r w:rsidRPr="0072480A">
        <w:rPr>
          <w:rFonts w:cs="Arial"/>
          <w:sz w:val="20"/>
        </w:rPr>
        <w:t xml:space="preserve"> contain an annual or 5-year estimate of the NMOC emission rate and all the data, calculations, sample reports and measurements used to estimate the annual or 5-year emissions.  </w:t>
      </w:r>
      <w:r w:rsidRPr="0072480A">
        <w:rPr>
          <w:rFonts w:cs="Arial"/>
          <w:b/>
          <w:sz w:val="20"/>
        </w:rPr>
        <w:t>(40 CFR 60.767(b)(1) and (2))</w:t>
      </w:r>
    </w:p>
    <w:p w14:paraId="4CC8EAA1" w14:textId="77777777" w:rsidR="00C67C9B" w:rsidRPr="0072480A" w:rsidRDefault="00C67C9B" w:rsidP="00C67C9B">
      <w:pPr>
        <w:pStyle w:val="NoSpacing"/>
        <w:jc w:val="both"/>
        <w:rPr>
          <w:rFonts w:cs="Arial"/>
          <w:sz w:val="20"/>
        </w:rPr>
      </w:pPr>
    </w:p>
    <w:p w14:paraId="52DE0638" w14:textId="77777777" w:rsidR="00C67C9B" w:rsidRPr="0072480A" w:rsidRDefault="00C67C9B" w:rsidP="00020C68">
      <w:pPr>
        <w:pStyle w:val="NoSpacing"/>
        <w:numPr>
          <w:ilvl w:val="0"/>
          <w:numId w:val="43"/>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any performance test reports to the AQD Tech</w:t>
      </w:r>
      <w:r>
        <w:rPr>
          <w:rFonts w:cs="Arial"/>
          <w:sz w:val="20"/>
        </w:rPr>
        <w:t>n</w:t>
      </w:r>
      <w:r w:rsidRPr="0072480A">
        <w:rPr>
          <w:rFonts w:cs="Arial"/>
          <w:sz w:val="20"/>
        </w:rPr>
        <w:t xml:space="preserve">ical Programs Unit and </w:t>
      </w:r>
      <w:r>
        <w:rPr>
          <w:rFonts w:cs="Arial"/>
          <w:sz w:val="20"/>
        </w:rPr>
        <w:t xml:space="preserve">the appropriate AQD </w:t>
      </w:r>
      <w:r w:rsidRPr="0072480A">
        <w:rPr>
          <w:rFonts w:cs="Arial"/>
          <w:sz w:val="20"/>
        </w:rPr>
        <w:t xml:space="preserve">District Office, in a format approved by the AQD.  </w:t>
      </w:r>
      <w:r w:rsidRPr="0072480A">
        <w:rPr>
          <w:rFonts w:cs="Arial"/>
          <w:b/>
          <w:bCs/>
          <w:sz w:val="20"/>
        </w:rPr>
        <w:t>(R 336.2001(5))</w:t>
      </w:r>
    </w:p>
    <w:p w14:paraId="2AA1631E" w14:textId="77777777" w:rsidR="00C67C9B" w:rsidRPr="0072480A" w:rsidRDefault="00C67C9B" w:rsidP="00C67C9B">
      <w:pPr>
        <w:pStyle w:val="NoSpacing"/>
        <w:jc w:val="both"/>
        <w:rPr>
          <w:rFonts w:cs="Arial"/>
          <w:sz w:val="20"/>
        </w:rPr>
      </w:pPr>
    </w:p>
    <w:p w14:paraId="0C644866" w14:textId="77777777" w:rsidR="00C67C9B" w:rsidRPr="0072480A" w:rsidRDefault="00C67C9B" w:rsidP="00020C68">
      <w:pPr>
        <w:pStyle w:val="NoSpacing"/>
        <w:numPr>
          <w:ilvl w:val="0"/>
          <w:numId w:val="43"/>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initial design capacity report no later than 90 days after the date of commenced construction, modification, or reconstruction.  This report must contain the information described in </w:t>
      </w:r>
      <w:r w:rsidRPr="00113328">
        <w:rPr>
          <w:rFonts w:cs="Arial"/>
          <w:sz w:val="20"/>
        </w:rPr>
        <w:t>40 CFR 60.767(a)(2).</w:t>
      </w:r>
      <w:r>
        <w:rPr>
          <w:rFonts w:cs="Arial"/>
          <w:sz w:val="20"/>
        </w:rPr>
        <w:t xml:space="preserve"> </w:t>
      </w:r>
      <w:r w:rsidRPr="0072480A">
        <w:rPr>
          <w:rFonts w:cs="Arial"/>
          <w:sz w:val="20"/>
        </w:rPr>
        <w:t xml:space="preserve"> </w:t>
      </w:r>
      <w:r w:rsidRPr="0072480A">
        <w:rPr>
          <w:rFonts w:cs="Arial"/>
          <w:b/>
          <w:sz w:val="20"/>
        </w:rPr>
        <w:t>(40 CFR 60.767(a)(1) and (2))</w:t>
      </w:r>
    </w:p>
    <w:p w14:paraId="7E3A2401" w14:textId="77777777" w:rsidR="00C67C9B" w:rsidRPr="0072480A" w:rsidRDefault="00C67C9B" w:rsidP="00C67C9B">
      <w:pPr>
        <w:pStyle w:val="NoSpacing"/>
        <w:jc w:val="both"/>
        <w:rPr>
          <w:rFonts w:cs="Arial"/>
          <w:sz w:val="20"/>
        </w:rPr>
      </w:pPr>
    </w:p>
    <w:p w14:paraId="178427FC" w14:textId="77777777" w:rsidR="00C67C9B" w:rsidRPr="0072480A" w:rsidRDefault="00C67C9B" w:rsidP="00020C68">
      <w:pPr>
        <w:pStyle w:val="NoSpacing"/>
        <w:numPr>
          <w:ilvl w:val="0"/>
          <w:numId w:val="43"/>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amended design capacity report providing notification of an increase in the design capacity of the landfill within 90 days of an increase in the maximum design capacity of the landfill to meet or exceed 2.5 million megagrams and 2.5 million cubic meters.</w:t>
      </w:r>
      <w:r>
        <w:rPr>
          <w:rFonts w:cs="Arial"/>
          <w:sz w:val="20"/>
        </w:rPr>
        <w:t xml:space="preserve"> </w:t>
      </w:r>
      <w:r w:rsidRPr="0072480A">
        <w:rPr>
          <w:rFonts w:cs="Arial"/>
          <w:sz w:val="20"/>
        </w:rPr>
        <w:t xml:space="preserve"> </w:t>
      </w:r>
      <w:r w:rsidRPr="0072480A">
        <w:rPr>
          <w:rFonts w:cs="Arial"/>
          <w:b/>
          <w:sz w:val="20"/>
        </w:rPr>
        <w:t>(40 CFR 60.767(a)(3))</w:t>
      </w:r>
    </w:p>
    <w:p w14:paraId="43FEBE7F" w14:textId="1D3CC875" w:rsidR="005F6F07" w:rsidRDefault="005F6F07">
      <w:pPr>
        <w:rPr>
          <w:rFonts w:cs="Arial"/>
        </w:rPr>
      </w:pPr>
      <w:r>
        <w:rPr>
          <w:rFonts w:cs="Arial"/>
        </w:rPr>
        <w:br w:type="page"/>
      </w:r>
    </w:p>
    <w:p w14:paraId="3FE2E721" w14:textId="77777777" w:rsidR="00C67C9B" w:rsidRDefault="00C67C9B" w:rsidP="00C67C9B">
      <w:pPr>
        <w:pStyle w:val="NoSpacing"/>
        <w:jc w:val="both"/>
        <w:rPr>
          <w:rFonts w:cs="Arial"/>
        </w:rPr>
      </w:pPr>
    </w:p>
    <w:p w14:paraId="1EDEE0B6" w14:textId="239A8C23" w:rsidR="00C67C9B" w:rsidRPr="00A47458" w:rsidRDefault="00C67C9B" w:rsidP="00020C68">
      <w:pPr>
        <w:pStyle w:val="NoSpacing"/>
        <w:numPr>
          <w:ilvl w:val="0"/>
          <w:numId w:val="43"/>
        </w:numPr>
        <w:ind w:left="360"/>
        <w:jc w:val="both"/>
        <w:rPr>
          <w:rFonts w:cs="Arial"/>
          <w:sz w:val="20"/>
        </w:rPr>
      </w:pPr>
      <w:r w:rsidRPr="00A47458">
        <w:rPr>
          <w:rFonts w:cs="Arial"/>
          <w:sz w:val="20"/>
        </w:rPr>
        <w:t xml:space="preserve">If the permittee elects to recalculate the NMOC emission rate after Tier 2 NMOC sampling and analysis and the resulting rate is less than 34 Mg per year, a revised NMOC emission rate report with the recalculated emission rate </w:t>
      </w:r>
      <w:r w:rsidRPr="00D7105B">
        <w:rPr>
          <w:rFonts w:cs="Arial"/>
          <w:sz w:val="20"/>
        </w:rPr>
        <w:t>must</w:t>
      </w:r>
      <w:r w:rsidRPr="00A47458">
        <w:rPr>
          <w:rFonts w:cs="Arial"/>
          <w:sz w:val="20"/>
        </w:rPr>
        <w:t xml:space="preserve"> be submitted within 180 days of the first calculated exceedance of 34 Mg per year.</w:t>
      </w:r>
      <w:r w:rsidR="007C6C51">
        <w:rPr>
          <w:rFonts w:cs="Arial"/>
          <w:sz w:val="20"/>
        </w:rPr>
        <w:t xml:space="preserve"> </w:t>
      </w:r>
      <w:r w:rsidRPr="00A47458">
        <w:rPr>
          <w:rFonts w:cs="Arial"/>
          <w:sz w:val="20"/>
        </w:rPr>
        <w:t xml:space="preserve"> </w:t>
      </w:r>
      <w:r w:rsidRPr="00A47458">
        <w:rPr>
          <w:rFonts w:cs="Arial"/>
          <w:b/>
          <w:sz w:val="20"/>
        </w:rPr>
        <w:t>(40 CFR 60.767(c)(4)(</w:t>
      </w:r>
      <w:proofErr w:type="spellStart"/>
      <w:r w:rsidRPr="00A47458">
        <w:rPr>
          <w:rFonts w:cs="Arial"/>
          <w:b/>
          <w:sz w:val="20"/>
        </w:rPr>
        <w:t>i</w:t>
      </w:r>
      <w:proofErr w:type="spellEnd"/>
      <w:r w:rsidRPr="00A47458">
        <w:rPr>
          <w:rFonts w:cs="Arial"/>
          <w:b/>
          <w:sz w:val="20"/>
        </w:rPr>
        <w:t>))</w:t>
      </w:r>
    </w:p>
    <w:p w14:paraId="675F6009" w14:textId="77777777" w:rsidR="00C67C9B" w:rsidRPr="0072480A" w:rsidRDefault="00C67C9B" w:rsidP="00C67C9B">
      <w:pPr>
        <w:pStyle w:val="NoSpacing"/>
        <w:jc w:val="both"/>
        <w:rPr>
          <w:rFonts w:cs="Arial"/>
          <w:sz w:val="20"/>
        </w:rPr>
      </w:pPr>
    </w:p>
    <w:p w14:paraId="50F422C5" w14:textId="7AFEE3C4" w:rsidR="00C67C9B" w:rsidRPr="0072480A" w:rsidRDefault="00C67C9B" w:rsidP="00020C68">
      <w:pPr>
        <w:pStyle w:val="NoSpacing"/>
        <w:numPr>
          <w:ilvl w:val="0"/>
          <w:numId w:val="43"/>
        </w:numPr>
        <w:ind w:left="360"/>
        <w:jc w:val="both"/>
        <w:rPr>
          <w:rFonts w:cs="Arial"/>
          <w:sz w:val="20"/>
        </w:rPr>
      </w:pPr>
      <w:r w:rsidRPr="0072480A">
        <w:rPr>
          <w:rFonts w:cs="Arial"/>
          <w:sz w:val="20"/>
        </w:rPr>
        <w:t xml:space="preserve">If the permittee elects to recalculate the NMOC emission rate after determining a site-specific methane generation rate constant k, as provided in Tier 3 and the resulting NMOC emission rate is less than 34 Mg per year, a revised NMOC emission rate report and the resulting site-specific methane generation rate constant k </w:t>
      </w:r>
      <w:r>
        <w:rPr>
          <w:rFonts w:cs="Arial"/>
          <w:sz w:val="20"/>
        </w:rPr>
        <w:t>must</w:t>
      </w:r>
      <w:r w:rsidRPr="0072480A">
        <w:rPr>
          <w:rFonts w:cs="Arial"/>
          <w:sz w:val="20"/>
        </w:rPr>
        <w:t xml:space="preserve"> be submitted within 1 year of the first calculated emission rate equaling or exceeding 34 Mg per year.</w:t>
      </w:r>
      <w:r>
        <w:rPr>
          <w:rFonts w:cs="Arial"/>
          <w:sz w:val="20"/>
        </w:rPr>
        <w:t xml:space="preserve"> </w:t>
      </w:r>
      <w:r w:rsidR="007C6C51">
        <w:rPr>
          <w:rFonts w:cs="Arial"/>
          <w:sz w:val="20"/>
        </w:rPr>
        <w:t xml:space="preserve"> </w:t>
      </w:r>
      <w:r w:rsidRPr="0072480A">
        <w:rPr>
          <w:rFonts w:cs="Arial"/>
          <w:b/>
          <w:sz w:val="20"/>
        </w:rPr>
        <w:t xml:space="preserve"> (40</w:t>
      </w:r>
      <w:r>
        <w:rPr>
          <w:rFonts w:cs="Arial"/>
          <w:b/>
          <w:sz w:val="20"/>
        </w:rPr>
        <w:t> </w:t>
      </w:r>
      <w:r w:rsidRPr="0072480A">
        <w:rPr>
          <w:rFonts w:cs="Arial"/>
          <w:b/>
          <w:sz w:val="20"/>
        </w:rPr>
        <w:t>CFR 60.767(c)(4)(ii))</w:t>
      </w:r>
    </w:p>
    <w:p w14:paraId="40E6AFD1" w14:textId="77777777" w:rsidR="00C67C9B" w:rsidRPr="0072480A" w:rsidRDefault="00C67C9B" w:rsidP="00C67C9B">
      <w:pPr>
        <w:pStyle w:val="NoSpacing"/>
        <w:jc w:val="both"/>
        <w:rPr>
          <w:rFonts w:cs="Arial"/>
          <w:sz w:val="20"/>
        </w:rPr>
      </w:pPr>
    </w:p>
    <w:p w14:paraId="6CF3AD01" w14:textId="77777777" w:rsidR="00C67C9B" w:rsidRPr="0072480A" w:rsidRDefault="00C67C9B" w:rsidP="00020C68">
      <w:pPr>
        <w:pStyle w:val="NoSpacing"/>
        <w:numPr>
          <w:ilvl w:val="0"/>
          <w:numId w:val="43"/>
        </w:numPr>
        <w:ind w:left="360"/>
        <w:jc w:val="both"/>
        <w:rPr>
          <w:rFonts w:cs="Arial"/>
          <w:sz w:val="20"/>
        </w:rPr>
      </w:pPr>
      <w:r w:rsidRPr="0072480A">
        <w:rPr>
          <w:rFonts w:cs="Arial"/>
          <w:sz w:val="20"/>
        </w:rPr>
        <w:t>If the permittee elects to demonstrate that site-specific surface methane emissions are below 500 ppm methane, then the owner or operator must submit annually a Tier 4 surface emissions report.  The initial Tier 4 surface emissions report must be submitted annually, starting within 30 days of completing the fourth quarter of Tier 4 surface emissions monitoring that demonstrates that site-specific surface methane emissions are below 500 ppm methane.</w:t>
      </w:r>
      <w:r>
        <w:rPr>
          <w:rFonts w:cs="Arial"/>
          <w:sz w:val="20"/>
        </w:rPr>
        <w:t xml:space="preserve"> </w:t>
      </w:r>
      <w:r w:rsidRPr="0072480A">
        <w:rPr>
          <w:rFonts w:cs="Arial"/>
          <w:b/>
          <w:sz w:val="20"/>
        </w:rPr>
        <w:t xml:space="preserve"> (40 CFR 60.767(c)(4)(iii))</w:t>
      </w:r>
    </w:p>
    <w:p w14:paraId="5B40F586" w14:textId="77777777" w:rsidR="00C67C9B" w:rsidRPr="00677BB2" w:rsidRDefault="00C67C9B" w:rsidP="00C67C9B">
      <w:pPr>
        <w:pStyle w:val="NoSpacing"/>
        <w:jc w:val="both"/>
        <w:rPr>
          <w:rFonts w:cs="Arial"/>
        </w:rPr>
      </w:pPr>
    </w:p>
    <w:p w14:paraId="661800C0" w14:textId="77777777" w:rsidR="00C67C9B" w:rsidRPr="0067081F" w:rsidRDefault="00C67C9B" w:rsidP="00020C68">
      <w:pPr>
        <w:pStyle w:val="NoSpacing"/>
        <w:numPr>
          <w:ilvl w:val="0"/>
          <w:numId w:val="43"/>
        </w:numPr>
        <w:ind w:left="360"/>
        <w:jc w:val="both"/>
        <w:rPr>
          <w:rFonts w:cs="Arial"/>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AQD may request additional information as may be necessary to verify that permanent closure has taken place in accordance with the requirements of 40 CFR 258.60.  If a closure report has been submitted to the AQD, no additional wastes may be placed into the landfill without filing a notification of modification as described under </w:t>
      </w:r>
      <w:r>
        <w:rPr>
          <w:sz w:val="20"/>
        </w:rPr>
        <w:t xml:space="preserve">40 CFR </w:t>
      </w:r>
      <w:r w:rsidRPr="00305533">
        <w:rPr>
          <w:sz w:val="20"/>
        </w:rPr>
        <w:t>60.7(a)(4).</w:t>
      </w:r>
      <w:r>
        <w:rPr>
          <w:sz w:val="20"/>
        </w:rPr>
        <w:t xml:space="preserve"> </w:t>
      </w:r>
      <w:r w:rsidRPr="00677BB2">
        <w:rPr>
          <w:rFonts w:cs="Arial"/>
        </w:rPr>
        <w:t xml:space="preserve"> </w:t>
      </w:r>
      <w:r w:rsidRPr="0067081F">
        <w:rPr>
          <w:rFonts w:cs="Arial"/>
          <w:b/>
          <w:sz w:val="20"/>
        </w:rPr>
        <w:t>(40 CFR 60.767(e))</w:t>
      </w:r>
    </w:p>
    <w:p w14:paraId="41E1B53E" w14:textId="77777777" w:rsidR="00C67C9B" w:rsidRPr="00AA5AC0" w:rsidRDefault="00C67C9B" w:rsidP="00C67C9B">
      <w:pPr>
        <w:pStyle w:val="NoSpacing"/>
        <w:jc w:val="both"/>
        <w:rPr>
          <w:rFonts w:cs="Arial"/>
        </w:rPr>
      </w:pPr>
    </w:p>
    <w:p w14:paraId="0AF2F028" w14:textId="33C537F9" w:rsidR="00C67C9B" w:rsidRPr="007103E8" w:rsidRDefault="00C67C9B" w:rsidP="00020C68">
      <w:pPr>
        <w:pStyle w:val="NoSpacing"/>
        <w:numPr>
          <w:ilvl w:val="0"/>
          <w:numId w:val="43"/>
        </w:numPr>
        <w:ind w:left="360"/>
        <w:jc w:val="both"/>
        <w:rPr>
          <w:rFonts w:cs="Arial"/>
          <w:sz w:val="20"/>
        </w:rPr>
      </w:pPr>
      <w:r w:rsidRPr="0072480A">
        <w:rPr>
          <w:sz w:val="20"/>
        </w:rPr>
        <w:t xml:space="preserve">Within 60 days after the date of completing each performance test (as defined in 40 CFR 60.8), the owner or operator must submit the results of each performance test for data collected using test methods supported by the </w:t>
      </w:r>
      <w:r>
        <w:rPr>
          <w:sz w:val="20"/>
        </w:rPr>
        <w:t>US</w:t>
      </w:r>
      <w:r w:rsidRPr="0072480A">
        <w:rPr>
          <w:sz w:val="20"/>
        </w:rPr>
        <w:t xml:space="preserve">EPA's Electronic Reporting Tool (ERT) as listed on the </w:t>
      </w:r>
      <w:r>
        <w:rPr>
          <w:sz w:val="20"/>
        </w:rPr>
        <w:t>US</w:t>
      </w:r>
      <w:r w:rsidRPr="0072480A">
        <w:rPr>
          <w:sz w:val="20"/>
        </w:rPr>
        <w:t>EPA's ERT Web site (</w:t>
      </w:r>
      <w:hyperlink r:id="rId9" w:tgtFrame="_blank" w:history="1">
        <w:r w:rsidRPr="0073438D">
          <w:rPr>
            <w:rFonts w:cs="Arial"/>
            <w:color w:val="0000FF"/>
            <w:sz w:val="20"/>
            <w:u w:val="single"/>
          </w:rPr>
          <w:t>https://www.epa.gov/electronic-reporting-air-emissions/electronic-reporting-tool-ert</w:t>
        </w:r>
      </w:hyperlink>
      <w:r w:rsidRPr="0072480A">
        <w:rPr>
          <w:sz w:val="20"/>
        </w:rPr>
        <w:t xml:space="preserve">) at the time of the test.  The permittee </w:t>
      </w:r>
      <w:r>
        <w:rPr>
          <w:sz w:val="20"/>
        </w:rPr>
        <w:t>must</w:t>
      </w:r>
      <w:r w:rsidRPr="0072480A">
        <w:rPr>
          <w:sz w:val="20"/>
        </w:rPr>
        <w:t xml:space="preserve"> submit the results of the performance test to the </w:t>
      </w:r>
      <w:r>
        <w:rPr>
          <w:sz w:val="20"/>
        </w:rPr>
        <w:t>US</w:t>
      </w:r>
      <w:r w:rsidRPr="0072480A">
        <w:rPr>
          <w:sz w:val="20"/>
        </w:rPr>
        <w:t xml:space="preserve">EPA via the Compliance and Emissions Data Reporting Interface (CEDRI). </w:t>
      </w:r>
      <w:r>
        <w:rPr>
          <w:sz w:val="20"/>
        </w:rPr>
        <w:t xml:space="preserve"> </w:t>
      </w:r>
      <w:r w:rsidRPr="0072480A">
        <w:rPr>
          <w:sz w:val="20"/>
        </w:rPr>
        <w:t xml:space="preserve">CEDRI can be accessed through the </w:t>
      </w:r>
      <w:r>
        <w:rPr>
          <w:sz w:val="20"/>
        </w:rPr>
        <w:t>US</w:t>
      </w:r>
      <w:r w:rsidRPr="0072480A">
        <w:rPr>
          <w:sz w:val="20"/>
        </w:rPr>
        <w:t>EPA's Central Data Exchange (CDX) (</w:t>
      </w:r>
      <w:hyperlink r:id="rId10" w:history="1">
        <w:r w:rsidRPr="00F225BA">
          <w:rPr>
            <w:rStyle w:val="Hyperlink"/>
            <w:sz w:val="20"/>
          </w:rPr>
          <w:t>https://cdx.epa.gov/</w:t>
        </w:r>
      </w:hyperlink>
      <w:r w:rsidRPr="0072480A">
        <w:rPr>
          <w:sz w:val="20"/>
        </w:rPr>
        <w:t>).</w:t>
      </w:r>
      <w:r w:rsidRPr="0072480A">
        <w:rPr>
          <w:color w:val="0000FF"/>
          <w:sz w:val="20"/>
        </w:rPr>
        <w:t xml:space="preserve">  </w:t>
      </w:r>
      <w:r w:rsidRPr="0072480A">
        <w:rPr>
          <w:b/>
          <w:sz w:val="20"/>
        </w:rPr>
        <w:t>(40 CFR 60.767(</w:t>
      </w:r>
      <w:proofErr w:type="spellStart"/>
      <w:r w:rsidRPr="0072480A">
        <w:rPr>
          <w:b/>
          <w:sz w:val="20"/>
        </w:rPr>
        <w:t>i</w:t>
      </w:r>
      <w:proofErr w:type="spellEnd"/>
      <w:r w:rsidRPr="0072480A">
        <w:rPr>
          <w:b/>
          <w:sz w:val="20"/>
        </w:rPr>
        <w:t>))</w:t>
      </w:r>
    </w:p>
    <w:p w14:paraId="24F3DFD6" w14:textId="77777777" w:rsidR="00C67C9B" w:rsidRPr="00251BC9" w:rsidRDefault="00C67C9B" w:rsidP="00C67C9B">
      <w:pPr>
        <w:rPr>
          <w:rFonts w:cs="Arial"/>
          <w:sz w:val="20"/>
        </w:rPr>
      </w:pPr>
    </w:p>
    <w:p w14:paraId="7506CEFC" w14:textId="77777777" w:rsidR="00C67C9B" w:rsidRPr="00FE0AD0" w:rsidRDefault="00C67C9B" w:rsidP="00C67C9B">
      <w:pPr>
        <w:jc w:val="both"/>
        <w:rPr>
          <w:rFonts w:cs="Arial"/>
          <w:b/>
          <w:sz w:val="20"/>
        </w:rPr>
      </w:pPr>
      <w:r w:rsidRPr="00FE0AD0">
        <w:rPr>
          <w:rFonts w:cs="Arial"/>
          <w:b/>
          <w:sz w:val="20"/>
        </w:rPr>
        <w:t>See Appendix 8</w:t>
      </w:r>
    </w:p>
    <w:p w14:paraId="213F903C" w14:textId="77777777" w:rsidR="00C67C9B" w:rsidRPr="00BE00F8" w:rsidRDefault="00C67C9B" w:rsidP="00C67C9B">
      <w:pPr>
        <w:jc w:val="both"/>
        <w:rPr>
          <w:rFonts w:cs="Arial"/>
          <w:sz w:val="20"/>
        </w:rPr>
      </w:pPr>
    </w:p>
    <w:p w14:paraId="1E8D1CD9" w14:textId="77777777" w:rsidR="00C67C9B" w:rsidRPr="00CC02A3" w:rsidRDefault="00C67C9B" w:rsidP="00C67C9B">
      <w:pPr>
        <w:rPr>
          <w:sz w:val="20"/>
        </w:rPr>
      </w:pPr>
      <w:r>
        <w:rPr>
          <w:b/>
        </w:rPr>
        <w:t xml:space="preserve">VIII.  </w:t>
      </w:r>
      <w:r>
        <w:rPr>
          <w:b/>
          <w:u w:val="single"/>
        </w:rPr>
        <w:t>STACK/VENT RESTRICTION(S)</w:t>
      </w:r>
    </w:p>
    <w:p w14:paraId="26987C83" w14:textId="77777777" w:rsidR="00C67C9B" w:rsidRPr="00FE0AD0" w:rsidRDefault="00C67C9B" w:rsidP="00C67C9B">
      <w:pPr>
        <w:rPr>
          <w:sz w:val="20"/>
        </w:rPr>
      </w:pPr>
    </w:p>
    <w:p w14:paraId="42ED7299" w14:textId="77777777" w:rsidR="00C67C9B" w:rsidRPr="0072480A" w:rsidRDefault="00C67C9B" w:rsidP="00C67C9B">
      <w:pPr>
        <w:jc w:val="both"/>
        <w:rPr>
          <w:sz w:val="20"/>
        </w:rPr>
      </w:pPr>
      <w:r w:rsidRPr="0072480A">
        <w:rPr>
          <w:sz w:val="20"/>
        </w:rPr>
        <w:t>NA</w:t>
      </w:r>
    </w:p>
    <w:p w14:paraId="2A523C96" w14:textId="77777777" w:rsidR="00C67C9B" w:rsidRPr="00BE00F8" w:rsidRDefault="00C67C9B" w:rsidP="00C67C9B">
      <w:pPr>
        <w:jc w:val="both"/>
      </w:pPr>
    </w:p>
    <w:p w14:paraId="2FEB1AA3" w14:textId="77777777" w:rsidR="00C67C9B" w:rsidRPr="00440957" w:rsidRDefault="00C67C9B" w:rsidP="00C67C9B">
      <w:pPr>
        <w:jc w:val="both"/>
        <w:rPr>
          <w:sz w:val="20"/>
        </w:rPr>
      </w:pPr>
      <w:r>
        <w:rPr>
          <w:b/>
        </w:rPr>
        <w:t xml:space="preserve">IX.  </w:t>
      </w:r>
      <w:r>
        <w:rPr>
          <w:b/>
          <w:u w:val="single"/>
        </w:rPr>
        <w:t>OTHER REQUIREMENT(S)</w:t>
      </w:r>
    </w:p>
    <w:p w14:paraId="6969B861" w14:textId="77777777" w:rsidR="00C67C9B" w:rsidRPr="00FE0AD0" w:rsidRDefault="00C67C9B" w:rsidP="00C67C9B">
      <w:pPr>
        <w:jc w:val="both"/>
        <w:rPr>
          <w:sz w:val="20"/>
        </w:rPr>
      </w:pPr>
    </w:p>
    <w:p w14:paraId="17D340ED" w14:textId="319C3B47" w:rsidR="00C67C9B" w:rsidRPr="001F1813" w:rsidRDefault="00C67C9B" w:rsidP="00020C68">
      <w:pPr>
        <w:numPr>
          <w:ilvl w:val="0"/>
          <w:numId w:val="40"/>
        </w:numPr>
        <w:jc w:val="both"/>
        <w:rPr>
          <w:sz w:val="20"/>
        </w:rPr>
      </w:pPr>
      <w:r w:rsidRPr="001F1813">
        <w:rPr>
          <w:rFonts w:cs="Arial"/>
          <w:sz w:val="20"/>
        </w:rPr>
        <w:t xml:space="preserve">If the </w:t>
      </w:r>
      <w:r w:rsidRPr="001F1813">
        <w:rPr>
          <w:sz w:val="20"/>
        </w:rPr>
        <w:t>calculated</w:t>
      </w:r>
      <w:r w:rsidRPr="001F1813">
        <w:rPr>
          <w:rFonts w:cs="Arial"/>
          <w:sz w:val="20"/>
        </w:rPr>
        <w:t xml:space="preserve"> NMOC emission rate is calculated to be equal to or greater than 34 Mg per year or the methane concentration from the surface of the landfill is 500 ppm or greater, the permittee must install a collection and control system in compliance with 40 CFR 60.</w:t>
      </w:r>
      <w:r w:rsidR="00F17EEA" w:rsidRPr="001F1813">
        <w:rPr>
          <w:rFonts w:cs="Arial"/>
          <w:sz w:val="20"/>
        </w:rPr>
        <w:t>7</w:t>
      </w:r>
      <w:r w:rsidR="00F17EEA">
        <w:rPr>
          <w:rFonts w:cs="Arial"/>
          <w:sz w:val="20"/>
        </w:rPr>
        <w:t>6</w:t>
      </w:r>
      <w:r w:rsidR="00F17EEA" w:rsidRPr="001F1813">
        <w:rPr>
          <w:rFonts w:cs="Arial"/>
          <w:sz w:val="20"/>
        </w:rPr>
        <w:t>2</w:t>
      </w:r>
      <w:r w:rsidRPr="001F1813">
        <w:rPr>
          <w:rFonts w:cs="Arial"/>
          <w:sz w:val="20"/>
        </w:rPr>
        <w:t xml:space="preserve">(b)(2).  Additionally, within 90 days the permittee must apply for a revision of this permit to reflect applicable requirements of 40 CFR Part 60, Subpart XXX.  </w:t>
      </w:r>
      <w:r w:rsidRPr="001F1813">
        <w:rPr>
          <w:rFonts w:cs="Arial"/>
          <w:b/>
          <w:sz w:val="20"/>
        </w:rPr>
        <w:t>(R 336.1216(2), 40 CFR 60.762(b)(1)(ii)(A))</w:t>
      </w:r>
      <w:r w:rsidRPr="001F1813">
        <w:rPr>
          <w:sz w:val="20"/>
        </w:rPr>
        <w:t xml:space="preserve"> </w:t>
      </w:r>
    </w:p>
    <w:p w14:paraId="1E6E75DA" w14:textId="77777777" w:rsidR="00C67C9B" w:rsidRDefault="00C67C9B" w:rsidP="00C67C9B">
      <w:pPr>
        <w:jc w:val="both"/>
        <w:rPr>
          <w:sz w:val="20"/>
        </w:rPr>
      </w:pPr>
    </w:p>
    <w:p w14:paraId="0EABF70D" w14:textId="77777777" w:rsidR="00C67C9B" w:rsidRPr="001F1813" w:rsidRDefault="00C67C9B" w:rsidP="00020C68">
      <w:pPr>
        <w:numPr>
          <w:ilvl w:val="0"/>
          <w:numId w:val="40"/>
        </w:numPr>
        <w:jc w:val="both"/>
        <w:rPr>
          <w:sz w:val="20"/>
        </w:rPr>
      </w:pPr>
      <w:r w:rsidRPr="001F1813">
        <w:rPr>
          <w:sz w:val="20"/>
        </w:rPr>
        <w:t xml:space="preserve">The permittee must comply with all applicable provisions of </w:t>
      </w:r>
      <w:r w:rsidRPr="001F1813">
        <w:rPr>
          <w:rFonts w:cs="Arial"/>
          <w:sz w:val="20"/>
        </w:rPr>
        <w:t xml:space="preserve">the federal Standards of Performance for New Stationary Sources as specified in </w:t>
      </w:r>
      <w:r w:rsidRPr="001F1813">
        <w:rPr>
          <w:sz w:val="20"/>
        </w:rPr>
        <w:t>40 CFR Part 60, Subparts A and XXX</w:t>
      </w:r>
      <w:r w:rsidRPr="001F1813">
        <w:rPr>
          <w:color w:val="0000FF"/>
          <w:sz w:val="20"/>
        </w:rPr>
        <w:t xml:space="preserve">.  </w:t>
      </w:r>
      <w:r w:rsidRPr="001F1813">
        <w:rPr>
          <w:b/>
          <w:sz w:val="20"/>
        </w:rPr>
        <w:t>(40 CFR Part 60, Subparts A and XXX)</w:t>
      </w:r>
    </w:p>
    <w:p w14:paraId="763172CE" w14:textId="77777777" w:rsidR="00C67C9B" w:rsidRDefault="00C67C9B" w:rsidP="00C67C9B">
      <w:pPr>
        <w:jc w:val="both"/>
        <w:rPr>
          <w:sz w:val="20"/>
        </w:rPr>
      </w:pPr>
    </w:p>
    <w:p w14:paraId="0FC43AA1" w14:textId="7609E643" w:rsidR="009C1949" w:rsidRDefault="009C1949">
      <w:r>
        <w:br w:type="page"/>
      </w:r>
    </w:p>
    <w:p w14:paraId="74D385E2" w14:textId="77777777" w:rsidR="009C1949" w:rsidRDefault="009C1949"/>
    <w:p w14:paraId="04C43478" w14:textId="77777777" w:rsidR="009C1949" w:rsidRPr="00C43734" w:rsidRDefault="009C1949" w:rsidP="009C194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59914028"/>
      <w:r>
        <w:rPr>
          <w:bCs/>
          <w:szCs w:val="28"/>
        </w:rPr>
        <w:t>FG</w:t>
      </w:r>
      <w:r w:rsidRPr="00861105">
        <w:rPr>
          <w:bCs/>
          <w:szCs w:val="28"/>
        </w:rPr>
        <w:t>LANDFILL</w:t>
      </w:r>
      <w:r>
        <w:rPr>
          <w:bCs/>
          <w:szCs w:val="28"/>
        </w:rPr>
        <w:t>-AAAA</w:t>
      </w:r>
      <w:r w:rsidRPr="00861105">
        <w:rPr>
          <w:bCs/>
          <w:szCs w:val="28"/>
        </w:rPr>
        <w:t>&lt;50</w:t>
      </w:r>
      <w:bookmarkEnd w:id="80"/>
    </w:p>
    <w:p w14:paraId="761D96D0" w14:textId="77777777" w:rsidR="009C1949" w:rsidRPr="00EE02F9" w:rsidRDefault="009C1949" w:rsidP="009C1949">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w:t>
      </w:r>
      <w:r w:rsidRPr="00EE02F9">
        <w:rPr>
          <w:b/>
          <w:sz w:val="28"/>
          <w:szCs w:val="28"/>
        </w:rPr>
        <w:t>S</w:t>
      </w:r>
    </w:p>
    <w:p w14:paraId="682FA4BE" w14:textId="77777777" w:rsidR="009C1949" w:rsidRDefault="009C1949" w:rsidP="009C1949">
      <w:pPr>
        <w:rPr>
          <w:sz w:val="20"/>
        </w:rPr>
      </w:pPr>
    </w:p>
    <w:p w14:paraId="06CFFE8B" w14:textId="77777777" w:rsidR="009C1949" w:rsidRPr="0019740E" w:rsidRDefault="009C1949" w:rsidP="009C1949">
      <w:pPr>
        <w:rPr>
          <w:sz w:val="20"/>
        </w:rPr>
      </w:pPr>
    </w:p>
    <w:p w14:paraId="7464D516" w14:textId="77777777" w:rsidR="009C1949" w:rsidRPr="007D4237" w:rsidRDefault="009C1949" w:rsidP="009C1949">
      <w:pPr>
        <w:jc w:val="both"/>
      </w:pPr>
      <w:r>
        <w:rPr>
          <w:b/>
          <w:u w:val="single"/>
        </w:rPr>
        <w:t>DESCRIPTION</w:t>
      </w:r>
    </w:p>
    <w:p w14:paraId="5B4FAED7" w14:textId="77777777" w:rsidR="009C1949" w:rsidRPr="007D4237" w:rsidRDefault="009C1949" w:rsidP="009C1949">
      <w:pPr>
        <w:jc w:val="both"/>
        <w:rPr>
          <w:sz w:val="20"/>
        </w:rPr>
      </w:pPr>
    </w:p>
    <w:p w14:paraId="1AF36611" w14:textId="3ABDAF56" w:rsidR="009C1949" w:rsidRDefault="009C1949" w:rsidP="009C1949">
      <w:pPr>
        <w:jc w:val="both"/>
        <w:rPr>
          <w:sz w:val="20"/>
        </w:rPr>
      </w:pPr>
      <w:r w:rsidRPr="175357AD">
        <w:rPr>
          <w:sz w:val="20"/>
        </w:rPr>
        <w:t>A Municipal Solid Waste (MSW) landfill that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w:t>
      </w:r>
      <w:r w:rsidRPr="175357AD">
        <w:rPr>
          <w:sz w:val="20"/>
        </w:rPr>
        <w:t xml:space="preserve">actual NMOC emissions less than </w:t>
      </w:r>
      <w:r>
        <w:rPr>
          <w:sz w:val="20"/>
        </w:rPr>
        <w:t>50</w:t>
      </w:r>
      <w:r w:rsidRPr="175357AD">
        <w:rPr>
          <w:sz w:val="20"/>
        </w:rPr>
        <w:t xml:space="preserve"> </w:t>
      </w:r>
      <w:r>
        <w:rPr>
          <w:sz w:val="20"/>
        </w:rPr>
        <w:t>Mg</w:t>
      </w:r>
      <w:r w:rsidRPr="175357AD">
        <w:rPr>
          <w:sz w:val="20"/>
        </w:rPr>
        <w:t xml:space="preserve"> per year</w:t>
      </w:r>
      <w:r>
        <w:rPr>
          <w:sz w:val="20"/>
        </w:rPr>
        <w:t xml:space="preserve"> </w:t>
      </w:r>
      <w:r w:rsidRPr="00A60A6E">
        <w:rPr>
          <w:sz w:val="20"/>
        </w:rPr>
        <w:t>as calculated according to 40 CFR 63.1959</w:t>
      </w:r>
      <w:r w:rsidR="00EC7BAE">
        <w:rPr>
          <w:sz w:val="20"/>
        </w:rPr>
        <w:t>.</w:t>
      </w:r>
      <w:r w:rsidR="007C6C51">
        <w:rPr>
          <w:sz w:val="20"/>
        </w:rPr>
        <w:t xml:space="preserve">  </w:t>
      </w:r>
      <w:r w:rsidRPr="175357AD">
        <w:rPr>
          <w:sz w:val="20"/>
        </w:rPr>
        <w:t xml:space="preserve">This </w:t>
      </w:r>
      <w:r>
        <w:rPr>
          <w:sz w:val="20"/>
        </w:rPr>
        <w:t>MSW landfill</w:t>
      </w:r>
      <w:r w:rsidRPr="175357AD">
        <w:rPr>
          <w:sz w:val="20"/>
        </w:rPr>
        <w:t xml:space="preserve"> is subject to the requirements of 40 CFR Part 6</w:t>
      </w:r>
      <w:r>
        <w:rPr>
          <w:sz w:val="20"/>
        </w:rPr>
        <w:t>3</w:t>
      </w:r>
      <w:r w:rsidRPr="175357AD">
        <w:rPr>
          <w:sz w:val="20"/>
        </w:rPr>
        <w:t xml:space="preserve">, Subpart </w:t>
      </w:r>
      <w:r>
        <w:rPr>
          <w:sz w:val="20"/>
        </w:rPr>
        <w:t>AAAA</w:t>
      </w:r>
      <w:r w:rsidRPr="175357AD">
        <w:rPr>
          <w:sz w:val="20"/>
        </w:rPr>
        <w:t>.</w:t>
      </w:r>
    </w:p>
    <w:p w14:paraId="069F6C9A" w14:textId="77777777" w:rsidR="009C1949" w:rsidRPr="0019740E" w:rsidRDefault="009C1949" w:rsidP="009C1949">
      <w:pPr>
        <w:jc w:val="both"/>
        <w:rPr>
          <w:sz w:val="20"/>
        </w:rPr>
      </w:pPr>
    </w:p>
    <w:p w14:paraId="2D15FBEE" w14:textId="13EACA8B" w:rsidR="009C1949" w:rsidRPr="0019740E" w:rsidRDefault="009C1949" w:rsidP="009C1949">
      <w:pPr>
        <w:tabs>
          <w:tab w:val="left" w:pos="6328"/>
        </w:tabs>
        <w:jc w:val="both"/>
        <w:rPr>
          <w:sz w:val="20"/>
        </w:rPr>
      </w:pPr>
      <w:r>
        <w:rPr>
          <w:b/>
          <w:sz w:val="20"/>
        </w:rPr>
        <w:t>Emission Unit</w:t>
      </w:r>
      <w:r w:rsidR="000E7ACC">
        <w:rPr>
          <w:b/>
          <w:sz w:val="20"/>
        </w:rPr>
        <w:t>s</w:t>
      </w:r>
      <w:r w:rsidRPr="00305533">
        <w:rPr>
          <w:b/>
          <w:sz w:val="20"/>
        </w:rPr>
        <w:t>:</w:t>
      </w:r>
      <w:r w:rsidRPr="00305533">
        <w:rPr>
          <w:sz w:val="20"/>
        </w:rPr>
        <w:t xml:space="preserve">  </w:t>
      </w:r>
      <w:r>
        <w:rPr>
          <w:rFonts w:cs="Arial"/>
          <w:sz w:val="20"/>
        </w:rPr>
        <w:t>EULANDFILL</w:t>
      </w:r>
      <w:r w:rsidR="007C6C51">
        <w:rPr>
          <w:rFonts w:cs="Arial"/>
          <w:sz w:val="20"/>
        </w:rPr>
        <w:t>, EUASBESTOS</w:t>
      </w:r>
      <w:r>
        <w:rPr>
          <w:color w:val="0000FF"/>
          <w:sz w:val="20"/>
        </w:rPr>
        <w:t xml:space="preserve"> </w:t>
      </w:r>
    </w:p>
    <w:p w14:paraId="3F6EA4D7" w14:textId="77777777" w:rsidR="009C1949" w:rsidRDefault="009C1949" w:rsidP="009C1949">
      <w:pPr>
        <w:jc w:val="both"/>
        <w:rPr>
          <w:b/>
          <w:u w:val="single"/>
        </w:rPr>
      </w:pPr>
    </w:p>
    <w:p w14:paraId="12B69B9C" w14:textId="77777777" w:rsidR="009C1949" w:rsidRDefault="009C1949" w:rsidP="009C1949">
      <w:pPr>
        <w:jc w:val="both"/>
        <w:rPr>
          <w:b/>
          <w:u w:val="single"/>
        </w:rPr>
      </w:pPr>
      <w:r>
        <w:rPr>
          <w:b/>
          <w:u w:val="single"/>
        </w:rPr>
        <w:t>POLLUTION CONTROL EQUIPMENT</w:t>
      </w:r>
    </w:p>
    <w:p w14:paraId="027C5870" w14:textId="77777777" w:rsidR="009C1949" w:rsidRPr="00EE5F4E" w:rsidRDefault="009C1949" w:rsidP="009C1949">
      <w:pPr>
        <w:jc w:val="both"/>
        <w:rPr>
          <w:sz w:val="20"/>
        </w:rPr>
      </w:pPr>
    </w:p>
    <w:p w14:paraId="6F0954A7" w14:textId="77777777" w:rsidR="0065676D" w:rsidRPr="00875AD0" w:rsidRDefault="0065676D" w:rsidP="0065676D">
      <w:pPr>
        <w:rPr>
          <w:sz w:val="20"/>
        </w:rPr>
      </w:pPr>
      <w:r w:rsidRPr="00875AD0">
        <w:rPr>
          <w:sz w:val="20"/>
        </w:rPr>
        <w:t xml:space="preserve">Three (3) solar passive vent flares. </w:t>
      </w:r>
    </w:p>
    <w:p w14:paraId="3CB64D59" w14:textId="77777777" w:rsidR="009C1949" w:rsidRPr="00906ACF" w:rsidRDefault="009C1949" w:rsidP="009C1949">
      <w:pPr>
        <w:jc w:val="both"/>
        <w:rPr>
          <w:sz w:val="20"/>
        </w:rPr>
      </w:pPr>
    </w:p>
    <w:p w14:paraId="38C2256D" w14:textId="77777777" w:rsidR="009C1949" w:rsidRPr="00F01FE1" w:rsidRDefault="009C1949" w:rsidP="009C1949">
      <w:pPr>
        <w:jc w:val="both"/>
        <w:rPr>
          <w:b/>
          <w:sz w:val="20"/>
          <w:u w:val="single"/>
        </w:rPr>
      </w:pPr>
      <w:r>
        <w:rPr>
          <w:b/>
        </w:rPr>
        <w:t xml:space="preserve">I.  </w:t>
      </w:r>
      <w:r>
        <w:rPr>
          <w:b/>
          <w:u w:val="single"/>
        </w:rPr>
        <w:t>EMISSION LIMIT(S)</w:t>
      </w:r>
    </w:p>
    <w:p w14:paraId="0B229520" w14:textId="77777777" w:rsidR="009C1949" w:rsidRDefault="009C1949" w:rsidP="009C1949">
      <w:pPr>
        <w:jc w:val="both"/>
        <w:rPr>
          <w:sz w:val="20"/>
        </w:rPr>
      </w:pPr>
    </w:p>
    <w:p w14:paraId="48BFADE3" w14:textId="77777777" w:rsidR="009C1949" w:rsidRPr="007D4237" w:rsidRDefault="009C1949" w:rsidP="009C1949">
      <w:pPr>
        <w:jc w:val="both"/>
        <w:rPr>
          <w:sz w:val="20"/>
        </w:rPr>
      </w:pPr>
      <w:r>
        <w:rPr>
          <w:sz w:val="20"/>
        </w:rPr>
        <w:t>NA</w:t>
      </w:r>
    </w:p>
    <w:p w14:paraId="7C7EBF51" w14:textId="77777777" w:rsidR="009C1949" w:rsidRPr="00FE0AD0" w:rsidRDefault="009C1949" w:rsidP="009C1949">
      <w:pPr>
        <w:jc w:val="both"/>
        <w:rPr>
          <w:sz w:val="20"/>
        </w:rPr>
      </w:pPr>
    </w:p>
    <w:p w14:paraId="257E8F2C" w14:textId="77777777" w:rsidR="009C1949" w:rsidRDefault="009C1949" w:rsidP="009C1949">
      <w:pPr>
        <w:jc w:val="both"/>
        <w:rPr>
          <w:b/>
          <w:u w:val="single"/>
        </w:rPr>
      </w:pPr>
      <w:r>
        <w:rPr>
          <w:b/>
        </w:rPr>
        <w:t xml:space="preserve">II.  </w:t>
      </w:r>
      <w:r>
        <w:rPr>
          <w:b/>
          <w:u w:val="single"/>
        </w:rPr>
        <w:t>MATERIAL LIMIT(S)</w:t>
      </w:r>
    </w:p>
    <w:p w14:paraId="0347517F" w14:textId="77777777" w:rsidR="009C1949" w:rsidRDefault="009C1949" w:rsidP="009C1949">
      <w:pPr>
        <w:jc w:val="both"/>
        <w:rPr>
          <w:sz w:val="20"/>
        </w:rPr>
      </w:pPr>
    </w:p>
    <w:p w14:paraId="620E25B0" w14:textId="77777777" w:rsidR="009C1949" w:rsidRDefault="009C1949" w:rsidP="009C1949">
      <w:pPr>
        <w:jc w:val="both"/>
        <w:rPr>
          <w:sz w:val="20"/>
        </w:rPr>
      </w:pPr>
      <w:r>
        <w:rPr>
          <w:sz w:val="20"/>
        </w:rPr>
        <w:t>NA</w:t>
      </w:r>
    </w:p>
    <w:p w14:paraId="53C8C5C1" w14:textId="77777777" w:rsidR="009C1949" w:rsidRPr="00FE0AD0" w:rsidRDefault="009C1949" w:rsidP="009C1949">
      <w:pPr>
        <w:jc w:val="both"/>
        <w:rPr>
          <w:sz w:val="20"/>
        </w:rPr>
      </w:pPr>
    </w:p>
    <w:p w14:paraId="58574E69" w14:textId="77777777" w:rsidR="009C1949" w:rsidRPr="007D4237" w:rsidRDefault="009C1949" w:rsidP="009C1949">
      <w:pPr>
        <w:jc w:val="both"/>
        <w:rPr>
          <w:sz w:val="20"/>
        </w:rPr>
      </w:pPr>
      <w:r>
        <w:rPr>
          <w:b/>
        </w:rPr>
        <w:t xml:space="preserve">III.  </w:t>
      </w:r>
      <w:r>
        <w:rPr>
          <w:b/>
          <w:u w:val="single"/>
        </w:rPr>
        <w:t>PROCESS/OPERATIONAL RESTRICTION(S)</w:t>
      </w:r>
      <w:r w:rsidDel="001C614B">
        <w:rPr>
          <w:b/>
          <w:u w:val="single"/>
        </w:rPr>
        <w:t xml:space="preserve"> </w:t>
      </w:r>
    </w:p>
    <w:p w14:paraId="2867EF0F" w14:textId="77777777" w:rsidR="009C1949" w:rsidRPr="00FB6071" w:rsidRDefault="009C1949" w:rsidP="009C1949">
      <w:pPr>
        <w:jc w:val="both"/>
        <w:rPr>
          <w:sz w:val="20"/>
        </w:rPr>
      </w:pPr>
    </w:p>
    <w:p w14:paraId="364ACEEB" w14:textId="77777777" w:rsidR="009C1949" w:rsidRPr="00F92EFE" w:rsidRDefault="009C1949" w:rsidP="00020C68">
      <w:pPr>
        <w:pStyle w:val="ListParagraph"/>
        <w:numPr>
          <w:ilvl w:val="0"/>
          <w:numId w:val="52"/>
        </w:numPr>
        <w:ind w:left="360"/>
        <w:jc w:val="both"/>
        <w:rPr>
          <w:sz w:val="20"/>
        </w:rPr>
      </w:pPr>
      <w:r w:rsidRPr="00F92EFE">
        <w:rPr>
          <w:sz w:val="20"/>
        </w:rPr>
        <w:t>The</w:t>
      </w:r>
      <w:r>
        <w:rPr>
          <w:sz w:val="20"/>
        </w:rPr>
        <w:t xml:space="preserve"> permittee</w:t>
      </w:r>
      <w:r w:rsidRPr="00F92EFE">
        <w:rPr>
          <w:sz w:val="20"/>
        </w:rPr>
        <w:t xml:space="preserve"> must operate and maintain any affected source, including associated air pollution control equipment and monitoring equipment, in a manner consistent with safety and good air pollution control practices for minimizing emissions.</w:t>
      </w:r>
      <w:r w:rsidRPr="00F92EFE">
        <w:rPr>
          <w:b/>
          <w:bCs/>
          <w:sz w:val="20"/>
        </w:rPr>
        <w:t xml:space="preserve"> </w:t>
      </w:r>
      <w:r>
        <w:rPr>
          <w:b/>
          <w:bCs/>
          <w:sz w:val="20"/>
        </w:rPr>
        <w:t xml:space="preserve"> </w:t>
      </w:r>
      <w:r w:rsidRPr="00F92EFE">
        <w:rPr>
          <w:b/>
          <w:bCs/>
          <w:sz w:val="20"/>
        </w:rPr>
        <w:t>(40 CFR 63.19</w:t>
      </w:r>
      <w:r>
        <w:rPr>
          <w:b/>
          <w:bCs/>
          <w:sz w:val="20"/>
        </w:rPr>
        <w:t>55</w:t>
      </w:r>
      <w:r w:rsidRPr="00F92EFE">
        <w:rPr>
          <w:b/>
          <w:bCs/>
          <w:sz w:val="20"/>
        </w:rPr>
        <w:t>(</w:t>
      </w:r>
      <w:r>
        <w:rPr>
          <w:b/>
          <w:bCs/>
          <w:sz w:val="20"/>
        </w:rPr>
        <w:t>c</w:t>
      </w:r>
      <w:r w:rsidRPr="00F92EFE">
        <w:rPr>
          <w:b/>
          <w:bCs/>
          <w:sz w:val="20"/>
        </w:rPr>
        <w:t>))</w:t>
      </w:r>
    </w:p>
    <w:p w14:paraId="6EF0D73F" w14:textId="77777777" w:rsidR="009C1949" w:rsidRPr="00FB6071" w:rsidRDefault="009C1949" w:rsidP="009C1949">
      <w:pPr>
        <w:jc w:val="both"/>
        <w:rPr>
          <w:sz w:val="20"/>
        </w:rPr>
      </w:pPr>
    </w:p>
    <w:p w14:paraId="287E8FD6" w14:textId="77777777" w:rsidR="009C1949" w:rsidRPr="007D4237" w:rsidRDefault="009C1949" w:rsidP="009C1949">
      <w:pPr>
        <w:jc w:val="both"/>
        <w:rPr>
          <w:sz w:val="20"/>
        </w:rPr>
      </w:pPr>
      <w:r w:rsidRPr="00FB6071">
        <w:rPr>
          <w:b/>
        </w:rPr>
        <w:t xml:space="preserve">IV.  </w:t>
      </w:r>
      <w:r w:rsidRPr="00FB6071">
        <w:rPr>
          <w:b/>
          <w:u w:val="single"/>
        </w:rPr>
        <w:t>DESIGN</w:t>
      </w:r>
      <w:r>
        <w:rPr>
          <w:b/>
          <w:u w:val="single"/>
        </w:rPr>
        <w:t>/EQUIPMENT PARAMETER(S)</w:t>
      </w:r>
    </w:p>
    <w:p w14:paraId="1A60D9A3" w14:textId="77777777" w:rsidR="009C1949" w:rsidRPr="00573DEA" w:rsidRDefault="009C1949" w:rsidP="009C1949">
      <w:pPr>
        <w:jc w:val="both"/>
        <w:rPr>
          <w:sz w:val="20"/>
        </w:rPr>
      </w:pPr>
    </w:p>
    <w:p w14:paraId="108A1457" w14:textId="77777777" w:rsidR="009C1949" w:rsidRDefault="009C1949" w:rsidP="009C1949">
      <w:pPr>
        <w:jc w:val="both"/>
        <w:rPr>
          <w:sz w:val="20"/>
        </w:rPr>
      </w:pPr>
      <w:r>
        <w:rPr>
          <w:sz w:val="20"/>
        </w:rPr>
        <w:t>NA</w:t>
      </w:r>
    </w:p>
    <w:p w14:paraId="1C3B0415" w14:textId="77777777" w:rsidR="009C1949" w:rsidRPr="00FE0AD0" w:rsidRDefault="009C1949" w:rsidP="009C1949">
      <w:pPr>
        <w:jc w:val="both"/>
        <w:rPr>
          <w:sz w:val="20"/>
        </w:rPr>
      </w:pPr>
    </w:p>
    <w:p w14:paraId="1F184F21" w14:textId="77777777" w:rsidR="009C1949" w:rsidRPr="007D4237" w:rsidRDefault="009C1949" w:rsidP="009C1949">
      <w:pPr>
        <w:jc w:val="both"/>
      </w:pPr>
      <w:r>
        <w:rPr>
          <w:b/>
        </w:rPr>
        <w:t xml:space="preserve">V.  </w:t>
      </w:r>
      <w:r>
        <w:rPr>
          <w:b/>
          <w:u w:val="single"/>
        </w:rPr>
        <w:t>TESTING/SAMPLING</w:t>
      </w:r>
    </w:p>
    <w:p w14:paraId="02A072FE" w14:textId="77777777" w:rsidR="009C1949" w:rsidRPr="00FE0AD0" w:rsidRDefault="009C1949" w:rsidP="009C19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68311F" w14:textId="77777777" w:rsidR="009C1949" w:rsidRPr="00E873CB" w:rsidRDefault="009C1949" w:rsidP="009C1949">
      <w:pPr>
        <w:ind w:right="72"/>
        <w:jc w:val="both"/>
        <w:rPr>
          <w:rFonts w:cs="Arial"/>
          <w:sz w:val="20"/>
        </w:rPr>
      </w:pPr>
    </w:p>
    <w:p w14:paraId="18314A9B" w14:textId="77777777" w:rsidR="009C1949" w:rsidRDefault="009C1949" w:rsidP="00020C68">
      <w:pPr>
        <w:pStyle w:val="ListParagraph"/>
        <w:numPr>
          <w:ilvl w:val="0"/>
          <w:numId w:val="50"/>
        </w:numPr>
        <w:jc w:val="both"/>
        <w:rPr>
          <w:rFonts w:eastAsia="Arial" w:cs="Arial"/>
          <w:sz w:val="20"/>
        </w:rPr>
      </w:pPr>
      <w:r w:rsidRPr="000151BD">
        <w:rPr>
          <w:rFonts w:eastAsia="Arial" w:cs="Arial"/>
          <w:sz w:val="20"/>
        </w:rPr>
        <w:t xml:space="preserve">The permittee shall determine the NMOC mass emission rate utilizing procedures and calculations as described in Appendices 5 and 7 and in accordance with the Department requirements.  </w:t>
      </w:r>
      <w:r w:rsidRPr="000151BD">
        <w:rPr>
          <w:rFonts w:eastAsia="Arial" w:cs="Arial"/>
          <w:b/>
          <w:bCs/>
          <w:sz w:val="20"/>
        </w:rPr>
        <w:t>(R 336.1213(3), 40 CFR 63.1959(a)(1</w:t>
      </w:r>
      <w:r w:rsidRPr="003D63DC">
        <w:rPr>
          <w:rFonts w:eastAsia="Arial" w:cs="Arial"/>
          <w:b/>
          <w:bCs/>
          <w:sz w:val="20"/>
        </w:rPr>
        <w:t>))</w:t>
      </w:r>
      <w:r w:rsidRPr="000151BD">
        <w:rPr>
          <w:rFonts w:eastAsia="Arial" w:cs="Arial"/>
          <w:sz w:val="20"/>
        </w:rPr>
        <w:t xml:space="preserve"> </w:t>
      </w:r>
    </w:p>
    <w:p w14:paraId="3607ECB5" w14:textId="77777777" w:rsidR="009C1949" w:rsidRPr="005C355D" w:rsidRDefault="009C1949" w:rsidP="009C1949">
      <w:pPr>
        <w:jc w:val="both"/>
        <w:rPr>
          <w:rFonts w:eastAsia="Arial" w:cs="Arial"/>
          <w:sz w:val="20"/>
        </w:rPr>
      </w:pPr>
    </w:p>
    <w:p w14:paraId="6910B1C5" w14:textId="77777777" w:rsidR="009C1949" w:rsidRPr="003D63DC" w:rsidRDefault="009C1949" w:rsidP="00020C68">
      <w:pPr>
        <w:pStyle w:val="ListParagraph"/>
        <w:numPr>
          <w:ilvl w:val="0"/>
          <w:numId w:val="50"/>
        </w:numPr>
        <w:jc w:val="both"/>
        <w:rPr>
          <w:rFonts w:eastAsia="Arial" w:cs="Arial"/>
          <w:sz w:val="20"/>
        </w:rPr>
      </w:pPr>
      <w:r w:rsidRPr="000151BD">
        <w:rPr>
          <w:rFonts w:eastAsia="Arial" w:cs="Arial"/>
          <w:sz w:val="20"/>
        </w:rPr>
        <w:t xml:space="preserve">For Tier 2 NMOC emissions determination, no less than 30 days prior to testing, the permittee shall submit a complete test plan to the appropriate AQD District Office.  The AQD must approve the final plan prior to testing, including any modifications to the method in the test protocol that are proposed after initial submittal.  The permittee must submit a complete report of the test results to the appropriate AQD District Office within 60 days following the last date of the test.  </w:t>
      </w:r>
      <w:r w:rsidRPr="000151BD">
        <w:rPr>
          <w:rFonts w:eastAsia="Arial" w:cs="Arial"/>
          <w:b/>
          <w:bCs/>
          <w:sz w:val="20"/>
        </w:rPr>
        <w:t>(R 336.1213(3), R 336.2001, R 336.2003, R 336.2004, 40 CFR 63.1959(a)(3)</w:t>
      </w:r>
      <w:r>
        <w:rPr>
          <w:rFonts w:eastAsia="Arial" w:cs="Arial"/>
          <w:b/>
          <w:bCs/>
          <w:sz w:val="20"/>
        </w:rPr>
        <w:t>(</w:t>
      </w:r>
      <w:proofErr w:type="spellStart"/>
      <w:r>
        <w:rPr>
          <w:rFonts w:eastAsia="Arial" w:cs="Arial"/>
          <w:b/>
          <w:bCs/>
          <w:sz w:val="20"/>
        </w:rPr>
        <w:t>i</w:t>
      </w:r>
      <w:proofErr w:type="spellEnd"/>
      <w:r>
        <w:rPr>
          <w:rFonts w:eastAsia="Arial" w:cs="Arial"/>
          <w:b/>
          <w:bCs/>
          <w:sz w:val="20"/>
        </w:rPr>
        <w:t>)</w:t>
      </w:r>
      <w:r w:rsidRPr="000151BD">
        <w:rPr>
          <w:rFonts w:eastAsia="Arial" w:cs="Arial"/>
          <w:b/>
          <w:bCs/>
          <w:sz w:val="20"/>
        </w:rPr>
        <w:t>)</w:t>
      </w:r>
      <w:r w:rsidRPr="00C41A44">
        <w:rPr>
          <w:rFonts w:cs="Arial"/>
          <w:b/>
          <w:bCs/>
          <w:sz w:val="20"/>
        </w:rPr>
        <w:t xml:space="preserve"> </w:t>
      </w:r>
    </w:p>
    <w:p w14:paraId="4080C07D" w14:textId="77777777" w:rsidR="009C1949" w:rsidRPr="005C355D" w:rsidRDefault="009C1949" w:rsidP="009C1949">
      <w:pPr>
        <w:jc w:val="both"/>
        <w:rPr>
          <w:rFonts w:eastAsia="Arial" w:cs="Arial"/>
          <w:sz w:val="20"/>
        </w:rPr>
      </w:pPr>
    </w:p>
    <w:p w14:paraId="266540CC" w14:textId="77777777" w:rsidR="009C1949" w:rsidRPr="003D63DC" w:rsidRDefault="009C1949" w:rsidP="00020C68">
      <w:pPr>
        <w:pStyle w:val="ListParagraph"/>
        <w:numPr>
          <w:ilvl w:val="0"/>
          <w:numId w:val="50"/>
        </w:numPr>
        <w:jc w:val="both"/>
        <w:rPr>
          <w:rFonts w:eastAsia="Arial" w:cs="Arial"/>
          <w:sz w:val="20"/>
        </w:rPr>
      </w:pPr>
      <w:r w:rsidRPr="000151BD">
        <w:rPr>
          <w:rFonts w:eastAsia="Arial" w:cs="Arial"/>
          <w:sz w:val="20"/>
        </w:rPr>
        <w:t xml:space="preserve">Upon completion of any Tier 1, 2, or 3 NMOC determination, the permittee must compare the results to the NMOC mass emission rate standard of 50 Mg per year.  If the results are equal to or greater than 50 Mg per year, then the permittee may perform the next </w:t>
      </w:r>
      <w:r>
        <w:rPr>
          <w:rFonts w:eastAsia="Arial" w:cs="Arial"/>
          <w:sz w:val="20"/>
        </w:rPr>
        <w:t xml:space="preserve">higher </w:t>
      </w:r>
      <w:r w:rsidRPr="000151BD">
        <w:rPr>
          <w:rFonts w:eastAsia="Arial" w:cs="Arial"/>
          <w:sz w:val="20"/>
        </w:rPr>
        <w:t xml:space="preserve">tier determination or submit a gas collection and control system design plan within one year as specified in 40 CFR 63.1981(d) and install and operate a gas collection and control system within 30 months according to 40 CFR 63.1959(b)(2)(ii) and (iii). </w:t>
      </w:r>
      <w:r>
        <w:rPr>
          <w:rFonts w:eastAsia="Arial" w:cs="Arial"/>
          <w:sz w:val="20"/>
        </w:rPr>
        <w:t xml:space="preserve"> </w:t>
      </w:r>
      <w:r w:rsidRPr="005F08ED">
        <w:rPr>
          <w:rFonts w:eastAsia="Arial" w:cs="Arial"/>
          <w:b/>
          <w:bCs/>
          <w:sz w:val="20"/>
        </w:rPr>
        <w:t>(</w:t>
      </w:r>
      <w:r w:rsidRPr="000151BD">
        <w:rPr>
          <w:rFonts w:eastAsia="Arial" w:cs="Arial"/>
          <w:b/>
          <w:bCs/>
          <w:sz w:val="20"/>
        </w:rPr>
        <w:t>40 CFR 63.1959</w:t>
      </w:r>
      <w:bookmarkStart w:id="81" w:name="_Hlk128648414"/>
      <w:r>
        <w:rPr>
          <w:rFonts w:eastAsia="Arial" w:cs="Arial"/>
          <w:b/>
          <w:bCs/>
          <w:sz w:val="20"/>
        </w:rPr>
        <w:t>(a)</w:t>
      </w:r>
      <w:bookmarkEnd w:id="81"/>
      <w:r w:rsidRPr="000151BD">
        <w:rPr>
          <w:rFonts w:eastAsia="Arial" w:cs="Arial"/>
          <w:b/>
          <w:bCs/>
          <w:sz w:val="20"/>
        </w:rPr>
        <w:t>(2)(</w:t>
      </w:r>
      <w:proofErr w:type="spellStart"/>
      <w:r w:rsidRPr="000151BD">
        <w:rPr>
          <w:rFonts w:eastAsia="Arial" w:cs="Arial"/>
          <w:b/>
          <w:bCs/>
          <w:sz w:val="20"/>
        </w:rPr>
        <w:t>i</w:t>
      </w:r>
      <w:proofErr w:type="spellEnd"/>
      <w:r w:rsidRPr="000151BD">
        <w:rPr>
          <w:rFonts w:eastAsia="Arial" w:cs="Arial"/>
          <w:b/>
          <w:bCs/>
          <w:sz w:val="20"/>
        </w:rPr>
        <w:t xml:space="preserve"> and ii), 40</w:t>
      </w:r>
      <w:r>
        <w:rPr>
          <w:rFonts w:eastAsia="Arial" w:cs="Arial"/>
          <w:b/>
          <w:bCs/>
          <w:sz w:val="20"/>
        </w:rPr>
        <w:t> </w:t>
      </w:r>
      <w:r w:rsidRPr="000151BD">
        <w:rPr>
          <w:rFonts w:eastAsia="Arial" w:cs="Arial"/>
          <w:b/>
          <w:bCs/>
          <w:sz w:val="20"/>
        </w:rPr>
        <w:t>CFR 63.1959</w:t>
      </w:r>
      <w:r>
        <w:rPr>
          <w:rFonts w:eastAsia="Arial" w:cs="Arial"/>
          <w:b/>
          <w:bCs/>
          <w:sz w:val="20"/>
        </w:rPr>
        <w:t>(a)</w:t>
      </w:r>
      <w:r w:rsidRPr="000151BD">
        <w:rPr>
          <w:rFonts w:eastAsia="Arial" w:cs="Arial"/>
          <w:b/>
          <w:bCs/>
          <w:sz w:val="20"/>
        </w:rPr>
        <w:t>(3)(iv), 40 CFR 63.1959</w:t>
      </w:r>
      <w:r>
        <w:rPr>
          <w:rFonts w:eastAsia="Arial" w:cs="Arial"/>
          <w:b/>
          <w:bCs/>
          <w:sz w:val="20"/>
        </w:rPr>
        <w:t>(a)</w:t>
      </w:r>
      <w:r w:rsidRPr="000151BD">
        <w:rPr>
          <w:rFonts w:eastAsia="Arial" w:cs="Arial"/>
          <w:b/>
          <w:bCs/>
          <w:sz w:val="20"/>
        </w:rPr>
        <w:t>(4)(</w:t>
      </w:r>
      <w:proofErr w:type="spellStart"/>
      <w:r w:rsidRPr="000151BD">
        <w:rPr>
          <w:rFonts w:eastAsia="Arial" w:cs="Arial"/>
          <w:b/>
          <w:bCs/>
          <w:sz w:val="20"/>
        </w:rPr>
        <w:t>i</w:t>
      </w:r>
      <w:proofErr w:type="spellEnd"/>
      <w:r w:rsidRPr="000151BD">
        <w:rPr>
          <w:rFonts w:eastAsia="Arial" w:cs="Arial"/>
          <w:b/>
          <w:bCs/>
          <w:sz w:val="20"/>
        </w:rPr>
        <w:t>)</w:t>
      </w:r>
      <w:r>
        <w:rPr>
          <w:rFonts w:eastAsia="Arial" w:cs="Arial"/>
          <w:b/>
          <w:bCs/>
          <w:sz w:val="20"/>
        </w:rPr>
        <w:t xml:space="preserve">, </w:t>
      </w:r>
      <w:r w:rsidRPr="000151BD">
        <w:rPr>
          <w:rFonts w:eastAsia="Arial" w:cs="Arial"/>
          <w:b/>
          <w:bCs/>
          <w:sz w:val="20"/>
        </w:rPr>
        <w:t>40 CFR 63.1959(</w:t>
      </w:r>
      <w:r>
        <w:rPr>
          <w:rFonts w:eastAsia="Arial" w:cs="Arial"/>
          <w:b/>
          <w:bCs/>
          <w:sz w:val="20"/>
        </w:rPr>
        <w:t>b</w:t>
      </w:r>
      <w:r w:rsidRPr="000151BD">
        <w:rPr>
          <w:rFonts w:eastAsia="Arial" w:cs="Arial"/>
          <w:b/>
          <w:bCs/>
          <w:sz w:val="20"/>
        </w:rPr>
        <w:t>)(</w:t>
      </w:r>
      <w:r>
        <w:rPr>
          <w:rFonts w:eastAsia="Arial" w:cs="Arial"/>
          <w:b/>
          <w:bCs/>
          <w:sz w:val="20"/>
        </w:rPr>
        <w:t>1</w:t>
      </w:r>
      <w:r w:rsidRPr="000151BD">
        <w:rPr>
          <w:rFonts w:eastAsia="Arial" w:cs="Arial"/>
          <w:b/>
          <w:bCs/>
          <w:sz w:val="20"/>
        </w:rPr>
        <w:t>)</w:t>
      </w:r>
      <w:r>
        <w:rPr>
          <w:rFonts w:eastAsia="Arial" w:cs="Arial"/>
          <w:b/>
          <w:bCs/>
          <w:sz w:val="20"/>
        </w:rPr>
        <w:t>(ii)(A))</w:t>
      </w:r>
    </w:p>
    <w:p w14:paraId="15738D3B" w14:textId="77777777" w:rsidR="009C1949" w:rsidRPr="005C355D" w:rsidRDefault="009C1949" w:rsidP="009C1949">
      <w:pPr>
        <w:jc w:val="both"/>
        <w:rPr>
          <w:rFonts w:eastAsia="Arial" w:cs="Arial"/>
          <w:sz w:val="20"/>
        </w:rPr>
      </w:pPr>
    </w:p>
    <w:p w14:paraId="0CFDCFFA" w14:textId="77777777" w:rsidR="009C1949" w:rsidRPr="003D63DC" w:rsidRDefault="009C1949" w:rsidP="00020C68">
      <w:pPr>
        <w:pStyle w:val="ListParagraph"/>
        <w:numPr>
          <w:ilvl w:val="0"/>
          <w:numId w:val="50"/>
        </w:numPr>
        <w:jc w:val="both"/>
        <w:rPr>
          <w:rFonts w:eastAsia="Arial" w:cs="Arial"/>
          <w:sz w:val="20"/>
        </w:rPr>
      </w:pPr>
      <w:r>
        <w:rPr>
          <w:rFonts w:eastAsia="Arial" w:cs="Arial"/>
          <w:sz w:val="20"/>
        </w:rPr>
        <w:t>NMOC emission results must</w:t>
      </w:r>
      <w:r w:rsidRPr="175357AD">
        <w:rPr>
          <w:rFonts w:eastAsia="Arial" w:cs="Arial"/>
          <w:sz w:val="20"/>
        </w:rPr>
        <w:t xml:space="preserve"> be recalculated annually if the NMOC mass emission rate is less than </w:t>
      </w:r>
      <w:r>
        <w:rPr>
          <w:rFonts w:eastAsia="Arial" w:cs="Arial"/>
          <w:sz w:val="20"/>
        </w:rPr>
        <w:t>50 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3.1959</w:t>
      </w:r>
      <w:r w:rsidRPr="175357AD">
        <w:rPr>
          <w:rFonts w:eastAsia="Arial" w:cs="Arial"/>
          <w:b/>
          <w:bCs/>
          <w:sz w:val="20"/>
        </w:rPr>
        <w:t>(a))</w:t>
      </w:r>
    </w:p>
    <w:p w14:paraId="00205E80" w14:textId="77777777" w:rsidR="009C1949" w:rsidRPr="005C355D" w:rsidRDefault="009C1949" w:rsidP="009C1949">
      <w:pPr>
        <w:jc w:val="both"/>
        <w:rPr>
          <w:rFonts w:eastAsia="Arial" w:cs="Arial"/>
          <w:sz w:val="20"/>
        </w:rPr>
      </w:pPr>
    </w:p>
    <w:p w14:paraId="74D5FC36" w14:textId="77777777" w:rsidR="009C1949" w:rsidRPr="003D63DC" w:rsidRDefault="009C1949" w:rsidP="00020C68">
      <w:pPr>
        <w:pStyle w:val="ListParagraph"/>
        <w:numPr>
          <w:ilvl w:val="0"/>
          <w:numId w:val="50"/>
        </w:numPr>
        <w:jc w:val="both"/>
        <w:rPr>
          <w:rFonts w:eastAsia="Arial" w:cs="Arial"/>
          <w:sz w:val="20"/>
        </w:rPr>
      </w:pPr>
      <w:r w:rsidRPr="175357AD">
        <w:rPr>
          <w:rFonts w:eastAsia="Arial" w:cs="Arial"/>
          <w:sz w:val="20"/>
        </w:rPr>
        <w:t xml:space="preserve">Tier 2 testing </w:t>
      </w:r>
      <w:r>
        <w:rPr>
          <w:rFonts w:eastAsia="Arial" w:cs="Arial"/>
          <w:sz w:val="20"/>
        </w:rPr>
        <w:t>to determine site specific NMOC concentration 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50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3.1959</w:t>
      </w:r>
      <w:r w:rsidRPr="175357AD">
        <w:rPr>
          <w:rFonts w:eastAsia="Arial" w:cs="Arial"/>
          <w:b/>
          <w:bCs/>
          <w:sz w:val="20"/>
        </w:rPr>
        <w:t>(a)(3)</w:t>
      </w:r>
      <w:r>
        <w:rPr>
          <w:rFonts w:eastAsia="Arial" w:cs="Arial"/>
          <w:b/>
          <w:bCs/>
          <w:sz w:val="20"/>
        </w:rPr>
        <w:t>(iii</w:t>
      </w:r>
      <w:r w:rsidRPr="175357AD">
        <w:rPr>
          <w:rFonts w:eastAsia="Arial" w:cs="Arial"/>
          <w:b/>
          <w:bCs/>
          <w:sz w:val="20"/>
        </w:rPr>
        <w:t>)</w:t>
      </w:r>
      <w:r>
        <w:rPr>
          <w:rFonts w:eastAsia="Arial" w:cs="Arial"/>
          <w:b/>
          <w:bCs/>
          <w:sz w:val="20"/>
        </w:rPr>
        <w:t>)</w:t>
      </w:r>
    </w:p>
    <w:p w14:paraId="503987CC" w14:textId="77777777" w:rsidR="009C1949" w:rsidRPr="005C355D" w:rsidRDefault="009C1949" w:rsidP="009C1949">
      <w:pPr>
        <w:jc w:val="both"/>
        <w:rPr>
          <w:rFonts w:eastAsia="Arial" w:cs="Arial"/>
          <w:sz w:val="20"/>
        </w:rPr>
      </w:pPr>
    </w:p>
    <w:p w14:paraId="4A1B7FCA" w14:textId="77777777" w:rsidR="009C1949" w:rsidRPr="008C051D" w:rsidRDefault="009C1949" w:rsidP="00020C68">
      <w:pPr>
        <w:pStyle w:val="ListParagraph"/>
        <w:numPr>
          <w:ilvl w:val="0"/>
          <w:numId w:val="50"/>
        </w:numPr>
        <w:spacing w:after="120"/>
        <w:jc w:val="both"/>
        <w:rPr>
          <w:rFonts w:eastAsia="Arial" w:cs="Arial"/>
          <w:b/>
          <w:bCs/>
          <w:sz w:val="20"/>
        </w:rPr>
      </w:pPr>
      <w:r w:rsidRPr="00F92EFE">
        <w:rPr>
          <w:rFonts w:eastAsia="Arial" w:cs="Arial"/>
          <w:sz w:val="20"/>
        </w:rPr>
        <w:t>Tier 3 testing must be performed to determine a site-specific methane generation rate constant if the NMOC mass emission rate as calculated using the Tier 2 site-specific NMOC concentration is greater than or equal to 50 Mg/yr.</w:t>
      </w:r>
      <w:r>
        <w:rPr>
          <w:rFonts w:eastAsia="Arial" w:cs="Arial"/>
          <w:sz w:val="20"/>
        </w:rPr>
        <w:t xml:space="preserve"> </w:t>
      </w:r>
      <w:r w:rsidRPr="008C051D">
        <w:rPr>
          <w:rFonts w:eastAsia="Arial" w:cs="Arial"/>
          <w:sz w:val="20"/>
        </w:rPr>
        <w:t xml:space="preserve"> </w:t>
      </w:r>
      <w:r w:rsidRPr="008C051D">
        <w:rPr>
          <w:rFonts w:eastAsia="Arial" w:cs="Arial"/>
          <w:b/>
          <w:bCs/>
          <w:sz w:val="20"/>
        </w:rPr>
        <w:t>(40 CFR 6</w:t>
      </w:r>
      <w:r>
        <w:rPr>
          <w:rFonts w:eastAsia="Arial" w:cs="Arial"/>
          <w:b/>
          <w:bCs/>
          <w:sz w:val="20"/>
        </w:rPr>
        <w:t>3</w:t>
      </w:r>
      <w:r w:rsidRPr="008C051D">
        <w:rPr>
          <w:rFonts w:eastAsia="Arial" w:cs="Arial"/>
          <w:b/>
          <w:bCs/>
          <w:sz w:val="20"/>
        </w:rPr>
        <w:t>.1</w:t>
      </w:r>
      <w:r>
        <w:rPr>
          <w:rFonts w:eastAsia="Arial" w:cs="Arial"/>
          <w:b/>
          <w:bCs/>
          <w:sz w:val="20"/>
        </w:rPr>
        <w:t>959</w:t>
      </w:r>
      <w:r w:rsidRPr="008C051D">
        <w:rPr>
          <w:rFonts w:eastAsia="Arial" w:cs="Arial"/>
          <w:b/>
          <w:bCs/>
          <w:sz w:val="20"/>
        </w:rPr>
        <w:t>(a)(4))</w:t>
      </w:r>
    </w:p>
    <w:p w14:paraId="1C024AB1" w14:textId="77777777" w:rsidR="009C1949" w:rsidRDefault="009C1949" w:rsidP="009C1949">
      <w:pPr>
        <w:jc w:val="both"/>
        <w:rPr>
          <w:b/>
          <w:sz w:val="20"/>
        </w:rPr>
      </w:pPr>
      <w:r>
        <w:rPr>
          <w:b/>
          <w:sz w:val="20"/>
        </w:rPr>
        <w:t>See Appendices 5 and 7</w:t>
      </w:r>
    </w:p>
    <w:p w14:paraId="1EF827C4" w14:textId="77777777" w:rsidR="009C1949" w:rsidRPr="00FE0AD0" w:rsidRDefault="009C1949" w:rsidP="009C1949">
      <w:pPr>
        <w:jc w:val="both"/>
        <w:rPr>
          <w:sz w:val="20"/>
        </w:rPr>
      </w:pPr>
    </w:p>
    <w:p w14:paraId="311A5E46" w14:textId="77777777" w:rsidR="009C1949" w:rsidRDefault="009C1949" w:rsidP="009C1949">
      <w:pPr>
        <w:jc w:val="both"/>
      </w:pPr>
      <w:r>
        <w:rPr>
          <w:b/>
        </w:rPr>
        <w:t xml:space="preserve">VI.  </w:t>
      </w:r>
      <w:r>
        <w:rPr>
          <w:b/>
          <w:u w:val="single"/>
        </w:rPr>
        <w:t>MONITORING/RECORDKEEPING</w:t>
      </w:r>
    </w:p>
    <w:p w14:paraId="5B9F75A0" w14:textId="77777777" w:rsidR="009C1949" w:rsidRPr="00FE0AD0" w:rsidRDefault="009C1949" w:rsidP="009C19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705EEF" w14:textId="77777777" w:rsidR="009C1949" w:rsidRDefault="009C1949" w:rsidP="009C1949">
      <w:pPr>
        <w:jc w:val="both"/>
        <w:rPr>
          <w:sz w:val="20"/>
        </w:rPr>
      </w:pPr>
    </w:p>
    <w:p w14:paraId="64F6A833" w14:textId="77777777" w:rsidR="009C1949" w:rsidRPr="00315ABE" w:rsidRDefault="009C1949" w:rsidP="00020C68">
      <w:pPr>
        <w:pStyle w:val="ListParagraph"/>
        <w:numPr>
          <w:ilvl w:val="0"/>
          <w:numId w:val="26"/>
        </w:numPr>
        <w:jc w:val="both"/>
        <w:rPr>
          <w:sz w:val="20"/>
        </w:rPr>
      </w:pPr>
      <w:r w:rsidRPr="00315ABE">
        <w:rPr>
          <w:sz w:val="20"/>
        </w:rPr>
        <w:t>The permittee must calculate the annual NMOC emission rates using methods outlined in Appendi</w:t>
      </w:r>
      <w:r>
        <w:rPr>
          <w:sz w:val="20"/>
        </w:rPr>
        <w:t>ces 5 and</w:t>
      </w:r>
      <w:r w:rsidRPr="00315ABE">
        <w:rPr>
          <w:sz w:val="20"/>
        </w:rPr>
        <w:t xml:space="preserve"> 7.  This shall be performed</w:t>
      </w:r>
      <w:r>
        <w:rPr>
          <w:sz w:val="20"/>
        </w:rPr>
        <w:t xml:space="preserve"> annually</w:t>
      </w:r>
      <w:r w:rsidRPr="00315ABE">
        <w:rPr>
          <w:sz w:val="20"/>
        </w:rPr>
        <w:t xml:space="preserve"> until such time as the calculated NMOC emission rate is equal to or greater than 50 Mg/</w:t>
      </w:r>
      <w:proofErr w:type="spellStart"/>
      <w:r w:rsidRPr="00315ABE">
        <w:rPr>
          <w:sz w:val="20"/>
        </w:rPr>
        <w:t>yr</w:t>
      </w:r>
      <w:proofErr w:type="spellEnd"/>
      <w:r w:rsidRPr="00315ABE">
        <w:rPr>
          <w:sz w:val="20"/>
        </w:rPr>
        <w:t xml:space="preserve"> or the landfill is closed.  </w:t>
      </w:r>
      <w:r w:rsidRPr="00315ABE">
        <w:rPr>
          <w:b/>
          <w:bCs/>
          <w:sz w:val="20"/>
        </w:rPr>
        <w:t>(40 CFR 63.1959(b)(1)(ii))</w:t>
      </w:r>
    </w:p>
    <w:p w14:paraId="659FA143" w14:textId="77777777" w:rsidR="009C1949" w:rsidRPr="005C355D" w:rsidRDefault="009C1949" w:rsidP="009C1949">
      <w:pPr>
        <w:jc w:val="both"/>
        <w:rPr>
          <w:sz w:val="20"/>
        </w:rPr>
      </w:pPr>
    </w:p>
    <w:p w14:paraId="37FA8765" w14:textId="77777777" w:rsidR="009C1949" w:rsidRPr="00315ABE" w:rsidRDefault="009C1949" w:rsidP="00020C68">
      <w:pPr>
        <w:pStyle w:val="ListParagraph"/>
        <w:numPr>
          <w:ilvl w:val="0"/>
          <w:numId w:val="26"/>
        </w:numPr>
        <w:jc w:val="both"/>
        <w:rPr>
          <w:sz w:val="20"/>
        </w:rPr>
      </w:pPr>
      <w:r w:rsidRPr="00315ABE">
        <w:rPr>
          <w:sz w:val="20"/>
        </w:rPr>
        <w:t xml:space="preserve">Except as provided in 40 CFR 63.1981(d)(2), each MSW landfill subject to the provisions of 40 CFR 63.1959(b)(ii) and (iii)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315ABE">
        <w:rPr>
          <w:b/>
          <w:bCs/>
          <w:sz w:val="20"/>
        </w:rPr>
        <w:t>(40 CFR 63.1983(a))</w:t>
      </w:r>
      <w:r w:rsidRPr="00315ABE">
        <w:rPr>
          <w:sz w:val="20"/>
        </w:rPr>
        <w:t xml:space="preserve"> </w:t>
      </w:r>
    </w:p>
    <w:p w14:paraId="2128F16E" w14:textId="77777777" w:rsidR="009C1949" w:rsidRPr="005C355D" w:rsidRDefault="009C1949" w:rsidP="009C1949">
      <w:pPr>
        <w:jc w:val="both"/>
        <w:rPr>
          <w:sz w:val="20"/>
        </w:rPr>
      </w:pPr>
    </w:p>
    <w:p w14:paraId="3AC2C43B" w14:textId="77777777" w:rsidR="009C1949" w:rsidRPr="00315ABE" w:rsidRDefault="009C1949" w:rsidP="00020C68">
      <w:pPr>
        <w:pStyle w:val="ListParagraph"/>
        <w:numPr>
          <w:ilvl w:val="0"/>
          <w:numId w:val="26"/>
        </w:numPr>
        <w:jc w:val="both"/>
        <w:rPr>
          <w:sz w:val="20"/>
        </w:rPr>
      </w:pPr>
      <w:r w:rsidRPr="00315ABE">
        <w:rPr>
          <w:sz w:val="20"/>
        </w:rPr>
        <w:t xml:space="preserve">If the landfill is permanently closed, a closure notification shall be submitted to the AQD District Supervisor within 30 days, except for exemption allowed under 40 CFR 63.1981(f).  </w:t>
      </w:r>
      <w:r w:rsidRPr="00315ABE">
        <w:rPr>
          <w:b/>
          <w:bCs/>
          <w:sz w:val="20"/>
        </w:rPr>
        <w:t>(40 CFR 63.1959(b)(1)(ii)(B))</w:t>
      </w:r>
    </w:p>
    <w:p w14:paraId="5CEED8E8" w14:textId="77777777" w:rsidR="009C1949" w:rsidRPr="00FE21BB" w:rsidRDefault="009C1949" w:rsidP="009C1949">
      <w:pPr>
        <w:jc w:val="both"/>
        <w:rPr>
          <w:bCs/>
          <w:sz w:val="20"/>
        </w:rPr>
      </w:pPr>
    </w:p>
    <w:p w14:paraId="52043571" w14:textId="77777777" w:rsidR="009C1949" w:rsidRPr="009E40D6" w:rsidRDefault="009C1949" w:rsidP="009C1949">
      <w:pPr>
        <w:jc w:val="both"/>
        <w:rPr>
          <w:sz w:val="20"/>
        </w:rPr>
      </w:pPr>
      <w:r w:rsidRPr="00315ABE">
        <w:rPr>
          <w:b/>
          <w:sz w:val="20"/>
        </w:rPr>
        <w:t>See Appendi</w:t>
      </w:r>
      <w:r>
        <w:rPr>
          <w:b/>
          <w:sz w:val="20"/>
        </w:rPr>
        <w:t>ces</w:t>
      </w:r>
      <w:r w:rsidRPr="00315ABE">
        <w:rPr>
          <w:b/>
          <w:sz w:val="20"/>
        </w:rPr>
        <w:t xml:space="preserve"> </w:t>
      </w:r>
      <w:r>
        <w:rPr>
          <w:b/>
          <w:sz w:val="20"/>
        </w:rPr>
        <w:t xml:space="preserve">5 and </w:t>
      </w:r>
      <w:r w:rsidRPr="00315ABE">
        <w:rPr>
          <w:b/>
          <w:sz w:val="20"/>
        </w:rPr>
        <w:t>7</w:t>
      </w:r>
    </w:p>
    <w:p w14:paraId="0682FEE1" w14:textId="77777777" w:rsidR="009C1949" w:rsidRDefault="009C1949" w:rsidP="009C1949">
      <w:pPr>
        <w:jc w:val="both"/>
        <w:rPr>
          <w:sz w:val="20"/>
        </w:rPr>
      </w:pPr>
    </w:p>
    <w:p w14:paraId="6A78B482" w14:textId="77777777" w:rsidR="009C1949" w:rsidRPr="007D4237" w:rsidRDefault="009C1949" w:rsidP="009C1949">
      <w:pPr>
        <w:jc w:val="both"/>
        <w:rPr>
          <w:sz w:val="20"/>
        </w:rPr>
      </w:pPr>
      <w:r>
        <w:rPr>
          <w:b/>
        </w:rPr>
        <w:t xml:space="preserve">VII.  </w:t>
      </w:r>
      <w:r>
        <w:rPr>
          <w:b/>
          <w:u w:val="single"/>
        </w:rPr>
        <w:t>REPORTING</w:t>
      </w:r>
    </w:p>
    <w:p w14:paraId="33B1D6F7" w14:textId="77777777" w:rsidR="009C1949" w:rsidRPr="00047D6A" w:rsidRDefault="009C1949" w:rsidP="009C1949">
      <w:pPr>
        <w:jc w:val="both"/>
        <w:rPr>
          <w:sz w:val="20"/>
        </w:rPr>
      </w:pPr>
    </w:p>
    <w:p w14:paraId="48907F3F" w14:textId="77777777" w:rsidR="009C1949" w:rsidRPr="009E40D6" w:rsidRDefault="009C1949" w:rsidP="009C1949">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A6E7298" w14:textId="77777777" w:rsidR="009C1949" w:rsidRPr="00984760" w:rsidRDefault="009C1949" w:rsidP="009C1949">
      <w:pPr>
        <w:ind w:left="360" w:hanging="360"/>
        <w:jc w:val="both"/>
        <w:rPr>
          <w:sz w:val="20"/>
        </w:rPr>
      </w:pPr>
    </w:p>
    <w:p w14:paraId="2A2F21D6" w14:textId="77777777" w:rsidR="009C1949" w:rsidRPr="009E40D6" w:rsidRDefault="009C1949" w:rsidP="009C1949">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D31E8CE" w14:textId="77777777" w:rsidR="009C1949" w:rsidRPr="00984760" w:rsidRDefault="009C1949" w:rsidP="009C1949">
      <w:pPr>
        <w:ind w:left="360" w:hanging="360"/>
        <w:jc w:val="both"/>
        <w:rPr>
          <w:sz w:val="20"/>
        </w:rPr>
      </w:pPr>
    </w:p>
    <w:p w14:paraId="2EBD0D6A" w14:textId="77777777" w:rsidR="009C1949" w:rsidRDefault="009C1949" w:rsidP="00020C68">
      <w:pPr>
        <w:pStyle w:val="ListParagraph"/>
        <w:numPr>
          <w:ilvl w:val="0"/>
          <w:numId w:val="51"/>
        </w:numPr>
        <w:jc w:val="both"/>
        <w:rPr>
          <w:b/>
          <w:sz w:val="20"/>
        </w:rPr>
      </w:pPr>
      <w:r w:rsidRPr="00315ABE">
        <w:rPr>
          <w:sz w:val="20"/>
        </w:rPr>
        <w:t xml:space="preserve">Annual certification of compliance pursuant to General Conditions 19 and 20 of Part A.  The report shall be postmarked or received by the appropriate AQD District Office by March 15 for the previous calendar year.  </w:t>
      </w:r>
      <w:r w:rsidRPr="00315ABE">
        <w:rPr>
          <w:b/>
          <w:sz w:val="20"/>
        </w:rPr>
        <w:t>(R 336.1213(4)(c))</w:t>
      </w:r>
    </w:p>
    <w:p w14:paraId="25B8689C" w14:textId="77777777" w:rsidR="009C1949" w:rsidRPr="005C355D" w:rsidRDefault="009C1949" w:rsidP="009C1949">
      <w:pPr>
        <w:jc w:val="both"/>
        <w:rPr>
          <w:bCs/>
          <w:sz w:val="20"/>
        </w:rPr>
      </w:pPr>
    </w:p>
    <w:p w14:paraId="2E91FEFE" w14:textId="77777777" w:rsidR="009C1949" w:rsidRPr="00AB7BFC" w:rsidRDefault="009C1949" w:rsidP="00020C68">
      <w:pPr>
        <w:pStyle w:val="ListParagraph"/>
        <w:numPr>
          <w:ilvl w:val="0"/>
          <w:numId w:val="51"/>
        </w:numPr>
        <w:spacing w:after="120"/>
        <w:rPr>
          <w:sz w:val="20"/>
        </w:rPr>
      </w:pPr>
      <w:r w:rsidRPr="00AB7BFC">
        <w:rPr>
          <w:sz w:val="20"/>
        </w:rPr>
        <w:t>The permittee must submit an NMOC emission rate report to the Administrator annually following the procedure specified in 40 CFR 63.1981(c)(1)(ii).</w:t>
      </w:r>
      <w:r>
        <w:rPr>
          <w:sz w:val="20"/>
        </w:rPr>
        <w:t xml:space="preserve"> </w:t>
      </w:r>
      <w:r w:rsidRPr="00AB7BFC">
        <w:rPr>
          <w:sz w:val="20"/>
        </w:rPr>
        <w:t xml:space="preserve"> </w:t>
      </w:r>
      <w:r>
        <w:rPr>
          <w:b/>
          <w:bCs/>
          <w:sz w:val="20"/>
        </w:rPr>
        <w:t>(</w:t>
      </w:r>
      <w:r w:rsidRPr="00F01C85">
        <w:rPr>
          <w:b/>
          <w:bCs/>
          <w:sz w:val="20"/>
        </w:rPr>
        <w:t>40 CFR 63.1981(c)</w:t>
      </w:r>
      <w:r>
        <w:rPr>
          <w:b/>
          <w:bCs/>
          <w:sz w:val="20"/>
        </w:rPr>
        <w:t>)</w:t>
      </w:r>
    </w:p>
    <w:p w14:paraId="31F01357" w14:textId="77777777" w:rsidR="009C1949" w:rsidRPr="003E5548" w:rsidRDefault="009C1949" w:rsidP="00020C68">
      <w:pPr>
        <w:pStyle w:val="ListParagraph"/>
        <w:numPr>
          <w:ilvl w:val="1"/>
          <w:numId w:val="51"/>
        </w:numPr>
        <w:spacing w:after="120"/>
        <w:ind w:left="720"/>
        <w:jc w:val="both"/>
        <w:rPr>
          <w:sz w:val="20"/>
        </w:rPr>
      </w:pPr>
      <w:r w:rsidRPr="00315ABE">
        <w:rPr>
          <w:sz w:val="20"/>
        </w:rPr>
        <w:t xml:space="preserve">The NMOC emission rate report must contain an annual or 5-year estimate of the NMOC emission rate calculated using the formula and procedures provided in 40 CFR 63.1959(a) or (b), as applicable.  </w:t>
      </w:r>
      <w:r w:rsidRPr="00315ABE">
        <w:rPr>
          <w:b/>
          <w:bCs/>
          <w:sz w:val="20"/>
        </w:rPr>
        <w:t>(40 CFR 63.1981(c)(1))</w:t>
      </w:r>
    </w:p>
    <w:p w14:paraId="6222CBDE" w14:textId="77777777" w:rsidR="009C1949" w:rsidRDefault="009C1949" w:rsidP="00020C68">
      <w:pPr>
        <w:pStyle w:val="ListParagraph"/>
        <w:numPr>
          <w:ilvl w:val="1"/>
          <w:numId w:val="51"/>
        </w:numPr>
        <w:spacing w:after="120"/>
        <w:ind w:left="720"/>
        <w:rPr>
          <w:sz w:val="20"/>
        </w:rPr>
      </w:pPr>
      <w:r w:rsidRPr="00315ABE">
        <w:rPr>
          <w:sz w:val="20"/>
        </w:rPr>
        <w:t xml:space="preserve">The NMOC emission rate report must include all the data, calculations, sample reports and measurements used to estimate the annual or 5-year emissions.  </w:t>
      </w:r>
      <w:r w:rsidRPr="00315ABE">
        <w:rPr>
          <w:b/>
          <w:bCs/>
          <w:sz w:val="20"/>
        </w:rPr>
        <w:t>(40 CFR 63.1981(c)(2))</w:t>
      </w:r>
    </w:p>
    <w:p w14:paraId="6BF3E6A0" w14:textId="77777777" w:rsidR="009C1949" w:rsidRPr="00315ABE" w:rsidRDefault="009C1949" w:rsidP="00020C68">
      <w:pPr>
        <w:pStyle w:val="ListParagraph"/>
        <w:numPr>
          <w:ilvl w:val="1"/>
          <w:numId w:val="51"/>
        </w:numPr>
        <w:ind w:left="720"/>
        <w:jc w:val="both"/>
        <w:rPr>
          <w:sz w:val="20"/>
        </w:rPr>
      </w:pPr>
      <w:r w:rsidRPr="00315ABE">
        <w:rPr>
          <w:sz w:val="20"/>
        </w:rPr>
        <w:t xml:space="preserve">If the estimated NMOC emission rate as reported in the annual report is less than 50 Mg per year in each of the next 5 consecutive years, the permittee may elect to submit an estimate of the NMOC emission rate for the next 5-year period in lieu of the annual report.  This estimate must include the current amount of solid waste-in-place and the estimated waste acceptance rate for each year of the 5 years for which an NMOC emission rate is estimated.  All data and calculations upon which this estimate is based must be provided.  </w:t>
      </w:r>
      <w:r w:rsidRPr="00315ABE">
        <w:rPr>
          <w:sz w:val="20"/>
        </w:rPr>
        <w:lastRenderedPageBreak/>
        <w:t xml:space="preserve">This estimate must be revised at least once every 5 years.  If the actual waste acceptance rate exceeds the estimated waste acceptance rate in any year reported in the 5-year estimate, a revised 5-year estimate must be submitted.  The revised estimate must cover the 5-year period beginning with the year in which the actual waste acceptance rate exceeded the estimated waste acceptance rate.  </w:t>
      </w:r>
      <w:r w:rsidRPr="00315ABE">
        <w:rPr>
          <w:b/>
          <w:bCs/>
          <w:sz w:val="20"/>
        </w:rPr>
        <w:t>(40 CFR 63.1981(c)(1)(ii)(A))</w:t>
      </w:r>
    </w:p>
    <w:p w14:paraId="06E3864F" w14:textId="77777777" w:rsidR="009C1949" w:rsidRPr="005C355D" w:rsidRDefault="009C1949" w:rsidP="009C1949">
      <w:pPr>
        <w:jc w:val="both"/>
        <w:rPr>
          <w:sz w:val="20"/>
        </w:rPr>
      </w:pPr>
    </w:p>
    <w:p w14:paraId="61A433AD" w14:textId="77777777" w:rsidR="009C1949" w:rsidRDefault="009C1949" w:rsidP="00020C68">
      <w:pPr>
        <w:pStyle w:val="ListParagraph"/>
        <w:numPr>
          <w:ilvl w:val="0"/>
          <w:numId w:val="51"/>
        </w:numPr>
        <w:spacing w:after="120"/>
        <w:jc w:val="both"/>
        <w:rPr>
          <w:sz w:val="20"/>
        </w:rPr>
      </w:pPr>
      <w:r w:rsidRPr="00315ABE">
        <w:rPr>
          <w:sz w:val="20"/>
        </w:rPr>
        <w:t xml:space="preserve">The permittee must submit reports electronically according to 40 CFR 63.1981(l)(1) and (2) as follows: </w:t>
      </w:r>
    </w:p>
    <w:p w14:paraId="735F6FC7" w14:textId="10D82F51" w:rsidR="009C1949" w:rsidRPr="00DA43A7" w:rsidRDefault="009C1949" w:rsidP="00020C68">
      <w:pPr>
        <w:pStyle w:val="ListParagraph"/>
        <w:numPr>
          <w:ilvl w:val="1"/>
          <w:numId w:val="51"/>
        </w:numPr>
        <w:spacing w:after="120"/>
        <w:ind w:left="720"/>
        <w:jc w:val="both"/>
        <w:rPr>
          <w:sz w:val="20"/>
        </w:rPr>
      </w:pPr>
      <w:r w:rsidRPr="00DA43A7">
        <w:rPr>
          <w:sz w:val="20"/>
        </w:rPr>
        <w:t>Within 60 days after the date of completing each performance</w:t>
      </w:r>
      <w:r>
        <w:rPr>
          <w:sz w:val="20"/>
        </w:rPr>
        <w:t xml:space="preserve"> test</w:t>
      </w:r>
      <w:r w:rsidRPr="00DA43A7">
        <w:rPr>
          <w:sz w:val="20"/>
        </w:rPr>
        <w:t>, the permittee must submit the results of each performance test.  For data collected using test methods supported by the USEPA's Electronic Reporting Tool (ERT) as listed on the EPA's ERT website (</w:t>
      </w:r>
      <w:hyperlink r:id="rId11" w:history="1">
        <w:r w:rsidRPr="00DA43A7">
          <w:rPr>
            <w:rStyle w:val="Hyperlink"/>
            <w:sz w:val="20"/>
          </w:rPr>
          <w:t>https://www.epa.gov/electronic-reporting-air-emissions/electronic-reporting-tool-ert</w:t>
        </w:r>
      </w:hyperlink>
      <w:r w:rsidRPr="00DA43A7">
        <w:rPr>
          <w:sz w:val="20"/>
        </w:rPr>
        <w:t>) at the time of the test, submit the results of the performance test to the USEPA via the Compliance and Emissions Data Reporting Interface (CEDRI).  The CEDRI can be accessed through the EPA's CDX (</w:t>
      </w:r>
      <w:hyperlink r:id="rId12" w:history="1">
        <w:r w:rsidRPr="00DA43A7">
          <w:rPr>
            <w:rStyle w:val="Hyperlink"/>
            <w:sz w:val="20"/>
          </w:rPr>
          <w:t>https://cdx.epa.gov/</w:t>
        </w:r>
      </w:hyperlink>
      <w:r w:rsidRPr="00DA43A7">
        <w:rPr>
          <w:sz w:val="20"/>
        </w:rPr>
        <w:t xml:space="preserve">).  Performance test data must be submitted in a file format generated </w:t>
      </w:r>
      <w:r w:rsidRPr="003B1792">
        <w:rPr>
          <w:sz w:val="20"/>
        </w:rPr>
        <w:t>through the use of the</w:t>
      </w:r>
      <w:r w:rsidRPr="00DA43A7">
        <w:rPr>
          <w:sz w:val="20"/>
        </w:rPr>
        <w:t xml:space="preserve"> EPA's ERT or an alternative file format consistent with the extensible markup</w:t>
      </w:r>
      <w:r>
        <w:rPr>
          <w:sz w:val="20"/>
        </w:rPr>
        <w:t xml:space="preserve"> using the </w:t>
      </w:r>
      <w:r w:rsidRPr="00DA43A7">
        <w:rPr>
          <w:sz w:val="20"/>
        </w:rPr>
        <w:t xml:space="preserve">language (XML) schema listed on the EPA's ERT website, once the XML schema is available.  </w:t>
      </w:r>
      <w:r w:rsidRPr="00FF16BC">
        <w:rPr>
          <w:sz w:val="20"/>
        </w:rPr>
        <w:t>For data collected using test methods that are not supported by the EPA’s ERT as listed on the EPA’s ERT website at the time of the test, include the results of the performance test as an attachment in the ERT or an alternate electronic file consistent with the XML schema listed on the EPA’s ERT website and submit the ERT generated package or alternative file to the EPA via CEDRI.</w:t>
      </w:r>
      <w:r w:rsidRPr="00DA43A7">
        <w:rPr>
          <w:sz w:val="20"/>
        </w:rPr>
        <w:t xml:space="preserve">  </w:t>
      </w:r>
      <w:r w:rsidRPr="00DA43A7">
        <w:rPr>
          <w:b/>
          <w:bCs/>
          <w:sz w:val="20"/>
        </w:rPr>
        <w:t>(40 CFR 63.1981(l)(1)(</w:t>
      </w:r>
      <w:proofErr w:type="spellStart"/>
      <w:r w:rsidRPr="00DA43A7">
        <w:rPr>
          <w:b/>
          <w:bCs/>
          <w:sz w:val="20"/>
        </w:rPr>
        <w:t>i</w:t>
      </w:r>
      <w:proofErr w:type="spellEnd"/>
      <w:r w:rsidRPr="00DA43A7">
        <w:rPr>
          <w:b/>
          <w:bCs/>
          <w:sz w:val="20"/>
        </w:rPr>
        <w:t>) and (ii))</w:t>
      </w:r>
    </w:p>
    <w:p w14:paraId="2F500FC4" w14:textId="4B968EDC" w:rsidR="009C1949" w:rsidRPr="00DA43A7" w:rsidRDefault="009C1949" w:rsidP="00020C68">
      <w:pPr>
        <w:pStyle w:val="ListParagraph"/>
        <w:numPr>
          <w:ilvl w:val="1"/>
          <w:numId w:val="51"/>
        </w:numPr>
        <w:ind w:left="720"/>
        <w:jc w:val="both"/>
        <w:rPr>
          <w:sz w:val="20"/>
        </w:rPr>
      </w:pPr>
      <w:r w:rsidRPr="00DA43A7">
        <w:rPr>
          <w:sz w:val="20"/>
        </w:rPr>
        <w:t>Each permittee must submit reports to the USEPA via the CEDRI (CEDRI can be accessed through the EPA's CDX).  The permittee must use the appropriate electronic report in CEDRI for this subpart or an alternate electronic file format consistent with the XML schema listed on the CEDRI website (</w:t>
      </w:r>
      <w:hyperlink r:id="rId13" w:history="1">
        <w:r w:rsidRPr="00DA43A7">
          <w:rPr>
            <w:rStyle w:val="Hyperlink"/>
            <w:sz w:val="20"/>
          </w:rPr>
          <w:t>https://www.epa.gov/electronic-reporting-air-emissions/compliance-and-emissions-data-reporting-interface-cedri</w:t>
        </w:r>
      </w:hyperlink>
      <w:r w:rsidRPr="00DA43A7">
        <w:rPr>
          <w:sz w:val="20"/>
        </w:rPr>
        <w:t>).  If the reporting form specific to this subpart is not available in CEDRI at the time that the report is due, the permittee must submit the report to the USEPA at the appropriate address listed in 40 CFR 6</w:t>
      </w:r>
      <w:r>
        <w:rPr>
          <w:sz w:val="20"/>
        </w:rPr>
        <w:t>3</w:t>
      </w:r>
      <w:r w:rsidRPr="00DA43A7">
        <w:rPr>
          <w:sz w:val="20"/>
        </w:rPr>
        <w:t>.</w:t>
      </w:r>
      <w:r>
        <w:rPr>
          <w:sz w:val="20"/>
        </w:rPr>
        <w:t>13</w:t>
      </w:r>
      <w:r w:rsidRPr="00DA43A7">
        <w:rPr>
          <w:sz w:val="20"/>
        </w:rPr>
        <w:t xml:space="preserve">.  Once the form has been available in CEDRI for 90 calendar days, the permittee must begin submitting all subsequent reports via CEDRI.  </w:t>
      </w:r>
      <w:r w:rsidRPr="00F21D4C">
        <w:rPr>
          <w:sz w:val="20"/>
        </w:rPr>
        <w:t xml:space="preserve">The NMOC emission rate reports, semiannual reports, and bioreactor </w:t>
      </w:r>
      <w:r w:rsidR="006945A7">
        <w:rPr>
          <w:sz w:val="20"/>
        </w:rPr>
        <w:br/>
      </w:r>
      <w:r w:rsidRPr="00F21D4C">
        <w:rPr>
          <w:sz w:val="20"/>
        </w:rPr>
        <w:t>40-percent moisture reports should be electronically reported as a spreadsheet template upload/form to CEDRI</w:t>
      </w:r>
      <w:r w:rsidRPr="00DA43A7">
        <w:rPr>
          <w:sz w:val="20"/>
        </w:rPr>
        <w:t xml:space="preserve">.  </w:t>
      </w:r>
      <w:r w:rsidRPr="00DA43A7">
        <w:rPr>
          <w:b/>
          <w:bCs/>
          <w:sz w:val="20"/>
        </w:rPr>
        <w:t>(40 CFR 63.1981(l)(2))</w:t>
      </w:r>
    </w:p>
    <w:p w14:paraId="2D79B064" w14:textId="77777777" w:rsidR="009C1949" w:rsidRPr="005C355D" w:rsidRDefault="009C1949" w:rsidP="009C1949">
      <w:pPr>
        <w:jc w:val="both"/>
        <w:rPr>
          <w:sz w:val="20"/>
        </w:rPr>
      </w:pPr>
    </w:p>
    <w:p w14:paraId="3070AC2B" w14:textId="77777777" w:rsidR="009C1949" w:rsidRPr="00DA43A7" w:rsidRDefault="009C1949" w:rsidP="00020C68">
      <w:pPr>
        <w:pStyle w:val="ListParagraph"/>
        <w:numPr>
          <w:ilvl w:val="0"/>
          <w:numId w:val="51"/>
        </w:numPr>
        <w:jc w:val="both"/>
        <w:rPr>
          <w:sz w:val="20"/>
        </w:rPr>
      </w:pPr>
      <w:r w:rsidRPr="00DA43A7">
        <w:rPr>
          <w:sz w:val="20"/>
        </w:rPr>
        <w:t xml:space="preserve">The permittee shall submit any NMOC test reports to the appropriate AQD District Office, in a format approved by the AQD.  </w:t>
      </w:r>
      <w:r w:rsidRPr="00DA43A7">
        <w:rPr>
          <w:b/>
          <w:bCs/>
          <w:sz w:val="20"/>
        </w:rPr>
        <w:t>(R 336.1213(3)(c), R 336.2001(5))</w:t>
      </w:r>
    </w:p>
    <w:p w14:paraId="6D89BE2B" w14:textId="77777777" w:rsidR="009C1949" w:rsidRPr="005C355D" w:rsidRDefault="009C1949" w:rsidP="009C1949">
      <w:pPr>
        <w:jc w:val="both"/>
        <w:rPr>
          <w:sz w:val="20"/>
        </w:rPr>
      </w:pPr>
    </w:p>
    <w:p w14:paraId="58515B93" w14:textId="77777777" w:rsidR="009C1949" w:rsidRPr="007D4237" w:rsidRDefault="009C1949" w:rsidP="009C1949">
      <w:pPr>
        <w:jc w:val="both"/>
        <w:rPr>
          <w:rFonts w:cs="Arial"/>
          <w:sz w:val="20"/>
        </w:rPr>
      </w:pPr>
      <w:r w:rsidRPr="00FE0AD0">
        <w:rPr>
          <w:rFonts w:cs="Arial"/>
          <w:b/>
          <w:sz w:val="20"/>
        </w:rPr>
        <w:t>See Appendix 8</w:t>
      </w:r>
    </w:p>
    <w:p w14:paraId="4432FC3B" w14:textId="77777777" w:rsidR="009C1949" w:rsidRPr="00E873CB" w:rsidRDefault="009C1949" w:rsidP="009C1949">
      <w:pPr>
        <w:jc w:val="both"/>
        <w:rPr>
          <w:rFonts w:cs="Arial"/>
          <w:sz w:val="20"/>
        </w:rPr>
      </w:pPr>
    </w:p>
    <w:p w14:paraId="73033780" w14:textId="77777777" w:rsidR="009C1949" w:rsidRDefault="009C1949" w:rsidP="009C1949">
      <w:pPr>
        <w:jc w:val="both"/>
      </w:pPr>
      <w:r>
        <w:rPr>
          <w:b/>
        </w:rPr>
        <w:t xml:space="preserve">VIII.  </w:t>
      </w:r>
      <w:r>
        <w:rPr>
          <w:b/>
          <w:u w:val="single"/>
        </w:rPr>
        <w:t>STACK/VENT RESTRICTION(S)</w:t>
      </w:r>
    </w:p>
    <w:p w14:paraId="5D75220F" w14:textId="77777777" w:rsidR="009C1949" w:rsidRDefault="009C1949" w:rsidP="009C1949">
      <w:pPr>
        <w:jc w:val="both"/>
        <w:rPr>
          <w:sz w:val="20"/>
        </w:rPr>
      </w:pPr>
    </w:p>
    <w:p w14:paraId="71A87D53" w14:textId="77777777" w:rsidR="009C1949" w:rsidRPr="00576AAA" w:rsidRDefault="009C1949" w:rsidP="009C1949">
      <w:pPr>
        <w:jc w:val="both"/>
        <w:rPr>
          <w:sz w:val="20"/>
        </w:rPr>
      </w:pPr>
      <w:r>
        <w:rPr>
          <w:sz w:val="20"/>
        </w:rPr>
        <w:t>NA</w:t>
      </w:r>
    </w:p>
    <w:p w14:paraId="67DCDE39" w14:textId="77777777" w:rsidR="009C1949" w:rsidRPr="00EE5F4E" w:rsidRDefault="009C1949" w:rsidP="009C1949">
      <w:pPr>
        <w:jc w:val="both"/>
        <w:rPr>
          <w:sz w:val="20"/>
        </w:rPr>
      </w:pPr>
    </w:p>
    <w:p w14:paraId="1F462154" w14:textId="77777777" w:rsidR="009C1949" w:rsidRDefault="009C1949" w:rsidP="009C1949">
      <w:pPr>
        <w:jc w:val="both"/>
      </w:pPr>
      <w:r>
        <w:rPr>
          <w:b/>
        </w:rPr>
        <w:t xml:space="preserve">IX.  </w:t>
      </w:r>
      <w:r>
        <w:rPr>
          <w:b/>
          <w:u w:val="single"/>
        </w:rPr>
        <w:t>OTHER REQUIREMENT(S)</w:t>
      </w:r>
    </w:p>
    <w:p w14:paraId="60794737" w14:textId="77777777" w:rsidR="009C1949" w:rsidRPr="00FE0AD0" w:rsidRDefault="009C1949" w:rsidP="009C1949">
      <w:pPr>
        <w:jc w:val="both"/>
        <w:rPr>
          <w:sz w:val="20"/>
        </w:rPr>
      </w:pPr>
    </w:p>
    <w:p w14:paraId="27ADEF8F" w14:textId="77777777" w:rsidR="009C1949" w:rsidRDefault="009C1949" w:rsidP="00020C68">
      <w:pPr>
        <w:pStyle w:val="ListParagraph"/>
        <w:numPr>
          <w:ilvl w:val="0"/>
          <w:numId w:val="25"/>
        </w:numPr>
        <w:ind w:left="360"/>
        <w:jc w:val="both"/>
        <w:rPr>
          <w:sz w:val="20"/>
        </w:rPr>
      </w:pPr>
      <w:r w:rsidRPr="00DA43A7">
        <w:rPr>
          <w:sz w:val="20"/>
        </w:rPr>
        <w:t xml:space="preserve">If the NMOC emission rate is calculated to be equal to or greater than 50 Mg per year using Tier 1, 2, or 3 procedures, the permittee must either calculate NMOC emissions using the next higher tier procedure or submit a collection and control system design plan within one year as specified in 40 CFR 63.1981(d) and install and operate a gas collection and control system within 30 months according to 40 CFR 63.1959(b)(2)(ii)(B) or (C) and 40 CFR 63.1959(b)(2)(iii). </w:t>
      </w:r>
      <w:r>
        <w:rPr>
          <w:sz w:val="20"/>
        </w:rPr>
        <w:t xml:space="preserve"> </w:t>
      </w:r>
      <w:r w:rsidRPr="00DA43A7">
        <w:rPr>
          <w:sz w:val="20"/>
        </w:rPr>
        <w:t>Additionally, within 90 days of determining NMOC emissions are above 50 Mg per year, the permittee shall apply for a revision of this permit to reflect applicable requirements of 40 CFR Part 63, Subpart AAAA.</w:t>
      </w:r>
      <w:r>
        <w:rPr>
          <w:sz w:val="20"/>
        </w:rPr>
        <w:t xml:space="preserve"> </w:t>
      </w:r>
      <w:r w:rsidRPr="00DA43A7">
        <w:rPr>
          <w:sz w:val="20"/>
        </w:rPr>
        <w:t xml:space="preserve"> </w:t>
      </w:r>
      <w:r w:rsidRPr="00DA43A7">
        <w:rPr>
          <w:b/>
          <w:bCs/>
          <w:sz w:val="20"/>
        </w:rPr>
        <w:t>(R 336.1216(2), 40 CFR 63.1959(a)(2)(</w:t>
      </w:r>
      <w:proofErr w:type="spellStart"/>
      <w:r w:rsidRPr="00DA43A7">
        <w:rPr>
          <w:b/>
          <w:bCs/>
          <w:sz w:val="20"/>
        </w:rPr>
        <w:t>i</w:t>
      </w:r>
      <w:proofErr w:type="spellEnd"/>
      <w:r w:rsidRPr="00DA43A7">
        <w:rPr>
          <w:b/>
          <w:bCs/>
          <w:sz w:val="20"/>
        </w:rPr>
        <w:t>) and (ii))</w:t>
      </w:r>
    </w:p>
    <w:p w14:paraId="56CC0DF9" w14:textId="77777777" w:rsidR="009C1949" w:rsidRPr="005C355D" w:rsidRDefault="009C1949" w:rsidP="009C1949">
      <w:pPr>
        <w:jc w:val="both"/>
        <w:rPr>
          <w:sz w:val="20"/>
        </w:rPr>
      </w:pPr>
    </w:p>
    <w:p w14:paraId="6D40FF2B" w14:textId="77777777" w:rsidR="009C1949" w:rsidRPr="00DA43A7" w:rsidRDefault="009C1949" w:rsidP="00020C68">
      <w:pPr>
        <w:pStyle w:val="ListParagraph"/>
        <w:numPr>
          <w:ilvl w:val="0"/>
          <w:numId w:val="25"/>
        </w:numPr>
        <w:ind w:left="360"/>
        <w:jc w:val="both"/>
        <w:rPr>
          <w:sz w:val="20"/>
        </w:rPr>
      </w:pPr>
      <w:r w:rsidRPr="00DA43A7">
        <w:rPr>
          <w:sz w:val="20"/>
        </w:rPr>
        <w:t xml:space="preserve">The permittee is exempted from the requirements to submit an NMOC emission rate report, after installing a collection and control system that complies with 40 CFR 63.1959(b)(2), during such time as the collection and control system is in operation and in compliance with 40 CFR 63.1958 and 40 CFR 63.1960.  </w:t>
      </w:r>
      <w:r w:rsidRPr="00DA43A7">
        <w:rPr>
          <w:b/>
          <w:bCs/>
          <w:sz w:val="20"/>
        </w:rPr>
        <w:t>(40 CFR 63.1981(c)(3))</w:t>
      </w:r>
    </w:p>
    <w:p w14:paraId="7189FC2B" w14:textId="77777777" w:rsidR="009C1949" w:rsidRPr="00DA43A7" w:rsidRDefault="009C1949" w:rsidP="009C1949">
      <w:pPr>
        <w:jc w:val="both"/>
        <w:rPr>
          <w:sz w:val="20"/>
        </w:rPr>
      </w:pPr>
    </w:p>
    <w:p w14:paraId="22E4188D" w14:textId="24330CB3" w:rsidR="00E02068" w:rsidRDefault="009C1949" w:rsidP="00B55320">
      <w:pPr>
        <w:pStyle w:val="ListParagraph"/>
        <w:numPr>
          <w:ilvl w:val="0"/>
          <w:numId w:val="25"/>
        </w:numPr>
        <w:ind w:left="360"/>
        <w:jc w:val="both"/>
      </w:pPr>
      <w:r w:rsidRPr="00637380">
        <w:rPr>
          <w:sz w:val="20"/>
        </w:rPr>
        <w:t xml:space="preserve">The permittee must comply with all applicable provisions of the National Emissions Standards for Hazardous Air Pollutants: Municipal Solid Waste Landfills as specified in 40 CFR Part 63, Subparts A and AAAA.  </w:t>
      </w:r>
      <w:r w:rsidRPr="00637380">
        <w:rPr>
          <w:b/>
          <w:bCs/>
          <w:sz w:val="20"/>
        </w:rPr>
        <w:t>(40 CFR Part 63, Subparts A and AAAA)</w:t>
      </w:r>
      <w:r w:rsidR="00637380" w:rsidRPr="00637380">
        <w:rPr>
          <w:b/>
          <w:bCs/>
          <w:sz w:val="20"/>
        </w:rPr>
        <w:t xml:space="preserve"> </w:t>
      </w:r>
      <w:r w:rsidR="00E02068">
        <w:br w:type="page"/>
      </w:r>
    </w:p>
    <w:p w14:paraId="276B1013" w14:textId="69F36BF4" w:rsidR="00E02068" w:rsidRPr="000E7ACC" w:rsidRDefault="00E02068" w:rsidP="000E7ACC">
      <w:pPr>
        <w:pStyle w:val="Heading2"/>
        <w:pBdr>
          <w:top w:val="single" w:sz="4" w:space="1" w:color="auto"/>
          <w:left w:val="single" w:sz="4" w:space="1" w:color="auto"/>
          <w:bottom w:val="single" w:sz="4" w:space="1" w:color="auto"/>
          <w:right w:val="single" w:sz="4" w:space="1" w:color="auto"/>
        </w:pBdr>
      </w:pPr>
      <w:bookmarkStart w:id="82" w:name="_Toc470700266"/>
      <w:bookmarkStart w:id="83" w:name="_Toc509318963"/>
      <w:bookmarkStart w:id="84" w:name="_Toc66957928"/>
      <w:bookmarkStart w:id="85" w:name="_Toc159914029"/>
      <w:r w:rsidRPr="000E7ACC">
        <w:lastRenderedPageBreak/>
        <w:t>FGGASDISPENSING</w:t>
      </w:r>
      <w:bookmarkEnd w:id="82"/>
      <w:bookmarkEnd w:id="83"/>
      <w:bookmarkEnd w:id="84"/>
      <w:bookmarkEnd w:id="85"/>
    </w:p>
    <w:p w14:paraId="5154624C" w14:textId="77777777" w:rsidR="00E02068" w:rsidRPr="00E02068" w:rsidRDefault="00E02068" w:rsidP="000E7ACC">
      <w:pPr>
        <w:pBdr>
          <w:top w:val="single" w:sz="4" w:space="1" w:color="auto"/>
          <w:left w:val="single" w:sz="4" w:space="1" w:color="auto"/>
          <w:bottom w:val="single" w:sz="4" w:space="1" w:color="auto"/>
          <w:right w:val="single" w:sz="4" w:space="1" w:color="auto"/>
        </w:pBdr>
        <w:jc w:val="center"/>
        <w:rPr>
          <w:sz w:val="28"/>
          <w:szCs w:val="28"/>
        </w:rPr>
      </w:pPr>
      <w:r w:rsidRPr="00E02068">
        <w:rPr>
          <w:b/>
          <w:sz w:val="28"/>
          <w:szCs w:val="28"/>
        </w:rPr>
        <w:t>FLEXIBLE GROUP CONDITIONS</w:t>
      </w:r>
    </w:p>
    <w:p w14:paraId="2D4BDCB2" w14:textId="77777777" w:rsidR="00E02068" w:rsidRPr="00E02068" w:rsidRDefault="00E02068" w:rsidP="00E02068">
      <w:pPr>
        <w:rPr>
          <w:sz w:val="20"/>
        </w:rPr>
      </w:pPr>
    </w:p>
    <w:p w14:paraId="525E5F65" w14:textId="77777777" w:rsidR="00E02068" w:rsidRPr="00E02068" w:rsidRDefault="00E02068" w:rsidP="00E02068">
      <w:pPr>
        <w:jc w:val="both"/>
        <w:rPr>
          <w:b/>
          <w:u w:val="single"/>
        </w:rPr>
      </w:pPr>
      <w:r w:rsidRPr="00E02068">
        <w:rPr>
          <w:b/>
          <w:u w:val="single"/>
        </w:rPr>
        <w:t>DESCRIPTION</w:t>
      </w:r>
    </w:p>
    <w:p w14:paraId="097E9184" w14:textId="77777777" w:rsidR="00E02068" w:rsidRPr="00E02068" w:rsidRDefault="00E02068" w:rsidP="00E02068">
      <w:pPr>
        <w:jc w:val="both"/>
        <w:rPr>
          <w:b/>
          <w:sz w:val="20"/>
        </w:rPr>
      </w:pPr>
    </w:p>
    <w:p w14:paraId="0156B7EA" w14:textId="119ACBFB" w:rsidR="00875AD0" w:rsidRDefault="00875AD0" w:rsidP="00875AD0">
      <w:pPr>
        <w:jc w:val="both"/>
        <w:rPr>
          <w:rFonts w:cs="Arial"/>
          <w:sz w:val="20"/>
        </w:rPr>
      </w:pPr>
      <w:r>
        <w:rPr>
          <w:rFonts w:cs="Arial"/>
          <w:sz w:val="20"/>
        </w:rPr>
        <w:t xml:space="preserve">This flexible group specifies requirements for a gasoline dispensing facility (GDF) that is subject to 40 CFR Part 63 Subpart CCCCCC – National Emission Standards for Hazardous Air Pollutants (NESHAP) for Source Categories: Gasoline Dispensing Facilities. </w:t>
      </w:r>
      <w:r w:rsidR="000E7ACC">
        <w:rPr>
          <w:rFonts w:cs="Arial"/>
          <w:sz w:val="20"/>
        </w:rPr>
        <w:t xml:space="preserve"> </w:t>
      </w:r>
      <w:r>
        <w:rPr>
          <w:rFonts w:cs="Arial"/>
          <w:sz w:val="20"/>
        </w:rPr>
        <w:t xml:space="preserve">This flexible group includes existing stationary GDF equipment that was constructed before November 9, 2006, and that have a monthly gasoline throughput less than 10,000 gallons and is located at an area source of hazardous air pollutants. </w:t>
      </w:r>
      <w:r w:rsidR="000E7ACC">
        <w:rPr>
          <w:rFonts w:cs="Arial"/>
          <w:sz w:val="20"/>
        </w:rPr>
        <w:t xml:space="preserve"> </w:t>
      </w:r>
      <w:r>
        <w:rPr>
          <w:rFonts w:cs="Arial"/>
          <w:sz w:val="20"/>
        </w:rPr>
        <w:t xml:space="preserve">The affected source includes each gasoline cargo tank during the delivery of product to a GDF and includes each storage tank that dispenses gasoline into the fuel tank of a motor vehicle. </w:t>
      </w:r>
    </w:p>
    <w:p w14:paraId="3925E287" w14:textId="77777777" w:rsidR="00E02068" w:rsidRPr="00E02068" w:rsidRDefault="00E02068" w:rsidP="00E02068">
      <w:pPr>
        <w:jc w:val="both"/>
        <w:rPr>
          <w:b/>
          <w:sz w:val="20"/>
        </w:rPr>
      </w:pPr>
    </w:p>
    <w:p w14:paraId="7D7033C0" w14:textId="7A901B0C" w:rsidR="00E02068" w:rsidRPr="00E02068" w:rsidRDefault="00E02068" w:rsidP="00E02068">
      <w:pPr>
        <w:rPr>
          <w:rFonts w:cs="Arial"/>
          <w:sz w:val="20"/>
        </w:rPr>
      </w:pPr>
      <w:r w:rsidRPr="00E02068">
        <w:rPr>
          <w:b/>
          <w:sz w:val="20"/>
        </w:rPr>
        <w:t>Emission Unit:</w:t>
      </w:r>
      <w:r w:rsidRPr="00E02068">
        <w:rPr>
          <w:sz w:val="20"/>
        </w:rPr>
        <w:t xml:space="preserve">  </w:t>
      </w:r>
      <w:r w:rsidRPr="00E02068">
        <w:rPr>
          <w:rFonts w:cs="Arial"/>
          <w:sz w:val="20"/>
        </w:rPr>
        <w:t>EUGASOLINETANK</w:t>
      </w:r>
    </w:p>
    <w:p w14:paraId="547E3D5E" w14:textId="77777777" w:rsidR="00E02068" w:rsidRPr="00E02068" w:rsidRDefault="00E02068" w:rsidP="00E02068">
      <w:pPr>
        <w:jc w:val="both"/>
        <w:rPr>
          <w:sz w:val="20"/>
        </w:rPr>
      </w:pPr>
    </w:p>
    <w:p w14:paraId="0A05194A" w14:textId="77777777" w:rsidR="00E02068" w:rsidRPr="00E02068" w:rsidRDefault="00E02068" w:rsidP="00E02068">
      <w:pPr>
        <w:jc w:val="both"/>
        <w:rPr>
          <w:b/>
          <w:u w:val="single"/>
        </w:rPr>
      </w:pPr>
      <w:r w:rsidRPr="00E02068">
        <w:rPr>
          <w:b/>
          <w:u w:val="single"/>
        </w:rPr>
        <w:t>POLLUTION CONTROL EQUIPMENT</w:t>
      </w:r>
    </w:p>
    <w:p w14:paraId="00A7F312" w14:textId="77777777" w:rsidR="00E02068" w:rsidRPr="00E02068" w:rsidRDefault="00E02068" w:rsidP="00E02068">
      <w:pPr>
        <w:jc w:val="both"/>
      </w:pPr>
    </w:p>
    <w:p w14:paraId="46249C15" w14:textId="77777777" w:rsidR="00E02068" w:rsidRPr="00E02068" w:rsidRDefault="00E02068" w:rsidP="00E02068">
      <w:pPr>
        <w:jc w:val="both"/>
        <w:rPr>
          <w:sz w:val="20"/>
        </w:rPr>
      </w:pPr>
      <w:r w:rsidRPr="00E02068">
        <w:rPr>
          <w:sz w:val="20"/>
        </w:rPr>
        <w:t>NA</w:t>
      </w:r>
    </w:p>
    <w:p w14:paraId="0584A15C" w14:textId="77777777" w:rsidR="00E02068" w:rsidRPr="00E02068" w:rsidRDefault="00E02068" w:rsidP="00E02068">
      <w:pPr>
        <w:rPr>
          <w:sz w:val="20"/>
        </w:rPr>
      </w:pPr>
    </w:p>
    <w:p w14:paraId="4C2EE930" w14:textId="77777777" w:rsidR="00E02068" w:rsidRPr="00E02068" w:rsidRDefault="00E02068" w:rsidP="00E02068">
      <w:pPr>
        <w:jc w:val="both"/>
        <w:rPr>
          <w:b/>
          <w:u w:val="single"/>
        </w:rPr>
      </w:pPr>
      <w:r w:rsidRPr="00E02068">
        <w:rPr>
          <w:b/>
        </w:rPr>
        <w:t xml:space="preserve">I.  </w:t>
      </w:r>
      <w:r w:rsidRPr="00E02068">
        <w:rPr>
          <w:b/>
          <w:u w:val="single"/>
        </w:rPr>
        <w:t>EMISSION LIMIT(S)</w:t>
      </w:r>
    </w:p>
    <w:p w14:paraId="3EB4BB11" w14:textId="77777777" w:rsidR="00E02068" w:rsidRPr="00E02068" w:rsidRDefault="00E02068" w:rsidP="00E02068">
      <w:pPr>
        <w:jc w:val="both"/>
        <w:rPr>
          <w:b/>
        </w:rPr>
      </w:pPr>
    </w:p>
    <w:p w14:paraId="367952D8" w14:textId="77777777" w:rsidR="00E02068" w:rsidRPr="00E02068" w:rsidRDefault="00E02068" w:rsidP="00E02068">
      <w:pPr>
        <w:jc w:val="both"/>
        <w:rPr>
          <w:sz w:val="20"/>
        </w:rPr>
      </w:pPr>
      <w:r w:rsidRPr="00E02068">
        <w:rPr>
          <w:sz w:val="20"/>
        </w:rPr>
        <w:t>NA</w:t>
      </w:r>
    </w:p>
    <w:p w14:paraId="676BEFE0" w14:textId="77777777" w:rsidR="00E02068" w:rsidRPr="00E02068" w:rsidRDefault="00E02068" w:rsidP="00E02068">
      <w:pPr>
        <w:jc w:val="both"/>
        <w:rPr>
          <w:b/>
        </w:rPr>
      </w:pPr>
    </w:p>
    <w:p w14:paraId="32DE4230" w14:textId="77777777" w:rsidR="00E02068" w:rsidRPr="00E02068" w:rsidRDefault="00E02068" w:rsidP="00E02068">
      <w:pPr>
        <w:jc w:val="both"/>
        <w:rPr>
          <w:b/>
          <w:u w:val="single"/>
        </w:rPr>
      </w:pPr>
      <w:r w:rsidRPr="00E02068">
        <w:rPr>
          <w:b/>
        </w:rPr>
        <w:t xml:space="preserve">II.  </w:t>
      </w:r>
      <w:r w:rsidRPr="00E02068">
        <w:rPr>
          <w:b/>
          <w:u w:val="single"/>
        </w:rPr>
        <w:t>MATERIAL LIMIT(S)</w:t>
      </w:r>
    </w:p>
    <w:p w14:paraId="139DEECD" w14:textId="77777777" w:rsidR="00E02068" w:rsidRPr="00E02068" w:rsidRDefault="00E02068" w:rsidP="00E02068">
      <w:pPr>
        <w:jc w:val="both"/>
        <w:rPr>
          <w:b/>
        </w:rPr>
      </w:pPr>
    </w:p>
    <w:p w14:paraId="2CDEED44" w14:textId="77777777" w:rsidR="00E02068" w:rsidRPr="00E02068" w:rsidRDefault="00E02068" w:rsidP="00E02068">
      <w:pPr>
        <w:jc w:val="both"/>
        <w:rPr>
          <w:sz w:val="20"/>
        </w:rPr>
      </w:pPr>
      <w:r w:rsidRPr="00E02068">
        <w:rPr>
          <w:sz w:val="20"/>
        </w:rPr>
        <w:t>NA</w:t>
      </w:r>
    </w:p>
    <w:p w14:paraId="7F41056B" w14:textId="77777777" w:rsidR="00E02068" w:rsidRPr="00E02068" w:rsidRDefault="00E02068" w:rsidP="00E02068">
      <w:pPr>
        <w:jc w:val="both"/>
        <w:rPr>
          <w:b/>
        </w:rPr>
      </w:pPr>
    </w:p>
    <w:p w14:paraId="7C79D127" w14:textId="77777777" w:rsidR="00E02068" w:rsidRPr="00E02068" w:rsidRDefault="00E02068" w:rsidP="00E02068">
      <w:pPr>
        <w:jc w:val="both"/>
        <w:rPr>
          <w:b/>
          <w:u w:val="single"/>
        </w:rPr>
      </w:pPr>
      <w:r w:rsidRPr="00E02068">
        <w:rPr>
          <w:b/>
        </w:rPr>
        <w:t xml:space="preserve">III.  </w:t>
      </w:r>
      <w:r w:rsidRPr="00E02068">
        <w:rPr>
          <w:b/>
          <w:u w:val="single"/>
        </w:rPr>
        <w:t>PROCESS/OPERATIONAL RESTRICTION(S)</w:t>
      </w:r>
      <w:r w:rsidRPr="00E02068" w:rsidDel="001C614B">
        <w:rPr>
          <w:b/>
          <w:u w:val="single"/>
        </w:rPr>
        <w:t xml:space="preserve"> </w:t>
      </w:r>
    </w:p>
    <w:p w14:paraId="6859CBF6" w14:textId="77777777" w:rsidR="00E02068" w:rsidRPr="00E02068" w:rsidRDefault="00E02068" w:rsidP="00E02068">
      <w:pPr>
        <w:jc w:val="both"/>
        <w:rPr>
          <w:sz w:val="20"/>
        </w:rPr>
      </w:pPr>
    </w:p>
    <w:p w14:paraId="57F293E0" w14:textId="77777777" w:rsidR="00E02068" w:rsidRPr="00E02068" w:rsidRDefault="00E02068" w:rsidP="00020C68">
      <w:pPr>
        <w:numPr>
          <w:ilvl w:val="0"/>
          <w:numId w:val="47"/>
        </w:numPr>
        <w:jc w:val="both"/>
        <w:rPr>
          <w:rFonts w:cs="Arial"/>
          <w:sz w:val="20"/>
        </w:rPr>
      </w:pPr>
      <w:bookmarkStart w:id="86" w:name="_Hlk127543466"/>
      <w:r w:rsidRPr="00E02068">
        <w:rPr>
          <w:rFonts w:cs="Arial"/>
          <w:sz w:val="20"/>
        </w:rPr>
        <w:t xml:space="preserve">The permittee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E02068">
        <w:rPr>
          <w:rFonts w:cs="Arial"/>
          <w:b/>
          <w:bCs/>
          <w:sz w:val="20"/>
        </w:rPr>
        <w:t>(40 CFR 63.11115(a))</w:t>
      </w:r>
    </w:p>
    <w:bookmarkEnd w:id="86"/>
    <w:p w14:paraId="65411D69" w14:textId="77777777" w:rsidR="00E02068" w:rsidRPr="00E02068" w:rsidRDefault="00E02068" w:rsidP="00E02068">
      <w:pPr>
        <w:ind w:left="360"/>
        <w:jc w:val="both"/>
        <w:rPr>
          <w:rFonts w:cs="Arial"/>
          <w:sz w:val="20"/>
        </w:rPr>
      </w:pPr>
    </w:p>
    <w:p w14:paraId="33EF4A31" w14:textId="77777777" w:rsidR="00E02068" w:rsidRPr="00E02068" w:rsidRDefault="00E02068" w:rsidP="00020C68">
      <w:pPr>
        <w:numPr>
          <w:ilvl w:val="0"/>
          <w:numId w:val="47"/>
        </w:numPr>
        <w:spacing w:after="120"/>
        <w:jc w:val="both"/>
        <w:rPr>
          <w:rFonts w:cs="Arial"/>
          <w:sz w:val="20"/>
        </w:rPr>
      </w:pPr>
      <w:r w:rsidRPr="00E02068">
        <w:rPr>
          <w:sz w:val="20"/>
        </w:rPr>
        <w:t>The permittee shall not allow gasoline to be handled in a manner that would result in vapor releases to the atmosphere for extended periods of time.  Measures to be taken include, but are not limited to, the following:</w:t>
      </w:r>
    </w:p>
    <w:p w14:paraId="7DFE02ED" w14:textId="32AB5913" w:rsidR="00E02068" w:rsidRPr="00E02068" w:rsidRDefault="00E02068" w:rsidP="000D2D1A">
      <w:pPr>
        <w:spacing w:after="120"/>
        <w:ind w:left="720" w:hanging="360"/>
        <w:jc w:val="both"/>
        <w:rPr>
          <w:b/>
          <w:sz w:val="20"/>
        </w:rPr>
      </w:pPr>
      <w:r w:rsidRPr="00E02068">
        <w:rPr>
          <w:sz w:val="20"/>
        </w:rPr>
        <w:t>a.</w:t>
      </w:r>
      <w:r w:rsidRPr="00E02068">
        <w:rPr>
          <w:sz w:val="20"/>
        </w:rPr>
        <w:tab/>
        <w:t xml:space="preserve">Minimize gasoline spills. </w:t>
      </w:r>
      <w:r w:rsidR="00675797">
        <w:rPr>
          <w:sz w:val="20"/>
        </w:rPr>
        <w:t xml:space="preserve"> </w:t>
      </w:r>
      <w:r w:rsidRPr="00E02068">
        <w:rPr>
          <w:b/>
          <w:sz w:val="20"/>
        </w:rPr>
        <w:t>(40 CFR 63.11117(a)</w:t>
      </w:r>
      <w:r w:rsidR="00441340">
        <w:rPr>
          <w:b/>
          <w:sz w:val="20"/>
        </w:rPr>
        <w:t>,</w:t>
      </w:r>
      <w:r w:rsidRPr="00E02068">
        <w:rPr>
          <w:b/>
          <w:sz w:val="20"/>
        </w:rPr>
        <w:t xml:space="preserve"> 40 CFR 63.11116(a)(1))</w:t>
      </w:r>
    </w:p>
    <w:p w14:paraId="14C34918" w14:textId="71CC551E" w:rsidR="00E02068" w:rsidRPr="00E02068" w:rsidRDefault="00E02068" w:rsidP="000D2D1A">
      <w:pPr>
        <w:spacing w:after="120"/>
        <w:ind w:left="720" w:hanging="360"/>
        <w:jc w:val="both"/>
        <w:rPr>
          <w:sz w:val="20"/>
        </w:rPr>
      </w:pPr>
      <w:r w:rsidRPr="00E02068">
        <w:rPr>
          <w:sz w:val="20"/>
        </w:rPr>
        <w:t>b.</w:t>
      </w:r>
      <w:r w:rsidRPr="00E02068">
        <w:rPr>
          <w:sz w:val="20"/>
        </w:rPr>
        <w:tab/>
        <w:t xml:space="preserve">Clean up spills as expeditiously as practicable. </w:t>
      </w:r>
      <w:r w:rsidR="00675797">
        <w:rPr>
          <w:sz w:val="20"/>
        </w:rPr>
        <w:t xml:space="preserve"> </w:t>
      </w:r>
      <w:r w:rsidRPr="00E02068">
        <w:rPr>
          <w:b/>
          <w:sz w:val="20"/>
        </w:rPr>
        <w:t>(40 CFR 63.11117(a), 40 CFR 63.11116(a)(2))</w:t>
      </w:r>
    </w:p>
    <w:p w14:paraId="22D7CF19" w14:textId="28FF90FC" w:rsidR="00E02068" w:rsidRPr="00E02068" w:rsidRDefault="00E02068" w:rsidP="000D2D1A">
      <w:pPr>
        <w:spacing w:after="120"/>
        <w:ind w:left="720" w:hanging="360"/>
        <w:jc w:val="both"/>
        <w:rPr>
          <w:sz w:val="20"/>
        </w:rPr>
      </w:pPr>
      <w:r w:rsidRPr="00E02068">
        <w:rPr>
          <w:sz w:val="20"/>
        </w:rPr>
        <w:t>c.</w:t>
      </w:r>
      <w:r w:rsidRPr="00E02068">
        <w:rPr>
          <w:sz w:val="20"/>
        </w:rPr>
        <w:tab/>
        <w:t xml:space="preserve">Cover all pen gasoline containers and all gasoline storage tank fill-pipes with a gasketed seal when not in use. </w:t>
      </w:r>
      <w:r w:rsidR="00675797">
        <w:rPr>
          <w:sz w:val="20"/>
        </w:rPr>
        <w:t xml:space="preserve"> </w:t>
      </w:r>
      <w:r w:rsidRPr="00E02068">
        <w:rPr>
          <w:b/>
          <w:sz w:val="20"/>
        </w:rPr>
        <w:t>(40 CFR 63.11117(a), 40 CFR 63.11116(a)(3))</w:t>
      </w:r>
    </w:p>
    <w:p w14:paraId="4C30C075" w14:textId="4DD8DFBB" w:rsidR="00E02068" w:rsidRPr="00E02068" w:rsidRDefault="00E02068" w:rsidP="000D2D1A">
      <w:pPr>
        <w:ind w:left="720" w:hanging="360"/>
        <w:jc w:val="both"/>
        <w:rPr>
          <w:b/>
          <w:sz w:val="20"/>
        </w:rPr>
      </w:pPr>
      <w:r w:rsidRPr="00E02068">
        <w:rPr>
          <w:sz w:val="20"/>
        </w:rPr>
        <w:t>d.</w:t>
      </w:r>
      <w:r w:rsidRPr="00E02068">
        <w:rPr>
          <w:sz w:val="20"/>
        </w:rPr>
        <w:tab/>
        <w:t>Minimize gasoline sent to open waste collection systems that collect and transport gasoline to reclamation and recycling devices, such as oil/water separators.</w:t>
      </w:r>
      <w:r w:rsidR="00675797">
        <w:rPr>
          <w:sz w:val="20"/>
        </w:rPr>
        <w:t xml:space="preserve"> </w:t>
      </w:r>
      <w:r w:rsidRPr="00E02068">
        <w:rPr>
          <w:b/>
          <w:sz w:val="20"/>
        </w:rPr>
        <w:t xml:space="preserve"> (40 CFR 63.11117(a),</w:t>
      </w:r>
      <w:r w:rsidRPr="00E02068">
        <w:rPr>
          <w:sz w:val="20"/>
        </w:rPr>
        <w:t xml:space="preserve"> </w:t>
      </w:r>
      <w:r w:rsidRPr="00E02068">
        <w:rPr>
          <w:b/>
          <w:sz w:val="20"/>
        </w:rPr>
        <w:t>40 CFR 63.11116(a)(4))</w:t>
      </w:r>
    </w:p>
    <w:p w14:paraId="05542232" w14:textId="77777777" w:rsidR="00E02068" w:rsidRPr="00E02068" w:rsidRDefault="00E02068" w:rsidP="000D2D1A">
      <w:pPr>
        <w:ind w:left="720" w:hanging="360"/>
        <w:jc w:val="both"/>
        <w:rPr>
          <w:rFonts w:cs="Arial"/>
          <w:sz w:val="20"/>
        </w:rPr>
      </w:pPr>
      <w:r w:rsidRPr="00E02068">
        <w:rPr>
          <w:sz w:val="20"/>
        </w:rPr>
        <w:t xml:space="preserve"> </w:t>
      </w:r>
    </w:p>
    <w:p w14:paraId="07B09BE7" w14:textId="77777777" w:rsidR="00E02068" w:rsidRPr="00E02068" w:rsidRDefault="00E02068" w:rsidP="00020C68">
      <w:pPr>
        <w:numPr>
          <w:ilvl w:val="0"/>
          <w:numId w:val="47"/>
        </w:numPr>
        <w:jc w:val="both"/>
        <w:rPr>
          <w:rFonts w:cs="Arial"/>
          <w:sz w:val="20"/>
        </w:rPr>
      </w:pPr>
      <w:r w:rsidRPr="00E02068">
        <w:rPr>
          <w:rFonts w:cs="Arial"/>
          <w:sz w:val="20"/>
        </w:rPr>
        <w:t xml:space="preserve">Gasoline storage tanks with capacities of less than 250 gallons are not required to comply with the submerged fill requirements cited in 40 CFR 63.11117(b) but must comply only with all of the requirements in 40 CFR 63.11116.  </w:t>
      </w:r>
      <w:r w:rsidRPr="00E02068">
        <w:rPr>
          <w:rFonts w:cs="Arial"/>
          <w:b/>
          <w:bCs/>
          <w:sz w:val="20"/>
        </w:rPr>
        <w:t>(40 CFR 63.11117(c))</w:t>
      </w:r>
    </w:p>
    <w:p w14:paraId="1D59A830" w14:textId="77777777" w:rsidR="00E02068" w:rsidRPr="00E02068" w:rsidRDefault="00E02068" w:rsidP="000D2D1A">
      <w:pPr>
        <w:ind w:left="864"/>
        <w:jc w:val="both"/>
        <w:rPr>
          <w:rFonts w:cs="Arial"/>
          <w:sz w:val="20"/>
        </w:rPr>
      </w:pPr>
    </w:p>
    <w:p w14:paraId="139606EB" w14:textId="16B0A7C1" w:rsidR="00E02068" w:rsidRPr="00E02068" w:rsidRDefault="00E02068" w:rsidP="00020C68">
      <w:pPr>
        <w:numPr>
          <w:ilvl w:val="0"/>
          <w:numId w:val="47"/>
        </w:numPr>
        <w:jc w:val="both"/>
        <w:rPr>
          <w:b/>
          <w:sz w:val="20"/>
        </w:rPr>
      </w:pPr>
      <w:r w:rsidRPr="00E02068">
        <w:rPr>
          <w:sz w:val="20"/>
        </w:rPr>
        <w:t xml:space="preserve">If the GDF has a monthly throughput of 10,000 gallons of gasoline or more, you must comply with the requirements in 40 CFR 63.11117. </w:t>
      </w:r>
      <w:r w:rsidR="00675797">
        <w:rPr>
          <w:sz w:val="20"/>
        </w:rPr>
        <w:t xml:space="preserve"> </w:t>
      </w:r>
      <w:r w:rsidRPr="00E02068">
        <w:rPr>
          <w:b/>
          <w:sz w:val="20"/>
        </w:rPr>
        <w:t>(40 CFR 63.1111(c))</w:t>
      </w:r>
    </w:p>
    <w:p w14:paraId="7D9411CD" w14:textId="77777777" w:rsidR="00E02068" w:rsidRPr="00E02068" w:rsidRDefault="00E02068" w:rsidP="000D2D1A">
      <w:pPr>
        <w:ind w:left="360"/>
        <w:jc w:val="both"/>
        <w:rPr>
          <w:b/>
          <w:sz w:val="20"/>
        </w:rPr>
      </w:pPr>
    </w:p>
    <w:p w14:paraId="347BDAA9" w14:textId="77777777" w:rsidR="00E02068" w:rsidRPr="00E02068" w:rsidRDefault="00E02068" w:rsidP="00020C68">
      <w:pPr>
        <w:numPr>
          <w:ilvl w:val="0"/>
          <w:numId w:val="47"/>
        </w:numPr>
        <w:jc w:val="both"/>
        <w:rPr>
          <w:b/>
          <w:sz w:val="20"/>
        </w:rPr>
      </w:pPr>
      <w:r w:rsidRPr="00E02068">
        <w:rPr>
          <w:sz w:val="20"/>
        </w:rPr>
        <w:t xml:space="preserve">If the GDF has a monthly throughput of 100,000 gallons of gasoline or more, the permittee must comply with the requirements in 40 CFR 63.11118.  </w:t>
      </w:r>
      <w:r w:rsidRPr="00E02068">
        <w:rPr>
          <w:b/>
          <w:sz w:val="20"/>
        </w:rPr>
        <w:t>(40 CFR 63.1111(d))</w:t>
      </w:r>
    </w:p>
    <w:p w14:paraId="0E806289" w14:textId="77777777" w:rsidR="00E02068" w:rsidRPr="00E02068" w:rsidRDefault="00E02068" w:rsidP="000D2D1A">
      <w:pPr>
        <w:ind w:left="360"/>
        <w:jc w:val="both"/>
        <w:rPr>
          <w:b/>
          <w:sz w:val="20"/>
        </w:rPr>
      </w:pPr>
    </w:p>
    <w:p w14:paraId="6E50CCC7" w14:textId="77777777" w:rsidR="00E02068" w:rsidRPr="00E02068" w:rsidRDefault="00E02068" w:rsidP="00020C68">
      <w:pPr>
        <w:numPr>
          <w:ilvl w:val="0"/>
          <w:numId w:val="47"/>
        </w:numPr>
        <w:jc w:val="both"/>
        <w:rPr>
          <w:b/>
          <w:sz w:val="20"/>
        </w:rPr>
      </w:pPr>
      <w:r w:rsidRPr="00E02068">
        <w:rPr>
          <w:sz w:val="20"/>
        </w:rPr>
        <w:t xml:space="preserve">If the GDF’s throughput ever exceeds an applicable throughput threshold, the GDF will remain subject to the requirements for sources above the threshold, even if the affected source throughput later falls below the applicable throughput threshold.  </w:t>
      </w:r>
      <w:r w:rsidRPr="00E02068">
        <w:rPr>
          <w:b/>
          <w:bCs/>
          <w:sz w:val="20"/>
        </w:rPr>
        <w:t>(</w:t>
      </w:r>
      <w:r w:rsidRPr="00E02068">
        <w:rPr>
          <w:b/>
          <w:sz w:val="20"/>
        </w:rPr>
        <w:t>40 CFR 63.11111(</w:t>
      </w:r>
      <w:proofErr w:type="spellStart"/>
      <w:r w:rsidRPr="00E02068">
        <w:rPr>
          <w:b/>
          <w:sz w:val="20"/>
        </w:rPr>
        <w:t>i</w:t>
      </w:r>
      <w:proofErr w:type="spellEnd"/>
      <w:r w:rsidRPr="00E02068">
        <w:rPr>
          <w:b/>
          <w:sz w:val="20"/>
        </w:rPr>
        <w:t>))</w:t>
      </w:r>
    </w:p>
    <w:p w14:paraId="48A7C0C5" w14:textId="77777777" w:rsidR="00E02068" w:rsidRPr="00E02068" w:rsidRDefault="00E02068" w:rsidP="000D2D1A">
      <w:pPr>
        <w:jc w:val="both"/>
        <w:rPr>
          <w:b/>
        </w:rPr>
      </w:pPr>
    </w:p>
    <w:p w14:paraId="669B16C9" w14:textId="77777777" w:rsidR="00E02068" w:rsidRPr="00E02068" w:rsidRDefault="00E02068" w:rsidP="000D2D1A">
      <w:pPr>
        <w:jc w:val="both"/>
        <w:rPr>
          <w:b/>
          <w:u w:val="single"/>
        </w:rPr>
      </w:pPr>
      <w:r w:rsidRPr="00E02068">
        <w:rPr>
          <w:b/>
        </w:rPr>
        <w:t xml:space="preserve">IV.  </w:t>
      </w:r>
      <w:r w:rsidRPr="00E02068">
        <w:rPr>
          <w:b/>
          <w:u w:val="single"/>
        </w:rPr>
        <w:t>DESIGN/EQUIPMENT PARAMETER(S)</w:t>
      </w:r>
    </w:p>
    <w:p w14:paraId="66C61953" w14:textId="77777777" w:rsidR="00E02068" w:rsidRPr="00E02068" w:rsidRDefault="00E02068" w:rsidP="000D2D1A">
      <w:pPr>
        <w:jc w:val="both"/>
        <w:rPr>
          <w:b/>
          <w:sz w:val="20"/>
          <w:u w:val="single"/>
        </w:rPr>
      </w:pPr>
    </w:p>
    <w:p w14:paraId="58C66C1A" w14:textId="77777777" w:rsidR="00E02068" w:rsidRPr="00E02068" w:rsidRDefault="00E02068" w:rsidP="00274AE8">
      <w:pPr>
        <w:numPr>
          <w:ilvl w:val="0"/>
          <w:numId w:val="48"/>
        </w:numPr>
        <w:tabs>
          <w:tab w:val="left" w:pos="900"/>
        </w:tabs>
        <w:spacing w:after="120"/>
        <w:jc w:val="both"/>
        <w:rPr>
          <w:rFonts w:cs="Arial"/>
          <w:sz w:val="20"/>
        </w:rPr>
      </w:pPr>
      <w:r w:rsidRPr="00E02068">
        <w:rPr>
          <w:rFonts w:cs="Arial"/>
          <w:bCs/>
          <w:sz w:val="20"/>
        </w:rPr>
        <w:t xml:space="preserve">The permittee must only load gasoline into storage tanks utilizing submerged filling, as defined in 40 CFR 63.11132, and as specified in 40 CFR 63.11117(b)(1), (2), and (3).  The applicable distances in 40 CFR 63.11117(b)(1) and (2) shall be measured from the point in the opening of the submerged fill pipe that is the greatest distance from the bottom of the storage tank.  </w:t>
      </w:r>
      <w:r w:rsidRPr="00E02068">
        <w:rPr>
          <w:rFonts w:cs="Arial"/>
          <w:b/>
          <w:sz w:val="20"/>
        </w:rPr>
        <w:t>(40 CFR 63.11117(b))</w:t>
      </w:r>
    </w:p>
    <w:p w14:paraId="4F2E1150" w14:textId="77777777" w:rsidR="00E02068" w:rsidRPr="00E02068" w:rsidRDefault="00E02068" w:rsidP="00274AE8">
      <w:pPr>
        <w:numPr>
          <w:ilvl w:val="1"/>
          <w:numId w:val="48"/>
        </w:numPr>
        <w:spacing w:after="120"/>
        <w:jc w:val="both"/>
        <w:rPr>
          <w:rFonts w:cs="Arial"/>
          <w:sz w:val="20"/>
        </w:rPr>
      </w:pPr>
      <w:r w:rsidRPr="00E02068">
        <w:rPr>
          <w:rFonts w:cs="Arial"/>
          <w:sz w:val="20"/>
        </w:rPr>
        <w:t>Submerged fill pipes installed on or before November 9, 2006, must be no more than 12 inches from the bottom of the tank</w:t>
      </w:r>
      <w:r w:rsidRPr="00E02068">
        <w:rPr>
          <w:rFonts w:cs="Arial"/>
          <w:bCs/>
          <w:sz w:val="20"/>
        </w:rPr>
        <w:t xml:space="preserve">.  </w:t>
      </w:r>
      <w:r w:rsidRPr="00E02068">
        <w:rPr>
          <w:rFonts w:cs="Arial"/>
          <w:b/>
          <w:bCs/>
          <w:sz w:val="20"/>
        </w:rPr>
        <w:t>(40 CFR 63.11117(b)(1))</w:t>
      </w:r>
    </w:p>
    <w:p w14:paraId="355B0B2C" w14:textId="77777777" w:rsidR="00E02068" w:rsidRPr="00E02068" w:rsidRDefault="00E02068" w:rsidP="00274AE8">
      <w:pPr>
        <w:numPr>
          <w:ilvl w:val="1"/>
          <w:numId w:val="48"/>
        </w:numPr>
        <w:spacing w:after="120"/>
        <w:rPr>
          <w:rFonts w:cs="Arial"/>
          <w:sz w:val="20"/>
        </w:rPr>
      </w:pPr>
      <w:r w:rsidRPr="00E02068">
        <w:rPr>
          <w:rFonts w:cs="Arial"/>
          <w:sz w:val="20"/>
        </w:rPr>
        <w:t xml:space="preserve">Submerged fill pipes installed after November 9, 2006, must be no more than 6 inches from the bottom of the tank.  </w:t>
      </w:r>
      <w:r w:rsidRPr="00E02068">
        <w:rPr>
          <w:rFonts w:cs="Arial"/>
          <w:b/>
          <w:bCs/>
          <w:sz w:val="20"/>
        </w:rPr>
        <w:t>(40 CFR 63.11117(b)(2))</w:t>
      </w:r>
    </w:p>
    <w:p w14:paraId="00C85A0D" w14:textId="77777777" w:rsidR="00E02068" w:rsidRPr="00E02068" w:rsidRDefault="00E02068" w:rsidP="000E7ACC">
      <w:pPr>
        <w:numPr>
          <w:ilvl w:val="1"/>
          <w:numId w:val="48"/>
        </w:numPr>
        <w:jc w:val="both"/>
        <w:rPr>
          <w:rFonts w:cs="Arial"/>
          <w:sz w:val="20"/>
        </w:rPr>
      </w:pPr>
      <w:r w:rsidRPr="00E02068">
        <w:rPr>
          <w:rFonts w:cs="Arial"/>
          <w:sz w:val="20"/>
        </w:rPr>
        <w:t xml:space="preserve">Submerged fill pipes not meeting the specifications listed on 40 CFR 63.11117(b)(1) and (2) are allowed if the owner or operator can demonstrate that the liquid level in the tank is always above the entire opening of the fill pipe.  Documentation for such demonstration must be made available for inspection by the Administrator's delegated representative during the course of a site visit.  </w:t>
      </w:r>
      <w:r w:rsidRPr="00E02068">
        <w:rPr>
          <w:rFonts w:cs="Arial"/>
          <w:b/>
          <w:bCs/>
          <w:sz w:val="20"/>
        </w:rPr>
        <w:t>(40 CFR 63.11117(b)(3))</w:t>
      </w:r>
    </w:p>
    <w:p w14:paraId="213347A4" w14:textId="77777777" w:rsidR="00E02068" w:rsidRPr="00E02068" w:rsidRDefault="00E02068" w:rsidP="00E02068">
      <w:pPr>
        <w:ind w:left="360" w:hanging="360"/>
        <w:jc w:val="both"/>
        <w:rPr>
          <w:sz w:val="20"/>
        </w:rPr>
      </w:pPr>
    </w:p>
    <w:p w14:paraId="47502AC8" w14:textId="77777777" w:rsidR="00E02068" w:rsidRPr="00E02068" w:rsidRDefault="00E02068" w:rsidP="00E02068">
      <w:pPr>
        <w:jc w:val="both"/>
        <w:rPr>
          <w:b/>
          <w:u w:val="single"/>
        </w:rPr>
      </w:pPr>
      <w:r w:rsidRPr="00E02068">
        <w:rPr>
          <w:b/>
        </w:rPr>
        <w:t xml:space="preserve">V.  </w:t>
      </w:r>
      <w:r w:rsidRPr="00E02068">
        <w:rPr>
          <w:b/>
          <w:u w:val="single"/>
        </w:rPr>
        <w:t>TESTING/SAMPLING</w:t>
      </w:r>
    </w:p>
    <w:p w14:paraId="69861594" w14:textId="77777777" w:rsidR="00E02068" w:rsidRPr="00E02068" w:rsidRDefault="00E02068" w:rsidP="00E02068">
      <w:pPr>
        <w:jc w:val="both"/>
        <w:rPr>
          <w:sz w:val="20"/>
        </w:rPr>
      </w:pPr>
      <w:r w:rsidRPr="00E02068">
        <w:rPr>
          <w:sz w:val="20"/>
        </w:rPr>
        <w:t xml:space="preserve">Records shall be maintained on file for a period of five years.  </w:t>
      </w:r>
      <w:r w:rsidRPr="00E02068">
        <w:rPr>
          <w:b/>
          <w:sz w:val="20"/>
        </w:rPr>
        <w:t>(R 336.1213(3)(b)(ii))</w:t>
      </w:r>
    </w:p>
    <w:p w14:paraId="57F6CBE5" w14:textId="77777777" w:rsidR="00E02068" w:rsidRPr="00E02068" w:rsidRDefault="00E02068" w:rsidP="00E02068">
      <w:pPr>
        <w:jc w:val="both"/>
        <w:rPr>
          <w:sz w:val="20"/>
        </w:rPr>
      </w:pPr>
    </w:p>
    <w:p w14:paraId="31F8F712" w14:textId="77777777" w:rsidR="00E02068" w:rsidRPr="00E02068" w:rsidRDefault="00E02068" w:rsidP="00E02068">
      <w:pPr>
        <w:jc w:val="both"/>
        <w:rPr>
          <w:sz w:val="20"/>
        </w:rPr>
      </w:pPr>
      <w:r w:rsidRPr="00E02068">
        <w:rPr>
          <w:sz w:val="20"/>
        </w:rPr>
        <w:t>NA</w:t>
      </w:r>
    </w:p>
    <w:p w14:paraId="372B3014" w14:textId="77777777" w:rsidR="00E02068" w:rsidRPr="00E02068" w:rsidRDefault="00E02068" w:rsidP="00E02068">
      <w:pPr>
        <w:jc w:val="both"/>
        <w:rPr>
          <w:sz w:val="20"/>
        </w:rPr>
      </w:pPr>
    </w:p>
    <w:p w14:paraId="0EE02E22" w14:textId="77777777" w:rsidR="00E02068" w:rsidRPr="00E02068" w:rsidRDefault="00E02068" w:rsidP="00E02068">
      <w:pPr>
        <w:jc w:val="both"/>
      </w:pPr>
      <w:r w:rsidRPr="00E02068">
        <w:rPr>
          <w:b/>
        </w:rPr>
        <w:t xml:space="preserve">VI.  </w:t>
      </w:r>
      <w:r w:rsidRPr="00E02068">
        <w:rPr>
          <w:b/>
          <w:u w:val="single"/>
        </w:rPr>
        <w:t>MONITORING/RECORDKEEPING</w:t>
      </w:r>
    </w:p>
    <w:p w14:paraId="4956910A" w14:textId="77777777" w:rsidR="00E02068" w:rsidRPr="00E02068" w:rsidRDefault="00E02068" w:rsidP="00E02068">
      <w:pPr>
        <w:jc w:val="both"/>
        <w:rPr>
          <w:sz w:val="20"/>
        </w:rPr>
      </w:pPr>
      <w:r w:rsidRPr="00E02068">
        <w:rPr>
          <w:sz w:val="20"/>
        </w:rPr>
        <w:t xml:space="preserve">Records shall be maintained on file for a period of five years.  </w:t>
      </w:r>
      <w:r w:rsidRPr="00E02068">
        <w:rPr>
          <w:b/>
          <w:sz w:val="20"/>
        </w:rPr>
        <w:t>(R 336.1213(3)(b)(ii))</w:t>
      </w:r>
    </w:p>
    <w:p w14:paraId="1906F970" w14:textId="77777777" w:rsidR="00E02068" w:rsidRPr="00E02068" w:rsidRDefault="00E02068" w:rsidP="000D2D1A">
      <w:pPr>
        <w:jc w:val="both"/>
        <w:rPr>
          <w:sz w:val="20"/>
        </w:rPr>
      </w:pPr>
    </w:p>
    <w:p w14:paraId="3B9BF822" w14:textId="77777777" w:rsidR="00E02068" w:rsidRPr="00E02068" w:rsidRDefault="00E02068" w:rsidP="00020C68">
      <w:pPr>
        <w:numPr>
          <w:ilvl w:val="0"/>
          <w:numId w:val="49"/>
        </w:numPr>
        <w:autoSpaceDE w:val="0"/>
        <w:autoSpaceDN w:val="0"/>
        <w:adjustRightInd w:val="0"/>
        <w:jc w:val="both"/>
        <w:rPr>
          <w:b/>
          <w:sz w:val="20"/>
        </w:rPr>
      </w:pPr>
      <w:r w:rsidRPr="00E02068">
        <w:rPr>
          <w:sz w:val="20"/>
        </w:rPr>
        <w:t xml:space="preserve">The permittee, upon request by the USEPA Administrator, demonstrate that its monthly throughput is less than the 10,000-gallon or the 100,000-gallon threshold level, as applicable. </w:t>
      </w:r>
      <w:r w:rsidRPr="00E02068">
        <w:rPr>
          <w:b/>
          <w:bCs/>
          <w:sz w:val="20"/>
        </w:rPr>
        <w:t>(40 CFR 63.11111(e))</w:t>
      </w:r>
    </w:p>
    <w:p w14:paraId="698AFDE6" w14:textId="77777777" w:rsidR="00E02068" w:rsidRPr="00E02068" w:rsidRDefault="00E02068" w:rsidP="000D2D1A">
      <w:pPr>
        <w:autoSpaceDE w:val="0"/>
        <w:autoSpaceDN w:val="0"/>
        <w:adjustRightInd w:val="0"/>
        <w:ind w:left="360"/>
        <w:jc w:val="both"/>
        <w:rPr>
          <w:b/>
          <w:sz w:val="20"/>
        </w:rPr>
      </w:pPr>
    </w:p>
    <w:p w14:paraId="143B60AF" w14:textId="5AABC0FB" w:rsidR="00E02068" w:rsidRPr="00E02068" w:rsidRDefault="000D2D1A" w:rsidP="00020C68">
      <w:pPr>
        <w:numPr>
          <w:ilvl w:val="0"/>
          <w:numId w:val="49"/>
        </w:numPr>
        <w:autoSpaceDE w:val="0"/>
        <w:autoSpaceDN w:val="0"/>
        <w:adjustRightInd w:val="0"/>
        <w:jc w:val="both"/>
        <w:rPr>
          <w:b/>
          <w:sz w:val="20"/>
        </w:rPr>
      </w:pPr>
      <w:r>
        <w:rPr>
          <w:sz w:val="20"/>
        </w:rPr>
        <w:t>The p</w:t>
      </w:r>
      <w:r w:rsidR="00E02068" w:rsidRPr="00E02068">
        <w:rPr>
          <w:sz w:val="20"/>
        </w:rPr>
        <w:t xml:space="preserve">ermittee must have records of the throughput available within 24 hours of a request by the administrator to document facility’s gasoline throughput. </w:t>
      </w:r>
      <w:r w:rsidR="00E165F6">
        <w:rPr>
          <w:sz w:val="20"/>
        </w:rPr>
        <w:t xml:space="preserve"> </w:t>
      </w:r>
      <w:r w:rsidR="00E02068" w:rsidRPr="00E02068">
        <w:rPr>
          <w:b/>
          <w:sz w:val="20"/>
        </w:rPr>
        <w:t>(40 CFR 63.11117(d))</w:t>
      </w:r>
    </w:p>
    <w:p w14:paraId="44F8E447" w14:textId="77777777" w:rsidR="00E02068" w:rsidRPr="00E02068" w:rsidRDefault="00E02068" w:rsidP="000D2D1A">
      <w:pPr>
        <w:autoSpaceDE w:val="0"/>
        <w:autoSpaceDN w:val="0"/>
        <w:adjustRightInd w:val="0"/>
        <w:ind w:left="360"/>
        <w:jc w:val="both"/>
        <w:rPr>
          <w:b/>
          <w:sz w:val="20"/>
        </w:rPr>
      </w:pPr>
    </w:p>
    <w:p w14:paraId="1B5A554E" w14:textId="77777777" w:rsidR="00E02068" w:rsidRPr="00E02068" w:rsidRDefault="00E02068" w:rsidP="00274AE8">
      <w:pPr>
        <w:numPr>
          <w:ilvl w:val="0"/>
          <w:numId w:val="49"/>
        </w:numPr>
        <w:autoSpaceDE w:val="0"/>
        <w:autoSpaceDN w:val="0"/>
        <w:adjustRightInd w:val="0"/>
        <w:spacing w:after="120"/>
        <w:jc w:val="both"/>
        <w:rPr>
          <w:b/>
          <w:sz w:val="20"/>
        </w:rPr>
      </w:pPr>
      <w:r w:rsidRPr="00E02068">
        <w:rPr>
          <w:rFonts w:cs="Arial"/>
          <w:sz w:val="20"/>
        </w:rPr>
        <w:t xml:space="preserve">The permittee must keep applicable records as specified in </w:t>
      </w:r>
      <w:r w:rsidRPr="00E02068">
        <w:rPr>
          <w:sz w:val="20"/>
        </w:rPr>
        <w:t>40 CFR 63.11125(d)</w:t>
      </w:r>
      <w:r w:rsidRPr="00E02068">
        <w:rPr>
          <w:rFonts w:cs="Arial"/>
          <w:sz w:val="20"/>
        </w:rPr>
        <w:t>.</w:t>
      </w:r>
    </w:p>
    <w:p w14:paraId="73875F2F" w14:textId="0A173680" w:rsidR="00E02068" w:rsidRPr="000D2D1A" w:rsidRDefault="00E02068" w:rsidP="00274AE8">
      <w:pPr>
        <w:pStyle w:val="ListParagraph"/>
        <w:numPr>
          <w:ilvl w:val="0"/>
          <w:numId w:val="55"/>
        </w:numPr>
        <w:spacing w:after="120"/>
        <w:jc w:val="both"/>
        <w:rPr>
          <w:rFonts w:cs="Arial"/>
          <w:sz w:val="20"/>
        </w:rPr>
      </w:pPr>
      <w:r w:rsidRPr="000D2D1A">
        <w:rPr>
          <w:rFonts w:cs="Arial"/>
          <w:sz w:val="20"/>
        </w:rPr>
        <w:t xml:space="preserve">Records of the occurrence and duration of each malfunction of operation (i.e., process equipment) or the air pollution control and monitoring equipment. </w:t>
      </w:r>
      <w:r w:rsidR="00E165F6">
        <w:rPr>
          <w:rFonts w:cs="Arial"/>
          <w:sz w:val="20"/>
        </w:rPr>
        <w:t xml:space="preserve"> </w:t>
      </w:r>
      <w:r w:rsidRPr="000D2D1A">
        <w:rPr>
          <w:rFonts w:cs="Arial"/>
          <w:b/>
          <w:bCs/>
          <w:sz w:val="20"/>
        </w:rPr>
        <w:t>(40</w:t>
      </w:r>
      <w:r w:rsidR="000D2D1A">
        <w:rPr>
          <w:rFonts w:cs="Arial"/>
          <w:b/>
          <w:bCs/>
          <w:sz w:val="20"/>
        </w:rPr>
        <w:t> </w:t>
      </w:r>
      <w:r w:rsidRPr="000D2D1A">
        <w:rPr>
          <w:rFonts w:cs="Arial"/>
          <w:b/>
          <w:bCs/>
          <w:sz w:val="20"/>
        </w:rPr>
        <w:t>CFR 63.1115(b),</w:t>
      </w:r>
      <w:r w:rsidRPr="000D2D1A">
        <w:rPr>
          <w:rFonts w:cs="Arial"/>
          <w:sz w:val="20"/>
        </w:rPr>
        <w:t xml:space="preserve"> </w:t>
      </w:r>
      <w:r w:rsidRPr="000D2D1A">
        <w:rPr>
          <w:b/>
          <w:bCs/>
          <w:sz w:val="20"/>
        </w:rPr>
        <w:t>40 CFR 63.11125(d)</w:t>
      </w:r>
      <w:r w:rsidRPr="000D2D1A">
        <w:rPr>
          <w:rFonts w:cs="Arial"/>
          <w:b/>
          <w:bCs/>
          <w:sz w:val="20"/>
        </w:rPr>
        <w:t>(1))</w:t>
      </w:r>
    </w:p>
    <w:p w14:paraId="2B5B83B7" w14:textId="61D57FE6" w:rsidR="00E02068" w:rsidRPr="000D2D1A" w:rsidRDefault="00E02068" w:rsidP="00274AE8">
      <w:pPr>
        <w:pStyle w:val="ListParagraph"/>
        <w:numPr>
          <w:ilvl w:val="0"/>
          <w:numId w:val="55"/>
        </w:numPr>
        <w:jc w:val="both"/>
        <w:rPr>
          <w:rFonts w:cs="Arial"/>
          <w:sz w:val="20"/>
        </w:rPr>
      </w:pPr>
      <w:r w:rsidRPr="000D2D1A">
        <w:rPr>
          <w:rFonts w:cs="Arial"/>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Pr="000D2D1A">
        <w:rPr>
          <w:rFonts w:cs="Arial"/>
          <w:b/>
          <w:bCs/>
          <w:sz w:val="20"/>
        </w:rPr>
        <w:t>(40</w:t>
      </w:r>
      <w:r w:rsidR="000D2D1A">
        <w:rPr>
          <w:rFonts w:cs="Arial"/>
          <w:b/>
          <w:bCs/>
          <w:sz w:val="20"/>
        </w:rPr>
        <w:t> </w:t>
      </w:r>
      <w:r w:rsidRPr="000D2D1A">
        <w:rPr>
          <w:rFonts w:cs="Arial"/>
          <w:b/>
          <w:bCs/>
          <w:sz w:val="20"/>
        </w:rPr>
        <w:t>CFR 63.1115(b),</w:t>
      </w:r>
      <w:r w:rsidRPr="000D2D1A">
        <w:rPr>
          <w:rFonts w:cs="Arial"/>
          <w:sz w:val="20"/>
        </w:rPr>
        <w:t xml:space="preserve"> </w:t>
      </w:r>
      <w:r w:rsidRPr="000D2D1A">
        <w:rPr>
          <w:b/>
          <w:bCs/>
          <w:sz w:val="20"/>
        </w:rPr>
        <w:t>40 CFR 63.11125(d)</w:t>
      </w:r>
      <w:r w:rsidRPr="000D2D1A">
        <w:rPr>
          <w:rFonts w:cs="Arial"/>
          <w:b/>
          <w:bCs/>
          <w:sz w:val="20"/>
        </w:rPr>
        <w:t>(2))</w:t>
      </w:r>
    </w:p>
    <w:p w14:paraId="45F81AC7" w14:textId="77777777" w:rsidR="00E02068" w:rsidRPr="00E02068" w:rsidRDefault="00E02068" w:rsidP="00E02068">
      <w:pPr>
        <w:autoSpaceDE w:val="0"/>
        <w:autoSpaceDN w:val="0"/>
        <w:adjustRightInd w:val="0"/>
        <w:ind w:left="360"/>
        <w:jc w:val="both"/>
        <w:rPr>
          <w:b/>
          <w:sz w:val="20"/>
        </w:rPr>
      </w:pPr>
    </w:p>
    <w:p w14:paraId="5A282254" w14:textId="77777777" w:rsidR="00E02068" w:rsidRPr="00E02068" w:rsidRDefault="00E02068" w:rsidP="00E02068">
      <w:pPr>
        <w:jc w:val="both"/>
        <w:rPr>
          <w:b/>
          <w:u w:val="single"/>
        </w:rPr>
      </w:pPr>
      <w:r w:rsidRPr="00E02068">
        <w:rPr>
          <w:b/>
        </w:rPr>
        <w:t xml:space="preserve">VII.  </w:t>
      </w:r>
      <w:r w:rsidRPr="00E02068">
        <w:rPr>
          <w:b/>
          <w:u w:val="single"/>
        </w:rPr>
        <w:t>REPORTING</w:t>
      </w:r>
    </w:p>
    <w:p w14:paraId="068933CB" w14:textId="77777777" w:rsidR="00E165F6" w:rsidRPr="008B5C27" w:rsidRDefault="00E165F6" w:rsidP="00E165F6">
      <w:pPr>
        <w:jc w:val="both"/>
        <w:rPr>
          <w:sz w:val="20"/>
        </w:rPr>
      </w:pPr>
    </w:p>
    <w:p w14:paraId="5894A8C5" w14:textId="77777777" w:rsidR="00E165F6" w:rsidRDefault="00E165F6" w:rsidP="00E165F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A1B65FB" w14:textId="77777777" w:rsidR="00E165F6" w:rsidRPr="00C0388E" w:rsidRDefault="00E165F6" w:rsidP="00E165F6">
      <w:pPr>
        <w:ind w:left="360" w:hanging="360"/>
        <w:jc w:val="both"/>
        <w:rPr>
          <w:sz w:val="20"/>
        </w:rPr>
      </w:pPr>
    </w:p>
    <w:p w14:paraId="682434E8" w14:textId="77777777" w:rsidR="00E165F6" w:rsidRDefault="00E165F6" w:rsidP="00E165F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00EA99B" w14:textId="77777777" w:rsidR="00E165F6" w:rsidRPr="00C0388E" w:rsidRDefault="00E165F6" w:rsidP="00E165F6">
      <w:pPr>
        <w:ind w:left="360" w:hanging="360"/>
        <w:jc w:val="both"/>
        <w:rPr>
          <w:sz w:val="20"/>
        </w:rPr>
      </w:pPr>
    </w:p>
    <w:p w14:paraId="5D8D8CC7" w14:textId="77777777" w:rsidR="00E165F6" w:rsidRPr="00C0388E" w:rsidRDefault="00E165F6" w:rsidP="00E165F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A5E9699" w14:textId="77777777" w:rsidR="00E165F6" w:rsidRPr="0007707C" w:rsidRDefault="00E165F6" w:rsidP="00E165F6">
      <w:pPr>
        <w:ind w:right="72"/>
        <w:jc w:val="both"/>
        <w:rPr>
          <w:rFonts w:cs="Arial"/>
          <w:sz w:val="20"/>
        </w:rPr>
      </w:pPr>
    </w:p>
    <w:p w14:paraId="5B5ADABC" w14:textId="5224304F" w:rsidR="00E02068" w:rsidRPr="00E02068" w:rsidRDefault="00E02068" w:rsidP="000D2D1A">
      <w:pPr>
        <w:spacing w:after="120"/>
        <w:ind w:left="360" w:right="72" w:hanging="360"/>
        <w:jc w:val="both"/>
        <w:rPr>
          <w:rFonts w:cs="Arial"/>
          <w:b/>
          <w:sz w:val="20"/>
        </w:rPr>
      </w:pPr>
      <w:r w:rsidRPr="00E02068">
        <w:rPr>
          <w:rFonts w:cs="Arial"/>
          <w:sz w:val="20"/>
        </w:rPr>
        <w:lastRenderedPageBreak/>
        <w:t>4.</w:t>
      </w:r>
      <w:r w:rsidRPr="00E02068">
        <w:rPr>
          <w:rFonts w:cs="Arial"/>
          <w:sz w:val="20"/>
        </w:rPr>
        <w:tab/>
        <w:t xml:space="preserve">The permittee shall submit an initial notification that you are subject to this subpart by May 9, 2008, or no later than 120 days after the facility becomes subject to 40 CFR </w:t>
      </w:r>
      <w:r w:rsidR="00441340">
        <w:rPr>
          <w:rFonts w:cs="Arial"/>
          <w:sz w:val="20"/>
        </w:rPr>
        <w:t xml:space="preserve">Part </w:t>
      </w:r>
      <w:r w:rsidRPr="00E02068">
        <w:rPr>
          <w:rFonts w:cs="Arial"/>
          <w:sz w:val="20"/>
        </w:rPr>
        <w:t xml:space="preserve">63, Subpart CCCCCC or at the time the facility becomes subject to the control requirements in 40 CFR 63.11117, unless the facility meets the requirements in SC VII.6 below. </w:t>
      </w:r>
      <w:r w:rsidR="00E165F6">
        <w:rPr>
          <w:rFonts w:cs="Arial"/>
          <w:sz w:val="20"/>
        </w:rPr>
        <w:t xml:space="preserve"> </w:t>
      </w:r>
      <w:r w:rsidRPr="00E02068">
        <w:rPr>
          <w:rFonts w:cs="Arial"/>
          <w:sz w:val="20"/>
        </w:rPr>
        <w:t xml:space="preserve">The notification must be submitted to the applicable EPA Regional Office and delegated State authority as specified in 40 CFR 63.13. </w:t>
      </w:r>
      <w:r w:rsidR="00E165F6">
        <w:rPr>
          <w:rFonts w:cs="Arial"/>
          <w:sz w:val="20"/>
        </w:rPr>
        <w:t xml:space="preserve"> </w:t>
      </w:r>
      <w:r w:rsidRPr="00E02068">
        <w:rPr>
          <w:rFonts w:cs="Arial"/>
          <w:sz w:val="20"/>
        </w:rPr>
        <w:t xml:space="preserve">The initial notification must contain the following information: </w:t>
      </w:r>
      <w:r w:rsidR="000D2D1A">
        <w:rPr>
          <w:rFonts w:cs="Arial"/>
          <w:sz w:val="20"/>
        </w:rPr>
        <w:t xml:space="preserve"> </w:t>
      </w:r>
      <w:r w:rsidRPr="00E02068">
        <w:rPr>
          <w:rFonts w:cs="Arial"/>
          <w:b/>
          <w:bCs/>
          <w:sz w:val="20"/>
        </w:rPr>
        <w:t>(40 CFR 63.11117(e),</w:t>
      </w:r>
      <w:r w:rsidRPr="00E02068">
        <w:rPr>
          <w:rFonts w:cs="Arial"/>
          <w:sz w:val="20"/>
        </w:rPr>
        <w:t xml:space="preserve"> </w:t>
      </w:r>
      <w:r w:rsidRPr="00E02068">
        <w:rPr>
          <w:rFonts w:cs="Arial"/>
          <w:b/>
          <w:sz w:val="20"/>
        </w:rPr>
        <w:t>40 CFR 63.11124(a)(1))</w:t>
      </w:r>
    </w:p>
    <w:p w14:paraId="47863C2F" w14:textId="77777777" w:rsidR="00E02068" w:rsidRPr="00E02068" w:rsidRDefault="00E02068" w:rsidP="000D2D1A">
      <w:pPr>
        <w:spacing w:after="120"/>
        <w:ind w:left="360" w:right="72"/>
        <w:jc w:val="both"/>
        <w:rPr>
          <w:rFonts w:cs="Arial"/>
          <w:sz w:val="20"/>
        </w:rPr>
      </w:pPr>
      <w:r w:rsidRPr="00E02068">
        <w:rPr>
          <w:rFonts w:cs="Arial"/>
          <w:sz w:val="20"/>
        </w:rPr>
        <w:t>a.</w:t>
      </w:r>
      <w:r w:rsidRPr="00E02068">
        <w:rPr>
          <w:rFonts w:cs="Arial"/>
          <w:sz w:val="20"/>
        </w:rPr>
        <w:tab/>
        <w:t>The name and address of the owner and the operator.</w:t>
      </w:r>
    </w:p>
    <w:p w14:paraId="03BFA168" w14:textId="77777777" w:rsidR="00E02068" w:rsidRPr="00E02068" w:rsidRDefault="00E02068" w:rsidP="000D2D1A">
      <w:pPr>
        <w:spacing w:after="120"/>
        <w:ind w:right="72" w:firstLine="360"/>
        <w:jc w:val="both"/>
        <w:rPr>
          <w:rFonts w:cs="Arial"/>
          <w:sz w:val="20"/>
        </w:rPr>
      </w:pPr>
      <w:r w:rsidRPr="00E02068">
        <w:rPr>
          <w:rFonts w:cs="Arial"/>
          <w:sz w:val="20"/>
        </w:rPr>
        <w:t>b.</w:t>
      </w:r>
      <w:r w:rsidRPr="00E02068">
        <w:rPr>
          <w:rFonts w:cs="Arial"/>
          <w:sz w:val="20"/>
        </w:rPr>
        <w:tab/>
        <w:t>The address (i.e., physical location) of the GDF.</w:t>
      </w:r>
    </w:p>
    <w:p w14:paraId="699FCD73" w14:textId="66917904" w:rsidR="00E02068" w:rsidRPr="00E02068" w:rsidRDefault="00E02068" w:rsidP="00E02068">
      <w:pPr>
        <w:ind w:left="720" w:right="72" w:hanging="360"/>
        <w:jc w:val="both"/>
        <w:rPr>
          <w:rFonts w:cs="Arial"/>
          <w:sz w:val="20"/>
        </w:rPr>
      </w:pPr>
      <w:r w:rsidRPr="00E02068">
        <w:rPr>
          <w:rFonts w:cs="Arial"/>
          <w:sz w:val="20"/>
        </w:rPr>
        <w:t>c.</w:t>
      </w:r>
      <w:r w:rsidRPr="00E02068">
        <w:rPr>
          <w:rFonts w:cs="Arial"/>
          <w:sz w:val="20"/>
        </w:rPr>
        <w:tab/>
        <w:t xml:space="preserve">A statement that the notification is being submitted in response to this subpart (Gasoline Distribution Area MACT, 40 CFR </w:t>
      </w:r>
      <w:r w:rsidR="00441340">
        <w:rPr>
          <w:rFonts w:cs="Arial"/>
          <w:sz w:val="20"/>
        </w:rPr>
        <w:t xml:space="preserve">Part </w:t>
      </w:r>
      <w:r w:rsidRPr="00E02068">
        <w:rPr>
          <w:rFonts w:cs="Arial"/>
          <w:sz w:val="20"/>
        </w:rPr>
        <w:t>63</w:t>
      </w:r>
      <w:r w:rsidR="00441340">
        <w:rPr>
          <w:rFonts w:cs="Arial"/>
          <w:sz w:val="20"/>
        </w:rPr>
        <w:t>,</w:t>
      </w:r>
      <w:r w:rsidRPr="00E02068">
        <w:rPr>
          <w:rFonts w:cs="Arial"/>
          <w:sz w:val="20"/>
        </w:rPr>
        <w:t xml:space="preserve"> Subpart CCCCCC) and identifying the requirements in paragraphs (a), (b), and (c)(1) or paragraph (c)(2) of</w:t>
      </w:r>
      <w:r w:rsidR="00E165F6">
        <w:rPr>
          <w:rFonts w:cs="Arial"/>
          <w:sz w:val="20"/>
        </w:rPr>
        <w:t xml:space="preserve"> 40 CFR</w:t>
      </w:r>
      <w:r w:rsidRPr="00E02068">
        <w:rPr>
          <w:rFonts w:cs="Arial"/>
          <w:sz w:val="20"/>
        </w:rPr>
        <w:t xml:space="preserve"> 63.11117 that apply to the facility. </w:t>
      </w:r>
    </w:p>
    <w:p w14:paraId="3299973C" w14:textId="5E8B507C" w:rsidR="00E02068" w:rsidRPr="00E02068" w:rsidRDefault="00E02068" w:rsidP="00E02068">
      <w:pPr>
        <w:ind w:left="360" w:right="72"/>
        <w:jc w:val="both"/>
        <w:rPr>
          <w:rFonts w:cs="Arial"/>
          <w:sz w:val="20"/>
        </w:rPr>
      </w:pPr>
    </w:p>
    <w:p w14:paraId="494BA633" w14:textId="3515525C" w:rsidR="00E02068" w:rsidRPr="00E02068" w:rsidRDefault="00E02068" w:rsidP="00E02068">
      <w:pPr>
        <w:ind w:left="360" w:hanging="360"/>
        <w:jc w:val="both"/>
        <w:rPr>
          <w:sz w:val="20"/>
        </w:rPr>
      </w:pPr>
      <w:r w:rsidRPr="00E02068">
        <w:rPr>
          <w:rFonts w:cs="Arial"/>
          <w:sz w:val="20"/>
        </w:rPr>
        <w:t>5.</w:t>
      </w:r>
      <w:r w:rsidRPr="00E02068">
        <w:rPr>
          <w:rFonts w:cs="Arial"/>
          <w:sz w:val="20"/>
        </w:rPr>
        <w:tab/>
        <w:t xml:space="preserve">The permittee shall </w:t>
      </w:r>
      <w:r w:rsidRPr="00E02068">
        <w:rPr>
          <w:sz w:val="20"/>
        </w:rPr>
        <w:t xml:space="preserve">submit a Notification of Compliance Status to the applicable USEPA Regional Office and the delegated state authority, as specified in 40 CFR 63.13, in accordance with the schedule specified in 40 CFR 63.9(h), unless the facility meets the requirements in SC VII.6 below.  </w:t>
      </w:r>
      <w:r w:rsidR="000D2D1A" w:rsidRPr="000D2D1A">
        <w:rPr>
          <w:b/>
          <w:bCs/>
          <w:sz w:val="20"/>
        </w:rPr>
        <w:t>(</w:t>
      </w:r>
      <w:r w:rsidRPr="00E02068">
        <w:rPr>
          <w:b/>
          <w:bCs/>
          <w:sz w:val="20"/>
        </w:rPr>
        <w:t>40 CFR 63.11124(a)(2))</w:t>
      </w:r>
    </w:p>
    <w:p w14:paraId="7633BE5A" w14:textId="77777777" w:rsidR="00E02068" w:rsidRPr="00E02068" w:rsidRDefault="00E02068" w:rsidP="00E02068">
      <w:pPr>
        <w:ind w:left="360" w:right="72" w:hanging="360"/>
        <w:jc w:val="both"/>
        <w:rPr>
          <w:rFonts w:cs="Arial"/>
          <w:sz w:val="20"/>
        </w:rPr>
      </w:pPr>
    </w:p>
    <w:p w14:paraId="3A1A7C01" w14:textId="0E055271" w:rsidR="00E02068" w:rsidRPr="00E02068" w:rsidRDefault="00E02068" w:rsidP="00E02068">
      <w:pPr>
        <w:ind w:left="360" w:right="72" w:hanging="360"/>
        <w:jc w:val="both"/>
        <w:rPr>
          <w:rFonts w:cs="Arial"/>
          <w:b/>
          <w:sz w:val="20"/>
        </w:rPr>
      </w:pPr>
      <w:r w:rsidRPr="00E02068">
        <w:rPr>
          <w:rFonts w:cs="Arial"/>
          <w:sz w:val="20"/>
        </w:rPr>
        <w:t>6.</w:t>
      </w:r>
      <w:r w:rsidRPr="00E02068">
        <w:rPr>
          <w:rFonts w:cs="Arial"/>
          <w:sz w:val="20"/>
        </w:rPr>
        <w:tab/>
        <w:t xml:space="preserve">If, prior to January 10, 2008, facility was operating in compliance with an enforceable State, local, or tribal rule or permit that requires submerged fill as specified in 40 CFR 63.11117(b), the facility is not required to submit an Initial Notification or a Notification of Compliance Status under SC VII.4 or SC VII.5 listed above. </w:t>
      </w:r>
      <w:r w:rsidR="000D2D1A">
        <w:rPr>
          <w:rFonts w:cs="Arial"/>
          <w:sz w:val="20"/>
        </w:rPr>
        <w:t xml:space="preserve"> </w:t>
      </w:r>
      <w:r w:rsidRPr="00E02068">
        <w:rPr>
          <w:rFonts w:cs="Arial"/>
          <w:b/>
          <w:sz w:val="20"/>
        </w:rPr>
        <w:t>(40 CFR 63.11124(a)(3))</w:t>
      </w:r>
    </w:p>
    <w:p w14:paraId="25140F34" w14:textId="77777777" w:rsidR="00E02068" w:rsidRPr="00E02068" w:rsidRDefault="00E02068" w:rsidP="00E02068">
      <w:pPr>
        <w:ind w:left="360" w:right="72" w:hanging="360"/>
        <w:jc w:val="both"/>
        <w:rPr>
          <w:rFonts w:cs="Arial"/>
          <w:b/>
          <w:sz w:val="20"/>
        </w:rPr>
      </w:pPr>
    </w:p>
    <w:p w14:paraId="0D97F365" w14:textId="28625FD4" w:rsidR="00E02068" w:rsidRPr="00E02068" w:rsidRDefault="00E02068" w:rsidP="00E02068">
      <w:pPr>
        <w:ind w:left="360" w:right="72" w:hanging="360"/>
        <w:jc w:val="both"/>
        <w:rPr>
          <w:rFonts w:cs="Arial"/>
          <w:sz w:val="20"/>
        </w:rPr>
      </w:pPr>
      <w:r w:rsidRPr="00E02068">
        <w:rPr>
          <w:rFonts w:cs="Arial"/>
          <w:bCs/>
          <w:sz w:val="20"/>
        </w:rPr>
        <w:t xml:space="preserve">7. </w:t>
      </w:r>
      <w:r w:rsidRPr="00E02068">
        <w:rPr>
          <w:bCs/>
          <w:sz w:val="20"/>
        </w:rPr>
        <w:t xml:space="preserve"> </w:t>
      </w:r>
      <w:r w:rsidRPr="00E02068">
        <w:rPr>
          <w:sz w:val="20"/>
        </w:rPr>
        <w:tab/>
        <w:t>The permittee must submit reports as specified in 40 CFR 63.11126(b).  Each owner or operator of an affected source shall report, by March 15 of each year, the number, duration, and a brief description of each type of malfunction which occurred during the previous calendar year and which caused or may have caused any applicable emission limitation to be exceeded.  The report must also include a description of actions taken by an owner or operator during a malfunction of an affected source to minimize emissions in accordance with 40</w:t>
      </w:r>
      <w:r w:rsidR="00E165F6">
        <w:rPr>
          <w:sz w:val="20"/>
        </w:rPr>
        <w:t> </w:t>
      </w:r>
      <w:r w:rsidRPr="00E02068">
        <w:rPr>
          <w:sz w:val="20"/>
        </w:rPr>
        <w:t>CFR 63.11115(a), including actions taken to correct a malfunction.  No report is necessary for a calendar year in which no malfunctions occurred.</w:t>
      </w:r>
      <w:r w:rsidRPr="00E02068">
        <w:rPr>
          <w:b/>
          <w:bCs/>
          <w:sz w:val="20"/>
        </w:rPr>
        <w:t xml:space="preserve">  (40 CFR 63.11126(b))</w:t>
      </w:r>
    </w:p>
    <w:p w14:paraId="19611155" w14:textId="77777777" w:rsidR="00E02068" w:rsidRPr="00E02068" w:rsidRDefault="00E02068" w:rsidP="00E02068">
      <w:pPr>
        <w:ind w:right="72"/>
        <w:jc w:val="both"/>
        <w:rPr>
          <w:rFonts w:cs="Arial"/>
          <w:sz w:val="20"/>
        </w:rPr>
      </w:pPr>
    </w:p>
    <w:p w14:paraId="3BE2A0BA" w14:textId="77777777" w:rsidR="00E02068" w:rsidRPr="00E02068" w:rsidRDefault="00E02068" w:rsidP="00E02068">
      <w:pPr>
        <w:jc w:val="both"/>
        <w:rPr>
          <w:rFonts w:cs="Arial"/>
          <w:b/>
          <w:sz w:val="20"/>
        </w:rPr>
      </w:pPr>
      <w:r w:rsidRPr="00E02068">
        <w:rPr>
          <w:rFonts w:cs="Arial"/>
          <w:b/>
          <w:sz w:val="20"/>
        </w:rPr>
        <w:t>See Appendix 8</w:t>
      </w:r>
    </w:p>
    <w:p w14:paraId="003CD7EA" w14:textId="77777777" w:rsidR="00E02068" w:rsidRPr="00E02068" w:rsidRDefault="00E02068" w:rsidP="00E02068">
      <w:pPr>
        <w:jc w:val="both"/>
        <w:rPr>
          <w:rFonts w:cs="Arial"/>
          <w:b/>
          <w:sz w:val="20"/>
        </w:rPr>
      </w:pPr>
    </w:p>
    <w:p w14:paraId="3933E567" w14:textId="77777777" w:rsidR="00E02068" w:rsidRPr="00E02068" w:rsidRDefault="00E02068" w:rsidP="00E02068">
      <w:pPr>
        <w:jc w:val="both"/>
      </w:pPr>
      <w:r w:rsidRPr="00E02068">
        <w:rPr>
          <w:b/>
        </w:rPr>
        <w:t xml:space="preserve">VIII.  </w:t>
      </w:r>
      <w:r w:rsidRPr="00E02068">
        <w:rPr>
          <w:b/>
          <w:u w:val="single"/>
        </w:rPr>
        <w:t>STACK/VENT RESTRICTION(S)</w:t>
      </w:r>
    </w:p>
    <w:p w14:paraId="16F47F82" w14:textId="77777777" w:rsidR="00E02068" w:rsidRPr="00E02068" w:rsidRDefault="00E02068" w:rsidP="00E02068">
      <w:pPr>
        <w:jc w:val="both"/>
        <w:rPr>
          <w:sz w:val="20"/>
        </w:rPr>
      </w:pPr>
    </w:p>
    <w:p w14:paraId="3CCC4CFB" w14:textId="77777777" w:rsidR="00E02068" w:rsidRPr="00E02068" w:rsidRDefault="00E02068" w:rsidP="00E02068">
      <w:pPr>
        <w:jc w:val="both"/>
        <w:rPr>
          <w:sz w:val="20"/>
        </w:rPr>
      </w:pPr>
      <w:r w:rsidRPr="00E02068">
        <w:rPr>
          <w:sz w:val="20"/>
        </w:rPr>
        <w:t>NA</w:t>
      </w:r>
    </w:p>
    <w:p w14:paraId="04B22037" w14:textId="77777777" w:rsidR="00E02068" w:rsidRPr="00E02068" w:rsidRDefault="00E02068" w:rsidP="00E02068">
      <w:pPr>
        <w:jc w:val="both"/>
        <w:rPr>
          <w:rFonts w:cs="Arial"/>
          <w:sz w:val="20"/>
        </w:rPr>
      </w:pPr>
    </w:p>
    <w:p w14:paraId="46ED6E67" w14:textId="77777777" w:rsidR="00E02068" w:rsidRPr="00E02068" w:rsidRDefault="00E02068" w:rsidP="00E02068">
      <w:pPr>
        <w:jc w:val="both"/>
      </w:pPr>
      <w:r w:rsidRPr="00E02068">
        <w:rPr>
          <w:b/>
        </w:rPr>
        <w:t xml:space="preserve">IX.  </w:t>
      </w:r>
      <w:r w:rsidRPr="00E02068">
        <w:rPr>
          <w:b/>
          <w:u w:val="single"/>
        </w:rPr>
        <w:t>OTHER REQUIREMENT(S)</w:t>
      </w:r>
    </w:p>
    <w:p w14:paraId="1DB1518B" w14:textId="77777777" w:rsidR="00E02068" w:rsidRPr="00E02068" w:rsidRDefault="00E02068" w:rsidP="00E02068">
      <w:pPr>
        <w:jc w:val="both"/>
        <w:rPr>
          <w:sz w:val="20"/>
        </w:rPr>
      </w:pPr>
    </w:p>
    <w:p w14:paraId="3691F918" w14:textId="1733C4B3" w:rsidR="00E02068" w:rsidRPr="00E02068" w:rsidRDefault="00E02068" w:rsidP="00E02068">
      <w:pPr>
        <w:ind w:left="360" w:hanging="360"/>
        <w:jc w:val="both"/>
        <w:rPr>
          <w:sz w:val="20"/>
        </w:rPr>
      </w:pPr>
      <w:r w:rsidRPr="00E02068">
        <w:rPr>
          <w:sz w:val="20"/>
        </w:rPr>
        <w:t>1.</w:t>
      </w:r>
      <w:r w:rsidRPr="00E02068">
        <w:rPr>
          <w:sz w:val="20"/>
        </w:rPr>
        <w:tab/>
      </w:r>
      <w:bookmarkStart w:id="87" w:name="_Hlk133578531"/>
      <w:r w:rsidRPr="00E02068">
        <w:rPr>
          <w:sz w:val="20"/>
        </w:rPr>
        <w:t>An affected source shall, upon request by the Administrator, demonstrate that their monthly throughput is less than the 10,000-gallon or the 100,000-gallon threshold level, as applicable.</w:t>
      </w:r>
      <w:bookmarkEnd w:id="87"/>
      <w:r w:rsidR="00E165F6">
        <w:rPr>
          <w:sz w:val="20"/>
        </w:rPr>
        <w:t xml:space="preserve"> </w:t>
      </w:r>
      <w:r w:rsidRPr="00E02068">
        <w:rPr>
          <w:sz w:val="20"/>
        </w:rPr>
        <w:t xml:space="preserve"> For new or reconstructed affected sources, as specified in 40 CFR 63.11112(b) and (c), recordkeeping to document monthly throughput must begin upon startup of the affected source.</w:t>
      </w:r>
      <w:r w:rsidR="00E165F6">
        <w:rPr>
          <w:sz w:val="20"/>
        </w:rPr>
        <w:t xml:space="preserve"> </w:t>
      </w:r>
      <w:r w:rsidRPr="00E02068">
        <w:rPr>
          <w:sz w:val="20"/>
        </w:rPr>
        <w:t xml:space="preserve"> For existing sources, as specified in 40 CFR 63.11112(d), recordkeeping to document monthly throughput must begin on January 10, 2008. </w:t>
      </w:r>
      <w:r w:rsidR="00E165F6">
        <w:rPr>
          <w:sz w:val="20"/>
        </w:rPr>
        <w:t xml:space="preserve"> </w:t>
      </w:r>
      <w:r w:rsidRPr="00E02068">
        <w:rPr>
          <w:sz w:val="20"/>
        </w:rPr>
        <w:t xml:space="preserve">For existing sources that are subject to this subpart only because they load gasoline into fuel tanks other than those in motor vehicles, as defined in 40 CFR 63.11132, recordkeeping to document monthly throughput must begin on January 24, 2011. </w:t>
      </w:r>
      <w:r w:rsidR="00E165F6">
        <w:rPr>
          <w:sz w:val="20"/>
        </w:rPr>
        <w:t xml:space="preserve"> </w:t>
      </w:r>
      <w:r w:rsidRPr="00E02068">
        <w:rPr>
          <w:sz w:val="20"/>
        </w:rPr>
        <w:t>Records required under this paragraph shall be kept for a period of 5 years.</w:t>
      </w:r>
      <w:r w:rsidR="000D2D1A">
        <w:rPr>
          <w:sz w:val="20"/>
        </w:rPr>
        <w:t xml:space="preserve">  </w:t>
      </w:r>
      <w:r w:rsidR="0065676D" w:rsidRPr="0065676D">
        <w:rPr>
          <w:b/>
          <w:bCs/>
          <w:sz w:val="20"/>
        </w:rPr>
        <w:t>(40 CFR 63.11132)</w:t>
      </w:r>
    </w:p>
    <w:p w14:paraId="190DDF05" w14:textId="77777777" w:rsidR="00E02068" w:rsidRPr="00E02068" w:rsidRDefault="00E02068" w:rsidP="00E02068">
      <w:pPr>
        <w:ind w:left="360" w:hanging="360"/>
        <w:jc w:val="both"/>
        <w:rPr>
          <w:sz w:val="20"/>
        </w:rPr>
      </w:pPr>
    </w:p>
    <w:p w14:paraId="4431795D" w14:textId="77777777" w:rsidR="00E02068" w:rsidRPr="00E02068" w:rsidRDefault="00E02068" w:rsidP="00E02068">
      <w:pPr>
        <w:ind w:left="360" w:hanging="360"/>
        <w:jc w:val="both"/>
        <w:rPr>
          <w:rFonts w:cs="Arial"/>
          <w:b/>
          <w:sz w:val="20"/>
        </w:rPr>
      </w:pPr>
      <w:r w:rsidRPr="00E02068">
        <w:rPr>
          <w:sz w:val="20"/>
        </w:rPr>
        <w:t>2.</w:t>
      </w:r>
      <w:r w:rsidRPr="00E02068">
        <w:rPr>
          <w:sz w:val="20"/>
        </w:rPr>
        <w:tab/>
        <w:t>The permittee shall comply with all applicable provisions of the National Emission Standards for Hazardous Air Pollutants, as specified in 40 CFR Part 63, Subpart A and Subpart CCCCCC, for Gasoline Dispensing Facilities.</w:t>
      </w:r>
      <w:r w:rsidRPr="00E02068">
        <w:t xml:space="preserve">  </w:t>
      </w:r>
      <w:r w:rsidRPr="00E02068">
        <w:rPr>
          <w:b/>
          <w:sz w:val="20"/>
        </w:rPr>
        <w:t>(40 CFR Part 63, Subparts A and CCCCCC</w:t>
      </w:r>
      <w:r w:rsidRPr="00E02068">
        <w:rPr>
          <w:rFonts w:cs="Arial"/>
          <w:b/>
          <w:sz w:val="20"/>
        </w:rPr>
        <w:t xml:space="preserve">) </w:t>
      </w:r>
    </w:p>
    <w:p w14:paraId="3909C79E" w14:textId="77777777" w:rsidR="00E02068" w:rsidRPr="00E02068" w:rsidRDefault="00E02068" w:rsidP="00E02068">
      <w:pPr>
        <w:spacing w:after="160" w:line="259" w:lineRule="auto"/>
        <w:rPr>
          <w:rFonts w:asciiTheme="minorHAnsi" w:eastAsiaTheme="minorHAnsi" w:hAnsiTheme="minorHAnsi" w:cstheme="minorBidi"/>
          <w:szCs w:val="22"/>
        </w:rPr>
      </w:pPr>
    </w:p>
    <w:p w14:paraId="75EF2BFE" w14:textId="77777777" w:rsidR="00C67C9B" w:rsidRDefault="00C67C9B" w:rsidP="00C67C9B">
      <w:pPr>
        <w:rPr>
          <w:sz w:val="20"/>
        </w:rPr>
      </w:pPr>
      <w:r>
        <w:rPr>
          <w:sz w:val="20"/>
        </w:rPr>
        <w:br w:type="page"/>
      </w:r>
    </w:p>
    <w:p w14:paraId="70C58E03" w14:textId="77777777" w:rsidR="005E5399" w:rsidRPr="00440957" w:rsidRDefault="00FE2A0A" w:rsidP="001B5E34">
      <w:pPr>
        <w:pStyle w:val="Heading1"/>
        <w:rPr>
          <w:sz w:val="20"/>
          <w:szCs w:val="20"/>
        </w:rPr>
      </w:pPr>
      <w:bookmarkStart w:id="88" w:name="_Toc159914030"/>
      <w:r w:rsidRPr="001B5E34">
        <w:lastRenderedPageBreak/>
        <w:t>E</w:t>
      </w:r>
      <w:r w:rsidR="005E5399" w:rsidRPr="001B5E34">
        <w:t>.  NON-APPLICABLE REQUIREMENTS</w:t>
      </w:r>
      <w:bookmarkEnd w:id="78"/>
      <w:bookmarkEnd w:id="88"/>
    </w:p>
    <w:p w14:paraId="65E60625" w14:textId="77777777" w:rsidR="005B2191" w:rsidRDefault="005B2191" w:rsidP="005B2191">
      <w:pPr>
        <w:jc w:val="both"/>
        <w:rPr>
          <w:rFonts w:cs="Arial"/>
          <w:sz w:val="20"/>
        </w:rPr>
      </w:pPr>
    </w:p>
    <w:p w14:paraId="72629198" w14:textId="77777777" w:rsidR="00FD265B" w:rsidRPr="00EE5F4E" w:rsidRDefault="00FD265B" w:rsidP="004F09CF">
      <w:pPr>
        <w:jc w:val="both"/>
        <w:rPr>
          <w:sz w:val="20"/>
        </w:rPr>
      </w:pPr>
    </w:p>
    <w:p w14:paraId="4A78633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78202BB" w14:textId="77777777" w:rsidR="000822B4" w:rsidRDefault="000822B4" w:rsidP="00D10803">
      <w:pPr>
        <w:jc w:val="both"/>
      </w:pPr>
    </w:p>
    <w:p w14:paraId="21AF6EB1" w14:textId="77777777" w:rsidR="00447D64" w:rsidRDefault="00447D64" w:rsidP="00D10803">
      <w:pPr>
        <w:jc w:val="both"/>
      </w:pPr>
    </w:p>
    <w:p w14:paraId="62363CF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C87C7E0" w14:textId="77777777" w:rsidTr="00B10CBB">
        <w:trPr>
          <w:cantSplit/>
          <w:trHeight w:val="226"/>
        </w:trPr>
        <w:tc>
          <w:tcPr>
            <w:tcW w:w="10271" w:type="dxa"/>
          </w:tcPr>
          <w:p w14:paraId="55CDA034"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9" w:name="_Toc367698521"/>
            <w:bookmarkStart w:id="90" w:name="_Toc159914031"/>
            <w:r w:rsidRPr="00253A7B">
              <w:rPr>
                <w:b/>
                <w:kern w:val="28"/>
                <w:sz w:val="28"/>
                <w:szCs w:val="28"/>
              </w:rPr>
              <w:t>APPENDICES</w:t>
            </w:r>
            <w:bookmarkEnd w:id="89"/>
            <w:bookmarkEnd w:id="90"/>
          </w:p>
        </w:tc>
      </w:tr>
    </w:tbl>
    <w:p w14:paraId="100BC62D" w14:textId="77777777" w:rsidR="00FC3D76" w:rsidRPr="00FC1F2C" w:rsidRDefault="005C07D8" w:rsidP="005C07D8">
      <w:pPr>
        <w:pStyle w:val="Heading2"/>
        <w:numPr>
          <w:ilvl w:val="0"/>
          <w:numId w:val="0"/>
        </w:numPr>
        <w:spacing w:before="0" w:after="0"/>
        <w:jc w:val="left"/>
        <w:rPr>
          <w:b w:val="0"/>
          <w:sz w:val="22"/>
          <w:szCs w:val="22"/>
        </w:rPr>
      </w:pPr>
      <w:bookmarkStart w:id="91" w:name="_Toc159914032"/>
      <w:bookmarkStart w:id="9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1"/>
    </w:p>
    <w:tbl>
      <w:tblPr>
        <w:tblW w:w="5000" w:type="pct"/>
        <w:jc w:val="center"/>
        <w:tblLook w:val="0000" w:firstRow="0" w:lastRow="0" w:firstColumn="0" w:lastColumn="0" w:noHBand="0" w:noVBand="0"/>
      </w:tblPr>
      <w:tblGrid>
        <w:gridCol w:w="1344"/>
        <w:gridCol w:w="3845"/>
        <w:gridCol w:w="803"/>
        <w:gridCol w:w="4202"/>
      </w:tblGrid>
      <w:tr w:rsidR="00FC3D76" w:rsidRPr="000B6AFE" w14:paraId="4E967DDD"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EBE721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B2C53C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CD761D8" w14:textId="77777777" w:rsidTr="00232A18">
        <w:trPr>
          <w:cantSplit/>
          <w:trHeight w:val="245"/>
          <w:jc w:val="center"/>
        </w:trPr>
        <w:tc>
          <w:tcPr>
            <w:tcW w:w="659" w:type="pct"/>
            <w:tcBorders>
              <w:top w:val="single" w:sz="4" w:space="0" w:color="auto"/>
              <w:left w:val="double" w:sz="4" w:space="0" w:color="auto"/>
            </w:tcBorders>
          </w:tcPr>
          <w:p w14:paraId="7E676431"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F7BB4F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7DB6498"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6AED96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5E72DB6" w14:textId="77777777" w:rsidTr="00232A18">
        <w:trPr>
          <w:cantSplit/>
          <w:trHeight w:val="245"/>
          <w:jc w:val="center"/>
        </w:trPr>
        <w:tc>
          <w:tcPr>
            <w:tcW w:w="659" w:type="pct"/>
            <w:tcBorders>
              <w:left w:val="double" w:sz="4" w:space="0" w:color="auto"/>
            </w:tcBorders>
          </w:tcPr>
          <w:p w14:paraId="0DD16700"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569221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D4CF9C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D17676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9FF45BA" w14:textId="77777777" w:rsidTr="00232A18">
        <w:trPr>
          <w:cantSplit/>
          <w:trHeight w:val="245"/>
          <w:jc w:val="center"/>
        </w:trPr>
        <w:tc>
          <w:tcPr>
            <w:tcW w:w="659" w:type="pct"/>
            <w:tcBorders>
              <w:left w:val="double" w:sz="4" w:space="0" w:color="auto"/>
            </w:tcBorders>
          </w:tcPr>
          <w:p w14:paraId="40D1A803"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6274F89"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D23097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42E299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A1756CF" w14:textId="77777777" w:rsidTr="00232A18">
        <w:trPr>
          <w:cantSplit/>
          <w:trHeight w:val="245"/>
          <w:jc w:val="center"/>
        </w:trPr>
        <w:tc>
          <w:tcPr>
            <w:tcW w:w="659" w:type="pct"/>
            <w:tcBorders>
              <w:left w:val="double" w:sz="4" w:space="0" w:color="auto"/>
            </w:tcBorders>
          </w:tcPr>
          <w:p w14:paraId="4122B461"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B6ED5D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60E627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0E41C1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3346E54" w14:textId="77777777" w:rsidTr="00232A18">
        <w:trPr>
          <w:cantSplit/>
          <w:trHeight w:val="245"/>
          <w:jc w:val="center"/>
        </w:trPr>
        <w:tc>
          <w:tcPr>
            <w:tcW w:w="659" w:type="pct"/>
            <w:tcBorders>
              <w:left w:val="double" w:sz="4" w:space="0" w:color="auto"/>
            </w:tcBorders>
          </w:tcPr>
          <w:p w14:paraId="3C6A079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AB2BF4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6616EF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2EC02CE"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08C0297" w14:textId="77777777" w:rsidTr="00232A18">
        <w:trPr>
          <w:cantSplit/>
          <w:trHeight w:val="245"/>
          <w:jc w:val="center"/>
        </w:trPr>
        <w:tc>
          <w:tcPr>
            <w:tcW w:w="659" w:type="pct"/>
            <w:tcBorders>
              <w:left w:val="double" w:sz="4" w:space="0" w:color="auto"/>
            </w:tcBorders>
          </w:tcPr>
          <w:p w14:paraId="1D79700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6CB520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1177538"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BF8BD8A"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2A33439" w14:textId="77777777" w:rsidTr="00232A18">
        <w:trPr>
          <w:cantSplit/>
          <w:trHeight w:val="245"/>
          <w:jc w:val="center"/>
        </w:trPr>
        <w:tc>
          <w:tcPr>
            <w:tcW w:w="659" w:type="pct"/>
            <w:tcBorders>
              <w:left w:val="double" w:sz="4" w:space="0" w:color="auto"/>
            </w:tcBorders>
          </w:tcPr>
          <w:p w14:paraId="764C422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693CB0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EE1CB1A"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739775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6E2BB51" w14:textId="77777777" w:rsidTr="00232A18">
        <w:trPr>
          <w:cantSplit/>
          <w:trHeight w:val="245"/>
          <w:jc w:val="center"/>
        </w:trPr>
        <w:tc>
          <w:tcPr>
            <w:tcW w:w="659" w:type="pct"/>
            <w:tcBorders>
              <w:left w:val="double" w:sz="4" w:space="0" w:color="auto"/>
            </w:tcBorders>
          </w:tcPr>
          <w:p w14:paraId="4A17215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467982B"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545A0FB"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B3DA4AA"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DBD5AFA" w14:textId="77777777" w:rsidTr="00232A18">
        <w:trPr>
          <w:cantSplit/>
          <w:trHeight w:val="218"/>
          <w:jc w:val="center"/>
        </w:trPr>
        <w:tc>
          <w:tcPr>
            <w:tcW w:w="659" w:type="pct"/>
            <w:vMerge w:val="restart"/>
            <w:tcBorders>
              <w:left w:val="double" w:sz="4" w:space="0" w:color="auto"/>
            </w:tcBorders>
          </w:tcPr>
          <w:p w14:paraId="6338D6AF" w14:textId="77777777" w:rsidR="002229D7" w:rsidRPr="000B6AFE" w:rsidRDefault="002229D7" w:rsidP="008256F1">
            <w:pPr>
              <w:rPr>
                <w:rFonts w:cs="Arial"/>
                <w:sz w:val="19"/>
                <w:szCs w:val="19"/>
              </w:rPr>
            </w:pPr>
            <w:r w:rsidRPr="000B6AFE">
              <w:rPr>
                <w:rFonts w:cs="Arial"/>
                <w:sz w:val="19"/>
                <w:szCs w:val="19"/>
              </w:rPr>
              <w:t>Department/</w:t>
            </w:r>
          </w:p>
          <w:p w14:paraId="1690E3A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F7921C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510BE8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E6A43F2"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0DB8046" w14:textId="77777777" w:rsidTr="00232A18">
        <w:trPr>
          <w:cantSplit/>
          <w:trHeight w:val="217"/>
          <w:jc w:val="center"/>
        </w:trPr>
        <w:tc>
          <w:tcPr>
            <w:tcW w:w="659" w:type="pct"/>
            <w:vMerge/>
            <w:tcBorders>
              <w:left w:val="double" w:sz="4" w:space="0" w:color="auto"/>
            </w:tcBorders>
          </w:tcPr>
          <w:p w14:paraId="14580E47" w14:textId="77777777" w:rsidR="002229D7" w:rsidRPr="000B6AFE" w:rsidRDefault="002229D7" w:rsidP="008256F1">
            <w:pPr>
              <w:rPr>
                <w:rFonts w:cs="Arial"/>
                <w:sz w:val="19"/>
                <w:szCs w:val="19"/>
              </w:rPr>
            </w:pPr>
          </w:p>
        </w:tc>
        <w:tc>
          <w:tcPr>
            <w:tcW w:w="1886" w:type="pct"/>
            <w:vMerge/>
            <w:tcBorders>
              <w:right w:val="single" w:sz="4" w:space="0" w:color="auto"/>
            </w:tcBorders>
          </w:tcPr>
          <w:p w14:paraId="11286B2D" w14:textId="77777777" w:rsidR="002229D7" w:rsidRPr="000B6AFE" w:rsidRDefault="002229D7" w:rsidP="00FC3D76">
            <w:pPr>
              <w:rPr>
                <w:rFonts w:cs="Arial"/>
                <w:sz w:val="19"/>
                <w:szCs w:val="19"/>
              </w:rPr>
            </w:pPr>
          </w:p>
        </w:tc>
        <w:tc>
          <w:tcPr>
            <w:tcW w:w="394" w:type="pct"/>
            <w:tcBorders>
              <w:left w:val="single" w:sz="4" w:space="0" w:color="auto"/>
            </w:tcBorders>
          </w:tcPr>
          <w:p w14:paraId="56A4455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705B41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F0A6669" w14:textId="77777777" w:rsidTr="00232A18">
        <w:trPr>
          <w:cantSplit/>
          <w:trHeight w:val="245"/>
          <w:jc w:val="center"/>
        </w:trPr>
        <w:tc>
          <w:tcPr>
            <w:tcW w:w="659" w:type="pct"/>
            <w:vMerge w:val="restart"/>
            <w:tcBorders>
              <w:left w:val="double" w:sz="4" w:space="0" w:color="auto"/>
            </w:tcBorders>
          </w:tcPr>
          <w:p w14:paraId="6FD4B8B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EBE788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C21BFCE"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5C844F6"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A31670F" w14:textId="77777777" w:rsidTr="00232A18">
        <w:trPr>
          <w:cantSplit/>
          <w:trHeight w:val="245"/>
          <w:jc w:val="center"/>
        </w:trPr>
        <w:tc>
          <w:tcPr>
            <w:tcW w:w="659" w:type="pct"/>
            <w:vMerge/>
            <w:tcBorders>
              <w:left w:val="double" w:sz="4" w:space="0" w:color="auto"/>
            </w:tcBorders>
          </w:tcPr>
          <w:p w14:paraId="2D07AA34" w14:textId="77777777" w:rsidR="003B1CC9" w:rsidRDefault="003B1CC9" w:rsidP="003B1CC9">
            <w:pPr>
              <w:rPr>
                <w:rFonts w:cs="Arial"/>
                <w:sz w:val="19"/>
                <w:szCs w:val="19"/>
              </w:rPr>
            </w:pPr>
          </w:p>
        </w:tc>
        <w:tc>
          <w:tcPr>
            <w:tcW w:w="1886" w:type="pct"/>
            <w:vMerge/>
            <w:tcBorders>
              <w:right w:val="single" w:sz="4" w:space="0" w:color="auto"/>
            </w:tcBorders>
          </w:tcPr>
          <w:p w14:paraId="1A19617D" w14:textId="77777777" w:rsidR="003B1CC9" w:rsidRPr="000B6AFE" w:rsidRDefault="003B1CC9" w:rsidP="003B1CC9">
            <w:pPr>
              <w:rPr>
                <w:rFonts w:cs="Arial"/>
                <w:sz w:val="19"/>
                <w:szCs w:val="19"/>
              </w:rPr>
            </w:pPr>
          </w:p>
        </w:tc>
        <w:tc>
          <w:tcPr>
            <w:tcW w:w="394" w:type="pct"/>
            <w:tcBorders>
              <w:left w:val="single" w:sz="4" w:space="0" w:color="auto"/>
            </w:tcBorders>
          </w:tcPr>
          <w:p w14:paraId="5ABDAEA8"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9E2505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94E522E" w14:textId="77777777" w:rsidTr="00232A18">
        <w:trPr>
          <w:cantSplit/>
          <w:trHeight w:val="245"/>
          <w:jc w:val="center"/>
        </w:trPr>
        <w:tc>
          <w:tcPr>
            <w:tcW w:w="659" w:type="pct"/>
            <w:tcBorders>
              <w:left w:val="double" w:sz="4" w:space="0" w:color="auto"/>
            </w:tcBorders>
          </w:tcPr>
          <w:p w14:paraId="144B868A"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07518AD"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74075B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EF00721"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1F9D313" w14:textId="77777777" w:rsidTr="00232A18">
        <w:trPr>
          <w:cantSplit/>
          <w:trHeight w:val="245"/>
          <w:jc w:val="center"/>
        </w:trPr>
        <w:tc>
          <w:tcPr>
            <w:tcW w:w="659" w:type="pct"/>
            <w:tcBorders>
              <w:left w:val="double" w:sz="4" w:space="0" w:color="auto"/>
            </w:tcBorders>
          </w:tcPr>
          <w:p w14:paraId="4CB39CB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18F981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CCB212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7C454E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41191D7" w14:textId="77777777" w:rsidTr="00232A18">
        <w:trPr>
          <w:cantSplit/>
          <w:trHeight w:val="245"/>
          <w:jc w:val="center"/>
        </w:trPr>
        <w:tc>
          <w:tcPr>
            <w:tcW w:w="659" w:type="pct"/>
            <w:tcBorders>
              <w:left w:val="double" w:sz="4" w:space="0" w:color="auto"/>
            </w:tcBorders>
          </w:tcPr>
          <w:p w14:paraId="6823395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A5CD79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6C6AF4A"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F3F8D0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D374876" w14:textId="77777777" w:rsidTr="00232A18">
        <w:trPr>
          <w:cantSplit/>
          <w:trHeight w:val="245"/>
          <w:jc w:val="center"/>
        </w:trPr>
        <w:tc>
          <w:tcPr>
            <w:tcW w:w="659" w:type="pct"/>
            <w:tcBorders>
              <w:left w:val="double" w:sz="4" w:space="0" w:color="auto"/>
            </w:tcBorders>
          </w:tcPr>
          <w:p w14:paraId="4114D89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7C52F5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2B6997D"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722B2BA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4159302" w14:textId="77777777" w:rsidTr="00232A18">
        <w:trPr>
          <w:cantSplit/>
          <w:trHeight w:val="245"/>
          <w:jc w:val="center"/>
        </w:trPr>
        <w:tc>
          <w:tcPr>
            <w:tcW w:w="659" w:type="pct"/>
            <w:tcBorders>
              <w:left w:val="double" w:sz="4" w:space="0" w:color="auto"/>
            </w:tcBorders>
          </w:tcPr>
          <w:p w14:paraId="4CE3D51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B73E2A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7CAD2B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B02C39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26129E8" w14:textId="77777777" w:rsidTr="00232A18">
        <w:trPr>
          <w:cantSplit/>
          <w:trHeight w:val="245"/>
          <w:jc w:val="center"/>
        </w:trPr>
        <w:tc>
          <w:tcPr>
            <w:tcW w:w="659" w:type="pct"/>
            <w:tcBorders>
              <w:left w:val="double" w:sz="4" w:space="0" w:color="auto"/>
            </w:tcBorders>
          </w:tcPr>
          <w:p w14:paraId="4AB55478"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97667E5"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E7C900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BAE8CEC"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1FFE6A7" w14:textId="77777777" w:rsidTr="00232A18">
        <w:trPr>
          <w:cantSplit/>
          <w:trHeight w:val="245"/>
          <w:jc w:val="center"/>
        </w:trPr>
        <w:tc>
          <w:tcPr>
            <w:tcW w:w="659" w:type="pct"/>
            <w:tcBorders>
              <w:left w:val="double" w:sz="4" w:space="0" w:color="auto"/>
            </w:tcBorders>
          </w:tcPr>
          <w:p w14:paraId="6491598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724B5B6"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65BE8E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F029AF7"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453D2CA" w14:textId="77777777" w:rsidTr="00232A18">
        <w:trPr>
          <w:cantSplit/>
          <w:trHeight w:val="245"/>
          <w:jc w:val="center"/>
        </w:trPr>
        <w:tc>
          <w:tcPr>
            <w:tcW w:w="659" w:type="pct"/>
            <w:tcBorders>
              <w:left w:val="double" w:sz="4" w:space="0" w:color="auto"/>
            </w:tcBorders>
          </w:tcPr>
          <w:p w14:paraId="51403DE1"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892B6D6"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F7CEEE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6E618D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920E2E5" w14:textId="77777777" w:rsidTr="00232A18">
        <w:trPr>
          <w:cantSplit/>
          <w:trHeight w:val="245"/>
          <w:jc w:val="center"/>
        </w:trPr>
        <w:tc>
          <w:tcPr>
            <w:tcW w:w="659" w:type="pct"/>
            <w:tcBorders>
              <w:left w:val="double" w:sz="4" w:space="0" w:color="auto"/>
            </w:tcBorders>
          </w:tcPr>
          <w:p w14:paraId="6ECA4B5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1B894FA"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138355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462B0A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43D4032" w14:textId="77777777" w:rsidTr="00232A18">
        <w:trPr>
          <w:cantSplit/>
          <w:trHeight w:val="245"/>
          <w:jc w:val="center"/>
        </w:trPr>
        <w:tc>
          <w:tcPr>
            <w:tcW w:w="659" w:type="pct"/>
            <w:tcBorders>
              <w:left w:val="double" w:sz="4" w:space="0" w:color="auto"/>
            </w:tcBorders>
          </w:tcPr>
          <w:p w14:paraId="3DAD4EC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CB3C4C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7906DF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AD68F1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5F20946" w14:textId="77777777" w:rsidTr="00232A18">
        <w:trPr>
          <w:cantSplit/>
          <w:trHeight w:val="245"/>
          <w:jc w:val="center"/>
        </w:trPr>
        <w:tc>
          <w:tcPr>
            <w:tcW w:w="659" w:type="pct"/>
            <w:tcBorders>
              <w:left w:val="double" w:sz="4" w:space="0" w:color="auto"/>
            </w:tcBorders>
          </w:tcPr>
          <w:p w14:paraId="6CD4B73F"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786DA1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B6A1F24"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139800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20FE456" w14:textId="77777777" w:rsidTr="00232A18">
        <w:trPr>
          <w:cantSplit/>
          <w:trHeight w:val="245"/>
          <w:jc w:val="center"/>
        </w:trPr>
        <w:tc>
          <w:tcPr>
            <w:tcW w:w="659" w:type="pct"/>
            <w:tcBorders>
              <w:left w:val="double" w:sz="4" w:space="0" w:color="auto"/>
            </w:tcBorders>
          </w:tcPr>
          <w:p w14:paraId="415AB61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009881F"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8B7E45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1BF46E7"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D8426D1" w14:textId="77777777" w:rsidTr="00232A18">
        <w:trPr>
          <w:cantSplit/>
          <w:trHeight w:val="218"/>
          <w:jc w:val="center"/>
        </w:trPr>
        <w:tc>
          <w:tcPr>
            <w:tcW w:w="659" w:type="pct"/>
            <w:tcBorders>
              <w:left w:val="double" w:sz="4" w:space="0" w:color="auto"/>
            </w:tcBorders>
          </w:tcPr>
          <w:p w14:paraId="36B7779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774504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4386B8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3826C5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06C71B0" w14:textId="77777777" w:rsidTr="00232A18">
        <w:trPr>
          <w:cantSplit/>
          <w:trHeight w:val="245"/>
          <w:jc w:val="center"/>
        </w:trPr>
        <w:tc>
          <w:tcPr>
            <w:tcW w:w="659" w:type="pct"/>
            <w:tcBorders>
              <w:left w:val="double" w:sz="4" w:space="0" w:color="auto"/>
            </w:tcBorders>
          </w:tcPr>
          <w:p w14:paraId="11D20382"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0DD551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615218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3B4F6C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4B19FE5" w14:textId="77777777" w:rsidTr="00232A18">
        <w:trPr>
          <w:cantSplit/>
          <w:trHeight w:val="245"/>
          <w:jc w:val="center"/>
        </w:trPr>
        <w:tc>
          <w:tcPr>
            <w:tcW w:w="659" w:type="pct"/>
            <w:tcBorders>
              <w:left w:val="double" w:sz="4" w:space="0" w:color="auto"/>
            </w:tcBorders>
          </w:tcPr>
          <w:p w14:paraId="5B52195E"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7A4205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E796BD7" w14:textId="77777777" w:rsidR="002229D7" w:rsidRPr="000B6AFE" w:rsidRDefault="002229D7" w:rsidP="002229D7">
            <w:pPr>
              <w:rPr>
                <w:rFonts w:cs="Arial"/>
                <w:sz w:val="19"/>
                <w:szCs w:val="19"/>
              </w:rPr>
            </w:pPr>
          </w:p>
        </w:tc>
        <w:tc>
          <w:tcPr>
            <w:tcW w:w="2061" w:type="pct"/>
            <w:vMerge/>
            <w:tcBorders>
              <w:right w:val="double" w:sz="4" w:space="0" w:color="auto"/>
            </w:tcBorders>
          </w:tcPr>
          <w:p w14:paraId="432B06D3" w14:textId="77777777" w:rsidR="002229D7" w:rsidRPr="000B6AFE" w:rsidRDefault="002229D7" w:rsidP="002229D7">
            <w:pPr>
              <w:rPr>
                <w:rFonts w:cs="Arial"/>
                <w:sz w:val="19"/>
                <w:szCs w:val="19"/>
              </w:rPr>
            </w:pPr>
          </w:p>
        </w:tc>
      </w:tr>
      <w:tr w:rsidR="002229D7" w:rsidRPr="000B6AFE" w14:paraId="70C69CF5" w14:textId="77777777" w:rsidTr="00232A18">
        <w:trPr>
          <w:cantSplit/>
          <w:trHeight w:val="218"/>
          <w:jc w:val="center"/>
        </w:trPr>
        <w:tc>
          <w:tcPr>
            <w:tcW w:w="659" w:type="pct"/>
            <w:tcBorders>
              <w:left w:val="double" w:sz="4" w:space="0" w:color="auto"/>
              <w:bottom w:val="nil"/>
            </w:tcBorders>
          </w:tcPr>
          <w:p w14:paraId="0D500CD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308E56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7565A3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6CFE51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0949FE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D8D69A5" w14:textId="77777777" w:rsidTr="00232A18">
        <w:trPr>
          <w:cantSplit/>
          <w:trHeight w:val="218"/>
          <w:jc w:val="center"/>
        </w:trPr>
        <w:tc>
          <w:tcPr>
            <w:tcW w:w="659" w:type="pct"/>
            <w:vMerge w:val="restart"/>
            <w:tcBorders>
              <w:left w:val="double" w:sz="4" w:space="0" w:color="auto"/>
            </w:tcBorders>
          </w:tcPr>
          <w:p w14:paraId="0E80468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A1DCB7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413265E"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DB395F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FE65379" w14:textId="77777777" w:rsidTr="00232A18">
        <w:trPr>
          <w:cantSplit/>
          <w:trHeight w:val="217"/>
          <w:jc w:val="center"/>
        </w:trPr>
        <w:tc>
          <w:tcPr>
            <w:tcW w:w="659" w:type="pct"/>
            <w:vMerge/>
            <w:tcBorders>
              <w:left w:val="double" w:sz="4" w:space="0" w:color="auto"/>
              <w:bottom w:val="nil"/>
            </w:tcBorders>
          </w:tcPr>
          <w:p w14:paraId="251A9FE8" w14:textId="77777777" w:rsidR="002229D7" w:rsidRPr="000B6AFE" w:rsidRDefault="002229D7" w:rsidP="002229D7">
            <w:pPr>
              <w:rPr>
                <w:rFonts w:cs="Arial"/>
                <w:sz w:val="19"/>
                <w:szCs w:val="19"/>
              </w:rPr>
            </w:pPr>
          </w:p>
        </w:tc>
        <w:tc>
          <w:tcPr>
            <w:tcW w:w="1886" w:type="pct"/>
            <w:vMerge/>
            <w:tcBorders>
              <w:right w:val="single" w:sz="4" w:space="0" w:color="auto"/>
            </w:tcBorders>
          </w:tcPr>
          <w:p w14:paraId="09754D4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421F63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5EF143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76C207F" w14:textId="77777777" w:rsidTr="00232A18">
        <w:trPr>
          <w:cantSplit/>
          <w:trHeight w:val="245"/>
          <w:jc w:val="center"/>
        </w:trPr>
        <w:tc>
          <w:tcPr>
            <w:tcW w:w="659" w:type="pct"/>
            <w:tcBorders>
              <w:left w:val="double" w:sz="4" w:space="0" w:color="auto"/>
            </w:tcBorders>
          </w:tcPr>
          <w:p w14:paraId="521D213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290607F"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7D2CB58"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CCFB554"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5BDAC74" w14:textId="77777777" w:rsidTr="00232A18">
        <w:trPr>
          <w:cantSplit/>
          <w:trHeight w:val="245"/>
          <w:jc w:val="center"/>
        </w:trPr>
        <w:tc>
          <w:tcPr>
            <w:tcW w:w="659" w:type="pct"/>
            <w:tcBorders>
              <w:left w:val="double" w:sz="4" w:space="0" w:color="auto"/>
            </w:tcBorders>
          </w:tcPr>
          <w:p w14:paraId="4A277ED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8396AE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DC7CCC0"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506ECF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5C0C09D" w14:textId="77777777" w:rsidTr="00232A18">
        <w:trPr>
          <w:cantSplit/>
          <w:trHeight w:val="245"/>
          <w:jc w:val="center"/>
        </w:trPr>
        <w:tc>
          <w:tcPr>
            <w:tcW w:w="659" w:type="pct"/>
            <w:tcBorders>
              <w:left w:val="double" w:sz="4" w:space="0" w:color="auto"/>
            </w:tcBorders>
          </w:tcPr>
          <w:p w14:paraId="788DA73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D5406D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B96A89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DCE7DE6" w14:textId="77777777" w:rsidR="002229D7" w:rsidRPr="000B6AFE" w:rsidRDefault="002229D7" w:rsidP="002229D7">
            <w:pPr>
              <w:rPr>
                <w:rFonts w:cs="Arial"/>
                <w:sz w:val="19"/>
                <w:szCs w:val="19"/>
              </w:rPr>
            </w:pPr>
            <w:r>
              <w:rPr>
                <w:rFonts w:cs="Arial"/>
                <w:sz w:val="19"/>
                <w:szCs w:val="19"/>
              </w:rPr>
              <w:t>Percent</w:t>
            </w:r>
          </w:p>
        </w:tc>
      </w:tr>
      <w:tr w:rsidR="002229D7" w:rsidRPr="000B6AFE" w14:paraId="1246E46A" w14:textId="77777777" w:rsidTr="00232A18">
        <w:trPr>
          <w:cantSplit/>
          <w:trHeight w:val="245"/>
          <w:jc w:val="center"/>
        </w:trPr>
        <w:tc>
          <w:tcPr>
            <w:tcW w:w="659" w:type="pct"/>
            <w:tcBorders>
              <w:left w:val="double" w:sz="4" w:space="0" w:color="auto"/>
            </w:tcBorders>
          </w:tcPr>
          <w:p w14:paraId="6EAA1BC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EF88BD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0199C55"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18F51E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CDF0862" w14:textId="77777777" w:rsidTr="00232A18">
        <w:trPr>
          <w:cantSplit/>
          <w:trHeight w:val="245"/>
          <w:jc w:val="center"/>
        </w:trPr>
        <w:tc>
          <w:tcPr>
            <w:tcW w:w="659" w:type="pct"/>
            <w:tcBorders>
              <w:left w:val="double" w:sz="4" w:space="0" w:color="auto"/>
            </w:tcBorders>
          </w:tcPr>
          <w:p w14:paraId="44B57EE3"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1D1B62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545373A"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2B64961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FA2C9A3" w14:textId="77777777" w:rsidTr="00232A18">
        <w:trPr>
          <w:cantSplit/>
          <w:trHeight w:val="245"/>
          <w:jc w:val="center"/>
        </w:trPr>
        <w:tc>
          <w:tcPr>
            <w:tcW w:w="659" w:type="pct"/>
            <w:tcBorders>
              <w:left w:val="double" w:sz="4" w:space="0" w:color="auto"/>
            </w:tcBorders>
          </w:tcPr>
          <w:p w14:paraId="2351867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9A18963"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52046E0"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124BC3C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56892A5" w14:textId="77777777" w:rsidTr="00232A18">
        <w:trPr>
          <w:cantSplit/>
          <w:trHeight w:val="245"/>
          <w:jc w:val="center"/>
        </w:trPr>
        <w:tc>
          <w:tcPr>
            <w:tcW w:w="659" w:type="pct"/>
            <w:tcBorders>
              <w:left w:val="double" w:sz="4" w:space="0" w:color="auto"/>
            </w:tcBorders>
          </w:tcPr>
          <w:p w14:paraId="231E6754"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06ED7C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75809F1"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7821B9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30F6A5C" w14:textId="77777777" w:rsidTr="00232A18">
        <w:trPr>
          <w:cantSplit/>
          <w:trHeight w:val="245"/>
          <w:jc w:val="center"/>
        </w:trPr>
        <w:tc>
          <w:tcPr>
            <w:tcW w:w="659" w:type="pct"/>
            <w:tcBorders>
              <w:left w:val="double" w:sz="4" w:space="0" w:color="auto"/>
            </w:tcBorders>
          </w:tcPr>
          <w:p w14:paraId="57CE9F4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CC150B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F435CB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648D490"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E7418D7" w14:textId="77777777" w:rsidTr="00232A18">
        <w:trPr>
          <w:cantSplit/>
          <w:trHeight w:val="245"/>
          <w:jc w:val="center"/>
        </w:trPr>
        <w:tc>
          <w:tcPr>
            <w:tcW w:w="659" w:type="pct"/>
            <w:tcBorders>
              <w:left w:val="double" w:sz="4" w:space="0" w:color="auto"/>
            </w:tcBorders>
          </w:tcPr>
          <w:p w14:paraId="1170214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5B9F3D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9CD594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5E6B329"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FE1A7EE" w14:textId="77777777" w:rsidTr="00232A18">
        <w:trPr>
          <w:cantSplit/>
          <w:trHeight w:val="245"/>
          <w:jc w:val="center"/>
        </w:trPr>
        <w:tc>
          <w:tcPr>
            <w:tcW w:w="659" w:type="pct"/>
            <w:tcBorders>
              <w:left w:val="double" w:sz="4" w:space="0" w:color="auto"/>
            </w:tcBorders>
          </w:tcPr>
          <w:p w14:paraId="36E9CE2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2961358"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270EFC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1AAC8AF"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96EC45B" w14:textId="77777777" w:rsidTr="00232A18">
        <w:trPr>
          <w:cantSplit/>
          <w:trHeight w:val="245"/>
          <w:jc w:val="center"/>
        </w:trPr>
        <w:tc>
          <w:tcPr>
            <w:tcW w:w="659" w:type="pct"/>
            <w:tcBorders>
              <w:left w:val="double" w:sz="4" w:space="0" w:color="auto"/>
            </w:tcBorders>
          </w:tcPr>
          <w:p w14:paraId="6EF444C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C006988"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6DD4007"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0EE1A2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CF80EA3" w14:textId="77777777" w:rsidTr="00232A18">
        <w:trPr>
          <w:cantSplit/>
          <w:trHeight w:val="245"/>
          <w:jc w:val="center"/>
        </w:trPr>
        <w:tc>
          <w:tcPr>
            <w:tcW w:w="659" w:type="pct"/>
            <w:tcBorders>
              <w:left w:val="double" w:sz="4" w:space="0" w:color="auto"/>
            </w:tcBorders>
          </w:tcPr>
          <w:p w14:paraId="496F9DA4"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9FF7A7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909F18F"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D84DBFB"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AB64F00" w14:textId="77777777" w:rsidTr="00232A18">
        <w:trPr>
          <w:cantSplit/>
          <w:trHeight w:val="245"/>
          <w:jc w:val="center"/>
        </w:trPr>
        <w:tc>
          <w:tcPr>
            <w:tcW w:w="659" w:type="pct"/>
            <w:tcBorders>
              <w:left w:val="double" w:sz="4" w:space="0" w:color="auto"/>
            </w:tcBorders>
          </w:tcPr>
          <w:p w14:paraId="535676FA"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71F4716"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5F6F0E8"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D84CCE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E1356CE" w14:textId="77777777" w:rsidTr="00232A18">
        <w:trPr>
          <w:cantSplit/>
          <w:trHeight w:val="245"/>
          <w:jc w:val="center"/>
        </w:trPr>
        <w:tc>
          <w:tcPr>
            <w:tcW w:w="659" w:type="pct"/>
            <w:tcBorders>
              <w:left w:val="double" w:sz="4" w:space="0" w:color="auto"/>
            </w:tcBorders>
          </w:tcPr>
          <w:p w14:paraId="1F01A7F7"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D9576F7"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A01991B"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A5B5D33"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066CC897" w14:textId="77777777" w:rsidTr="00232A18">
        <w:trPr>
          <w:cantSplit/>
          <w:trHeight w:val="245"/>
          <w:jc w:val="center"/>
        </w:trPr>
        <w:tc>
          <w:tcPr>
            <w:tcW w:w="659" w:type="pct"/>
            <w:vMerge w:val="restart"/>
            <w:tcBorders>
              <w:left w:val="double" w:sz="4" w:space="0" w:color="auto"/>
            </w:tcBorders>
          </w:tcPr>
          <w:p w14:paraId="66F5D84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0761108"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C780419"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34202A8"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056532D2" w14:textId="77777777" w:rsidTr="00232A18">
        <w:trPr>
          <w:cantSplit/>
          <w:trHeight w:val="245"/>
          <w:jc w:val="center"/>
        </w:trPr>
        <w:tc>
          <w:tcPr>
            <w:tcW w:w="659" w:type="pct"/>
            <w:vMerge/>
            <w:tcBorders>
              <w:left w:val="double" w:sz="4" w:space="0" w:color="auto"/>
            </w:tcBorders>
          </w:tcPr>
          <w:p w14:paraId="16580F5E" w14:textId="77777777" w:rsidR="00232A18" w:rsidRPr="000B6AFE" w:rsidRDefault="00232A18" w:rsidP="002229D7">
            <w:pPr>
              <w:rPr>
                <w:rFonts w:cs="Arial"/>
                <w:sz w:val="19"/>
                <w:szCs w:val="19"/>
              </w:rPr>
            </w:pPr>
          </w:p>
        </w:tc>
        <w:tc>
          <w:tcPr>
            <w:tcW w:w="1886" w:type="pct"/>
            <w:vMerge/>
            <w:tcBorders>
              <w:right w:val="single" w:sz="4" w:space="0" w:color="auto"/>
            </w:tcBorders>
          </w:tcPr>
          <w:p w14:paraId="4B5239B4"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C7C7CD8"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3ECE24C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D62E2EE" w14:textId="77777777" w:rsidTr="00232A18">
        <w:trPr>
          <w:cantSplit/>
          <w:trHeight w:val="245"/>
          <w:jc w:val="center"/>
        </w:trPr>
        <w:tc>
          <w:tcPr>
            <w:tcW w:w="659" w:type="pct"/>
            <w:tcBorders>
              <w:left w:val="double" w:sz="4" w:space="0" w:color="auto"/>
              <w:bottom w:val="double" w:sz="4" w:space="0" w:color="auto"/>
            </w:tcBorders>
          </w:tcPr>
          <w:p w14:paraId="165B5DEF"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A2F63C7"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713ADD9"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9012E87" w14:textId="77777777" w:rsidR="00232A18" w:rsidRPr="000B6AFE" w:rsidRDefault="00232A18" w:rsidP="002229D7">
            <w:pPr>
              <w:rPr>
                <w:rFonts w:cs="Arial"/>
                <w:sz w:val="19"/>
                <w:szCs w:val="19"/>
              </w:rPr>
            </w:pPr>
          </w:p>
        </w:tc>
      </w:tr>
    </w:tbl>
    <w:p w14:paraId="05A8C844"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717794C" w14:textId="77777777" w:rsidR="00C60E84" w:rsidRPr="00FC1F2C" w:rsidRDefault="00C60E84" w:rsidP="00461D22">
      <w:pPr>
        <w:pStyle w:val="Heading2"/>
        <w:numPr>
          <w:ilvl w:val="0"/>
          <w:numId w:val="0"/>
        </w:numPr>
        <w:jc w:val="left"/>
        <w:rPr>
          <w:b w:val="0"/>
          <w:bCs/>
          <w:sz w:val="22"/>
          <w:szCs w:val="22"/>
        </w:rPr>
      </w:pPr>
      <w:bookmarkStart w:id="93" w:name="_Toc159914033"/>
      <w:bookmarkStart w:id="94" w:name="_Toc390499894"/>
      <w:bookmarkStart w:id="95" w:name="_Toc390500323"/>
      <w:bookmarkStart w:id="96" w:name="_Toc390504376"/>
      <w:bookmarkStart w:id="97" w:name="_Toc390570166"/>
      <w:bookmarkStart w:id="98" w:name="_Toc391182900"/>
      <w:bookmarkStart w:id="99" w:name="_Toc437238964"/>
      <w:bookmarkStart w:id="100" w:name="_Toc451333041"/>
      <w:bookmarkStart w:id="101" w:name="_Toc1453521"/>
      <w:bookmarkEnd w:id="92"/>
      <w:r w:rsidRPr="00461D22">
        <w:rPr>
          <w:bCs/>
          <w:sz w:val="22"/>
          <w:szCs w:val="22"/>
        </w:rPr>
        <w:lastRenderedPageBreak/>
        <w:t>Appendix 2.  Schedule of Compliance</w:t>
      </w:r>
      <w:bookmarkEnd w:id="93"/>
    </w:p>
    <w:p w14:paraId="1A9532FA" w14:textId="77777777" w:rsidR="002917CF" w:rsidRDefault="002917CF" w:rsidP="002917CF">
      <w:pPr>
        <w:jc w:val="both"/>
        <w:rPr>
          <w:rFonts w:cs="Arial"/>
          <w:sz w:val="20"/>
        </w:rPr>
      </w:pPr>
    </w:p>
    <w:p w14:paraId="2578DB1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E96C317" w14:textId="77777777" w:rsidR="00C60E84" w:rsidRPr="00FC1F2C" w:rsidRDefault="00C60E84" w:rsidP="004F09CF">
      <w:pPr>
        <w:pStyle w:val="Heading2"/>
        <w:numPr>
          <w:ilvl w:val="0"/>
          <w:numId w:val="0"/>
        </w:numPr>
        <w:jc w:val="both"/>
        <w:rPr>
          <w:b w:val="0"/>
          <w:sz w:val="20"/>
        </w:rPr>
      </w:pPr>
      <w:bookmarkStart w:id="102" w:name="_Toc159914034"/>
      <w:r w:rsidRPr="00461D22">
        <w:rPr>
          <w:sz w:val="22"/>
          <w:szCs w:val="22"/>
        </w:rPr>
        <w:t>Appendix 3.  Monitoring Requirements</w:t>
      </w:r>
      <w:bookmarkEnd w:id="102"/>
    </w:p>
    <w:p w14:paraId="38C7157C" w14:textId="77777777" w:rsidR="00C60E84" w:rsidRPr="0080590E" w:rsidRDefault="00C60E84" w:rsidP="004F09CF">
      <w:pPr>
        <w:jc w:val="both"/>
        <w:rPr>
          <w:sz w:val="20"/>
        </w:rPr>
      </w:pPr>
    </w:p>
    <w:p w14:paraId="68EDE19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CC70918" w14:textId="77777777" w:rsidR="00C60E84" w:rsidRPr="00FC1F2C" w:rsidRDefault="00C60E84" w:rsidP="004F09CF">
      <w:pPr>
        <w:pStyle w:val="Heading2"/>
        <w:numPr>
          <w:ilvl w:val="0"/>
          <w:numId w:val="0"/>
        </w:numPr>
        <w:jc w:val="both"/>
        <w:rPr>
          <w:b w:val="0"/>
          <w:sz w:val="22"/>
          <w:szCs w:val="22"/>
        </w:rPr>
      </w:pPr>
      <w:bookmarkStart w:id="103" w:name="_Toc159914035"/>
      <w:r w:rsidRPr="00461D22">
        <w:rPr>
          <w:sz w:val="22"/>
          <w:szCs w:val="22"/>
        </w:rPr>
        <w:t>Appendix 4.  Recordkeeping</w:t>
      </w:r>
      <w:bookmarkEnd w:id="103"/>
    </w:p>
    <w:p w14:paraId="4AB49038" w14:textId="77777777" w:rsidR="00C60E84" w:rsidRPr="0080590E" w:rsidRDefault="00C60E84" w:rsidP="004F09CF">
      <w:pPr>
        <w:jc w:val="both"/>
        <w:rPr>
          <w:sz w:val="20"/>
        </w:rPr>
      </w:pPr>
    </w:p>
    <w:p w14:paraId="66D805C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71C3F5E" w14:textId="77777777" w:rsidR="00C60E84" w:rsidRPr="00FC1F2C" w:rsidRDefault="00C60E84" w:rsidP="004F09CF">
      <w:pPr>
        <w:pStyle w:val="Heading2"/>
        <w:numPr>
          <w:ilvl w:val="0"/>
          <w:numId w:val="0"/>
        </w:numPr>
        <w:jc w:val="both"/>
        <w:rPr>
          <w:b w:val="0"/>
          <w:sz w:val="22"/>
          <w:szCs w:val="22"/>
        </w:rPr>
      </w:pPr>
      <w:bookmarkStart w:id="104" w:name="_Toc159914036"/>
      <w:r w:rsidRPr="00461D22">
        <w:rPr>
          <w:sz w:val="22"/>
          <w:szCs w:val="22"/>
        </w:rPr>
        <w:t>Appendix 5.  Testing Procedures</w:t>
      </w:r>
      <w:bookmarkEnd w:id="104"/>
    </w:p>
    <w:p w14:paraId="21B7C5F4" w14:textId="77777777" w:rsidR="00C60E84" w:rsidRPr="00B77C68" w:rsidRDefault="00C60E84" w:rsidP="004F09CF">
      <w:pPr>
        <w:jc w:val="both"/>
        <w:rPr>
          <w:sz w:val="20"/>
        </w:rPr>
      </w:pPr>
    </w:p>
    <w:p w14:paraId="759AD39F" w14:textId="617EE85D" w:rsidR="00C67C9B" w:rsidRDefault="009C1949" w:rsidP="009C1949">
      <w:pPr>
        <w:ind w:left="360" w:hanging="360"/>
        <w:jc w:val="both"/>
        <w:rPr>
          <w:sz w:val="20"/>
        </w:rPr>
      </w:pPr>
      <w:bookmarkStart w:id="105" w:name="_Hlk105501004"/>
      <w:r w:rsidRPr="009C1949">
        <w:rPr>
          <w:b/>
          <w:bCs/>
          <w:sz w:val="20"/>
        </w:rPr>
        <w:t>A.</w:t>
      </w:r>
      <w:r>
        <w:rPr>
          <w:sz w:val="20"/>
        </w:rPr>
        <w:t xml:space="preserve">  </w:t>
      </w:r>
      <w:r w:rsidR="00C67C9B" w:rsidRPr="00B77C68">
        <w:rPr>
          <w:sz w:val="20"/>
        </w:rPr>
        <w:t xml:space="preserve">The permittee shall use the following approved procedures, to measure the pollutant emissions for the applicable requirements referenced </w:t>
      </w:r>
      <w:r w:rsidR="00C67C9B">
        <w:rPr>
          <w:sz w:val="20"/>
        </w:rPr>
        <w:t>in FG</w:t>
      </w:r>
      <w:r w:rsidR="00C67C9B" w:rsidRPr="00466B72">
        <w:rPr>
          <w:sz w:val="20"/>
        </w:rPr>
        <w:t>LANDFILL</w:t>
      </w:r>
      <w:r w:rsidR="00C67C9B">
        <w:rPr>
          <w:sz w:val="20"/>
        </w:rPr>
        <w:t xml:space="preserve">-XXX&lt;34.  </w:t>
      </w:r>
    </w:p>
    <w:p w14:paraId="4FB56AB4" w14:textId="77777777" w:rsidR="00C67C9B" w:rsidRDefault="00C67C9B" w:rsidP="00C67C9B">
      <w:pPr>
        <w:jc w:val="both"/>
        <w:rPr>
          <w:sz w:val="20"/>
        </w:rPr>
      </w:pPr>
    </w:p>
    <w:p w14:paraId="7DCB639D" w14:textId="77777777" w:rsidR="00C67C9B" w:rsidRPr="00B92DC3" w:rsidRDefault="00C67C9B" w:rsidP="00C67C9B">
      <w:pPr>
        <w:spacing w:after="120"/>
        <w:jc w:val="both"/>
        <w:rPr>
          <w:sz w:val="20"/>
        </w:rPr>
      </w:pPr>
      <w:r w:rsidRPr="006270F4">
        <w:rPr>
          <w:b/>
          <w:sz w:val="20"/>
          <w:u w:val="single"/>
        </w:rPr>
        <w:t>Tier 1</w:t>
      </w:r>
    </w:p>
    <w:p w14:paraId="7EB97145" w14:textId="7D7D4888" w:rsidR="00C67C9B" w:rsidRPr="00466B72" w:rsidRDefault="00C67C9B" w:rsidP="00C67C9B">
      <w:pPr>
        <w:jc w:val="both"/>
        <w:rPr>
          <w:sz w:val="20"/>
        </w:rPr>
      </w:pPr>
      <w:r w:rsidRPr="006270F4">
        <w:rPr>
          <w:sz w:val="20"/>
        </w:rPr>
        <w:t xml:space="preserve">The </w:t>
      </w:r>
      <w:r w:rsidR="00C05627">
        <w:rPr>
          <w:sz w:val="20"/>
        </w:rPr>
        <w:t>permittee</w:t>
      </w:r>
      <w:r w:rsidRPr="006270F4">
        <w:rPr>
          <w:sz w:val="20"/>
        </w:rPr>
        <w:t xml:space="preserve"> must </w:t>
      </w:r>
      <w:r>
        <w:rPr>
          <w:sz w:val="20"/>
        </w:rPr>
        <w:t>calculate</w:t>
      </w:r>
      <w:r w:rsidRPr="006270F4">
        <w:rPr>
          <w:sz w:val="20"/>
        </w:rPr>
        <w:t xml:space="preserve"> NMOC mass emission rate</w:t>
      </w:r>
      <w:r>
        <w:rPr>
          <w:sz w:val="20"/>
        </w:rPr>
        <w:t xml:space="preserve"> utilizing Equation 1 or 2 in Appendix 7, as applicable, and </w:t>
      </w:r>
      <w:r w:rsidRPr="006270F4">
        <w:rPr>
          <w:sz w:val="20"/>
        </w:rPr>
        <w:t xml:space="preserve">compare </w:t>
      </w:r>
      <w:r>
        <w:rPr>
          <w:sz w:val="20"/>
        </w:rPr>
        <w:t>it</w:t>
      </w:r>
      <w:r w:rsidRPr="006270F4">
        <w:rPr>
          <w:sz w:val="20"/>
        </w:rPr>
        <w:t xml:space="preserve"> to the standard of 34 </w:t>
      </w:r>
      <w:r>
        <w:rPr>
          <w:sz w:val="20"/>
        </w:rPr>
        <w:t>Mg</w:t>
      </w:r>
      <w:r w:rsidRPr="006270F4">
        <w:rPr>
          <w:sz w:val="20"/>
        </w:rPr>
        <w:t xml:space="preserve"> per year.</w:t>
      </w:r>
      <w:r w:rsidRPr="006270F4">
        <w:rPr>
          <w:rFonts w:cs="Arial"/>
          <w:b/>
          <w:sz w:val="20"/>
        </w:rPr>
        <w:t xml:space="preserve"> </w:t>
      </w:r>
      <w:r>
        <w:rPr>
          <w:rFonts w:cs="Arial"/>
          <w:b/>
          <w:sz w:val="20"/>
        </w:rPr>
        <w:t xml:space="preserve"> </w:t>
      </w:r>
      <w:r w:rsidRPr="00466B72">
        <w:rPr>
          <w:rFonts w:cs="Arial"/>
          <w:b/>
          <w:sz w:val="20"/>
        </w:rPr>
        <w:t>(40 CFR 60.7</w:t>
      </w:r>
      <w:r>
        <w:rPr>
          <w:rFonts w:cs="Arial"/>
          <w:b/>
          <w:sz w:val="20"/>
        </w:rPr>
        <w:t>6</w:t>
      </w:r>
      <w:r w:rsidRPr="00466B72">
        <w:rPr>
          <w:rFonts w:cs="Arial"/>
          <w:b/>
          <w:sz w:val="20"/>
        </w:rPr>
        <w:t>4(a)(</w:t>
      </w:r>
      <w:r>
        <w:rPr>
          <w:rFonts w:cs="Arial"/>
          <w:b/>
          <w:sz w:val="20"/>
        </w:rPr>
        <w:t>2</w:t>
      </w:r>
      <w:r w:rsidRPr="00466B72">
        <w:rPr>
          <w:rFonts w:cs="Arial"/>
          <w:b/>
          <w:sz w:val="20"/>
        </w:rPr>
        <w:t>))</w:t>
      </w:r>
    </w:p>
    <w:p w14:paraId="2B3B725B" w14:textId="77777777" w:rsidR="00C67C9B" w:rsidRDefault="00C67C9B" w:rsidP="00C67C9B">
      <w:pPr>
        <w:jc w:val="both"/>
        <w:rPr>
          <w:sz w:val="20"/>
        </w:rPr>
      </w:pPr>
    </w:p>
    <w:p w14:paraId="229EE481" w14:textId="77777777" w:rsidR="00C67C9B" w:rsidRPr="00B92DC3" w:rsidRDefault="00C67C9B" w:rsidP="00C67C9B">
      <w:pPr>
        <w:spacing w:after="120"/>
        <w:jc w:val="both"/>
        <w:rPr>
          <w:sz w:val="20"/>
        </w:rPr>
      </w:pPr>
      <w:r>
        <w:rPr>
          <w:b/>
          <w:sz w:val="20"/>
          <w:u w:val="single"/>
        </w:rPr>
        <w:t>Tier 2</w:t>
      </w:r>
    </w:p>
    <w:p w14:paraId="44B0DB5D" w14:textId="77777777" w:rsidR="00C67C9B" w:rsidRDefault="00C67C9B" w:rsidP="00C67C9B">
      <w:pPr>
        <w:spacing w:after="120"/>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determine the NMOC concentration using the following sampling procedure</w:t>
      </w:r>
      <w:r>
        <w:rPr>
          <w:rFonts w:cs="Arial"/>
          <w:sz w:val="20"/>
        </w:rPr>
        <w:t>:</w:t>
      </w:r>
    </w:p>
    <w:p w14:paraId="4FDC68F5" w14:textId="77777777" w:rsidR="00C67C9B" w:rsidRDefault="00C67C9B" w:rsidP="00C67C9B">
      <w:pPr>
        <w:spacing w:before="100" w:beforeAutospacing="1" w:after="100" w:afterAutospacing="1"/>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install at least two sample probes per hectare of landfill surface that has retained waste for at least 2 years. </w:t>
      </w:r>
      <w:r>
        <w:rPr>
          <w:rFonts w:cs="Arial"/>
          <w:sz w:val="20"/>
        </w:rPr>
        <w:t xml:space="preserve"> </w:t>
      </w:r>
      <w:r w:rsidRPr="00466B72">
        <w:rPr>
          <w:rFonts w:cs="Arial"/>
          <w:sz w:val="20"/>
        </w:rPr>
        <w:t>If the landfill is larger than 25 hectares in area, only 50 samples are required.</w:t>
      </w:r>
      <w:r>
        <w:rPr>
          <w:rFonts w:cs="Arial"/>
          <w:sz w:val="20"/>
        </w:rPr>
        <w:t xml:space="preserve"> </w:t>
      </w:r>
      <w:r w:rsidRPr="00466B72">
        <w:rPr>
          <w:rFonts w:cs="Arial"/>
          <w:sz w:val="20"/>
        </w:rPr>
        <w:t xml:space="preserve"> The sample probes should be located to avoid known areas of nondegradable solid waste. </w:t>
      </w:r>
      <w:r>
        <w:rPr>
          <w:rFonts w:cs="Arial"/>
          <w:sz w:val="20"/>
        </w:rPr>
        <w:t xml:space="preserve"> </w:t>
      </w:r>
    </w:p>
    <w:p w14:paraId="55B3679A" w14:textId="77777777" w:rsidR="00C67C9B" w:rsidRDefault="00C67C9B" w:rsidP="00C67C9B">
      <w:pPr>
        <w:spacing w:before="100" w:beforeAutospacing="1" w:after="100" w:afterAutospacing="1"/>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collect and analyze one sample of landfill gas from each probe to determine the NMOC concentration using </w:t>
      </w:r>
      <w:r>
        <w:rPr>
          <w:rFonts w:cs="Arial"/>
          <w:sz w:val="20"/>
        </w:rPr>
        <w:t xml:space="preserve">40 CFR Part 60, Appendix A, </w:t>
      </w:r>
      <w:r w:rsidRPr="00466B72">
        <w:rPr>
          <w:rFonts w:cs="Arial"/>
          <w:sz w:val="20"/>
        </w:rPr>
        <w:t>Method</w:t>
      </w:r>
      <w:r>
        <w:rPr>
          <w:rFonts w:cs="Arial"/>
          <w:sz w:val="20"/>
        </w:rPr>
        <w:t>s</w:t>
      </w:r>
      <w:r w:rsidRPr="00466B72">
        <w:rPr>
          <w:rFonts w:cs="Arial"/>
          <w:sz w:val="20"/>
        </w:rPr>
        <w:t xml:space="preserve"> 25 or 25C.</w:t>
      </w:r>
      <w:r>
        <w:rPr>
          <w:rFonts w:cs="Arial"/>
          <w:sz w:val="20"/>
        </w:rPr>
        <w:t xml:space="preserve"> </w:t>
      </w:r>
      <w:r w:rsidRPr="00466B72">
        <w:rPr>
          <w:rFonts w:cs="Arial"/>
          <w:sz w:val="20"/>
        </w:rPr>
        <w:t xml:space="preserve"> </w:t>
      </w:r>
      <w:r>
        <w:rPr>
          <w:rFonts w:cs="Arial"/>
          <w:sz w:val="20"/>
        </w:rPr>
        <w:t xml:space="preserve">40 CFR Part 60, Appendix A, </w:t>
      </w:r>
      <w:r w:rsidRPr="00466B72">
        <w:rPr>
          <w:rFonts w:cs="Arial"/>
          <w:sz w:val="20"/>
        </w:rPr>
        <w:t xml:space="preserve">Method 18  may be used to analyze the samples collected by Method 25 or 25C sampling procedure. </w:t>
      </w:r>
      <w:r>
        <w:rPr>
          <w:rFonts w:cs="Arial"/>
          <w:sz w:val="20"/>
        </w:rPr>
        <w:t xml:space="preserve"> </w:t>
      </w:r>
      <w:r w:rsidRPr="00466B72">
        <w:rPr>
          <w:rFonts w:cs="Arial"/>
          <w:sz w:val="20"/>
        </w:rPr>
        <w:t>Taking composite samples from different probes into a single cylinder is allowed; however, equal sample volumes must be taken from each probe.</w:t>
      </w:r>
      <w:r>
        <w:rPr>
          <w:rFonts w:cs="Arial"/>
          <w:sz w:val="20"/>
        </w:rPr>
        <w:t xml:space="preserve">  </w:t>
      </w:r>
      <w:r w:rsidRPr="00466B72">
        <w:rPr>
          <w:rFonts w:cs="Arial"/>
          <w:sz w:val="20"/>
        </w:rPr>
        <w:t>For each composite, the sampling rate, collection times, beginning and ending cylinder vacuums, or alternative volume measurements must be recorded to verify that composite volumes are equal.</w:t>
      </w:r>
      <w:r>
        <w:rPr>
          <w:rFonts w:cs="Arial"/>
          <w:sz w:val="20"/>
        </w:rPr>
        <w:t xml:space="preserve"> </w:t>
      </w:r>
      <w:r w:rsidRPr="00466B72">
        <w:rPr>
          <w:rFonts w:cs="Arial"/>
          <w:sz w:val="20"/>
        </w:rPr>
        <w:t xml:space="preserve"> Composite sample volumes should not be less than one liter unless evidence can be provided to substantiate the accuracy of smaller volumes. </w:t>
      </w:r>
      <w:r>
        <w:rPr>
          <w:rFonts w:cs="Arial"/>
          <w:sz w:val="20"/>
        </w:rPr>
        <w:t xml:space="preserve"> </w:t>
      </w:r>
      <w:r w:rsidRPr="00466B72">
        <w:rPr>
          <w:rFonts w:cs="Arial"/>
          <w:sz w:val="20"/>
        </w:rPr>
        <w:t xml:space="preserve">Terminate compositing before the cylinder approaches ambient pressure where measurement accuracy diminishes. </w:t>
      </w:r>
      <w:r>
        <w:rPr>
          <w:rFonts w:cs="Arial"/>
          <w:sz w:val="20"/>
        </w:rPr>
        <w:t xml:space="preserve"> </w:t>
      </w:r>
    </w:p>
    <w:p w14:paraId="5E9A6EA9" w14:textId="77777777" w:rsidR="00C67C9B" w:rsidRDefault="00C67C9B" w:rsidP="00C67C9B">
      <w:pPr>
        <w:spacing w:before="100" w:beforeAutospacing="1" w:after="100" w:afterAutospacing="1"/>
        <w:jc w:val="both"/>
        <w:rPr>
          <w:rFonts w:cs="Arial"/>
          <w:sz w:val="20"/>
        </w:rPr>
      </w:pPr>
      <w:r w:rsidRPr="00466B72">
        <w:rPr>
          <w:rFonts w:cs="Arial"/>
          <w:sz w:val="20"/>
        </w:rPr>
        <w:t xml:space="preserve">If using Method 18, the </w:t>
      </w:r>
      <w:r>
        <w:rPr>
          <w:rFonts w:cs="Arial"/>
          <w:sz w:val="20"/>
        </w:rPr>
        <w:t>permittee</w:t>
      </w:r>
      <w:r w:rsidRPr="00466B72">
        <w:rPr>
          <w:rFonts w:cs="Arial"/>
          <w:sz w:val="20"/>
        </w:rPr>
        <w:t xml:space="preserve"> must identify all compounds in the sample and, as a minimum, test for those compounds published in the most recent Compilation of Air Pollutant Emission Factors (AP-42), minus carbon monoxide, hydrogen sulfide, and mercury.</w:t>
      </w:r>
      <w:r>
        <w:rPr>
          <w:rFonts w:cs="Arial"/>
          <w:sz w:val="20"/>
        </w:rPr>
        <w:t xml:space="preserve"> </w:t>
      </w:r>
      <w:r w:rsidRPr="00466B72">
        <w:rPr>
          <w:rFonts w:cs="Arial"/>
          <w:sz w:val="20"/>
        </w:rPr>
        <w:t xml:space="preserve"> As a minimum, the instrument must be c</w:t>
      </w:r>
      <w:r w:rsidRPr="00F633A3">
        <w:rPr>
          <w:rFonts w:cs="Arial"/>
          <w:sz w:val="20"/>
        </w:rPr>
        <w:t>alibrated for each of the compounds on the list.  Convert the concentration of each Method 18 compound to CNMOC</w:t>
      </w:r>
      <w:r w:rsidRPr="00466B72">
        <w:rPr>
          <w:rFonts w:cs="Arial"/>
          <w:sz w:val="20"/>
        </w:rPr>
        <w:t xml:space="preserve"> as hexane by multiplying by the ratio of its carbon atoms divided by six. </w:t>
      </w:r>
      <w:r>
        <w:rPr>
          <w:rFonts w:cs="Arial"/>
          <w:sz w:val="20"/>
        </w:rPr>
        <w:t xml:space="preserve"> </w:t>
      </w:r>
      <w:r w:rsidRPr="00466B72">
        <w:rPr>
          <w:rFonts w:cs="Arial"/>
          <w:sz w:val="20"/>
        </w:rPr>
        <w:t xml:space="preserve">If more than the required number of samples is taken, all samples must be used in the analysis. </w:t>
      </w:r>
      <w:r>
        <w:rPr>
          <w:rFonts w:cs="Arial"/>
          <w:sz w:val="20"/>
        </w:rPr>
        <w:t xml:space="preserve"> </w:t>
      </w:r>
    </w:p>
    <w:p w14:paraId="659442ED" w14:textId="77777777" w:rsidR="00C67C9B" w:rsidRDefault="00C67C9B" w:rsidP="00C67C9B">
      <w:pPr>
        <w:spacing w:before="100" w:beforeAutospacing="1" w:after="100" w:afterAutospacing="1"/>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must divide the NMOC concentration from </w:t>
      </w:r>
      <w:r>
        <w:rPr>
          <w:rFonts w:cs="Arial"/>
          <w:sz w:val="20"/>
        </w:rPr>
        <w:t xml:space="preserve">40 CFR Part 60, </w:t>
      </w:r>
      <w:r w:rsidRPr="00466B72">
        <w:rPr>
          <w:rFonts w:cs="Arial"/>
          <w:sz w:val="20"/>
        </w:rPr>
        <w:t>Method 25 or 25C by six</w:t>
      </w:r>
      <w:r>
        <w:rPr>
          <w:rFonts w:cs="Arial"/>
          <w:sz w:val="20"/>
        </w:rPr>
        <w:t> (6)</w:t>
      </w:r>
      <w:r w:rsidRPr="00466B72">
        <w:rPr>
          <w:rFonts w:cs="Arial"/>
          <w:sz w:val="20"/>
        </w:rPr>
        <w:t xml:space="preserve"> to convert from </w:t>
      </w:r>
      <w:r w:rsidRPr="00305533">
        <w:rPr>
          <w:sz w:val="20"/>
        </w:rPr>
        <w:t>C</w:t>
      </w:r>
      <w:r w:rsidRPr="00EF5470">
        <w:rPr>
          <w:sz w:val="20"/>
          <w:vertAlign w:val="subscript"/>
        </w:rPr>
        <w:t>NMOC</w:t>
      </w:r>
      <w:r w:rsidRPr="00466B72">
        <w:rPr>
          <w:rFonts w:cs="Arial"/>
          <w:sz w:val="20"/>
        </w:rPr>
        <w:t xml:space="preserve"> as carbon to </w:t>
      </w:r>
      <w:bookmarkStart w:id="106" w:name="_Hlk26515123"/>
      <w:r w:rsidRPr="00305533">
        <w:rPr>
          <w:sz w:val="20"/>
        </w:rPr>
        <w:t>C</w:t>
      </w:r>
      <w:r w:rsidRPr="00EF5470">
        <w:rPr>
          <w:sz w:val="20"/>
          <w:vertAlign w:val="subscript"/>
        </w:rPr>
        <w:t>NMOC</w:t>
      </w:r>
      <w:bookmarkEnd w:id="106"/>
      <w:r w:rsidRPr="00466B72">
        <w:rPr>
          <w:rFonts w:cs="Arial"/>
          <w:sz w:val="20"/>
        </w:rPr>
        <w:t xml:space="preserve"> as hexane. </w:t>
      </w:r>
      <w:r>
        <w:rPr>
          <w:rFonts w:cs="Arial"/>
          <w:sz w:val="20"/>
        </w:rPr>
        <w:t xml:space="preserve"> </w:t>
      </w:r>
      <w:r w:rsidRPr="00466B72">
        <w:rPr>
          <w:rFonts w:cs="Arial"/>
          <w:sz w:val="20"/>
        </w:rPr>
        <w:t xml:space="preserve">If the landfill has an active or passive gas removal system in place, Method 25 or 25C samples may be collected from these systems instead of surface probes provided the removal system can be shown to provide sampling as representative as the two-sampling probe per hectare requirement. </w:t>
      </w:r>
      <w:r>
        <w:rPr>
          <w:rFonts w:cs="Arial"/>
          <w:sz w:val="20"/>
        </w:rPr>
        <w:t xml:space="preserve"> </w:t>
      </w:r>
      <w:r w:rsidRPr="00466B72">
        <w:rPr>
          <w:rFonts w:cs="Arial"/>
          <w:sz w:val="20"/>
        </w:rPr>
        <w:t xml:space="preserve">For active collection systems, samples may be collected from the common header pipe before the gas moving or condensate removal equipment. </w:t>
      </w:r>
      <w:r>
        <w:rPr>
          <w:rFonts w:cs="Arial"/>
          <w:sz w:val="20"/>
        </w:rPr>
        <w:t xml:space="preserve"> </w:t>
      </w:r>
      <w:r w:rsidRPr="00466B72">
        <w:rPr>
          <w:rFonts w:cs="Arial"/>
          <w:sz w:val="20"/>
        </w:rPr>
        <w:t xml:space="preserve">For these systems, a minimum of three samples must be collected from the header pipe.  </w:t>
      </w:r>
    </w:p>
    <w:p w14:paraId="03D86FC5" w14:textId="77777777" w:rsidR="00C67C9B" w:rsidRPr="00C361A9" w:rsidRDefault="00C67C9B" w:rsidP="00C67C9B">
      <w:pPr>
        <w:spacing w:before="100" w:beforeAutospacing="1" w:after="100" w:afterAutospacing="1"/>
        <w:jc w:val="both"/>
        <w:rPr>
          <w:sz w:val="20"/>
        </w:rPr>
      </w:pPr>
      <w:r>
        <w:rPr>
          <w:rFonts w:cs="Arial"/>
          <w:sz w:val="20"/>
        </w:rPr>
        <w:lastRenderedPageBreak/>
        <w:t>The permittee must recalculate the NMOC mass emission rate using Equation 1 or Equation 2 in Appendix 7 using the average site-specific NMOC concentration from the collected samples.</w:t>
      </w:r>
      <w:r w:rsidRPr="002E5EFC">
        <w:rPr>
          <w:sz w:val="20"/>
        </w:rPr>
        <w:t xml:space="preserve"> </w:t>
      </w:r>
      <w:r>
        <w:rPr>
          <w:sz w:val="20"/>
        </w:rPr>
        <w:t xml:space="preserve"> </w:t>
      </w:r>
      <w:r w:rsidRPr="006270F4">
        <w:rPr>
          <w:sz w:val="20"/>
        </w:rPr>
        <w:t xml:space="preserve">The </w:t>
      </w:r>
      <w:r>
        <w:rPr>
          <w:rFonts w:cs="Arial"/>
          <w:sz w:val="20"/>
        </w:rPr>
        <w:t>permittee</w:t>
      </w:r>
      <w:r w:rsidRPr="006270F4">
        <w:rPr>
          <w:sz w:val="20"/>
        </w:rPr>
        <w:t xml:space="preserve"> must compare </w:t>
      </w:r>
      <w:r>
        <w:rPr>
          <w:sz w:val="20"/>
        </w:rPr>
        <w:t xml:space="preserve">results </w:t>
      </w:r>
      <w:r w:rsidRPr="006270F4">
        <w:rPr>
          <w:sz w:val="20"/>
        </w:rPr>
        <w:t xml:space="preserve">to the standard of 34 </w:t>
      </w:r>
      <w:r>
        <w:rPr>
          <w:sz w:val="20"/>
        </w:rPr>
        <w:t>Mg</w:t>
      </w:r>
      <w:r w:rsidRPr="006270F4">
        <w:rPr>
          <w:sz w:val="20"/>
        </w:rPr>
        <w:t xml:space="preserve"> per year.</w:t>
      </w:r>
      <w:r>
        <w:rPr>
          <w:sz w:val="20"/>
        </w:rPr>
        <w:t xml:space="preserve">  </w:t>
      </w:r>
      <w:r w:rsidRPr="00466B72">
        <w:rPr>
          <w:rFonts w:cs="Arial"/>
          <w:b/>
          <w:sz w:val="20"/>
        </w:rPr>
        <w:t>(40 CFR 60.7</w:t>
      </w:r>
      <w:r>
        <w:rPr>
          <w:rFonts w:cs="Arial"/>
          <w:b/>
          <w:sz w:val="20"/>
        </w:rPr>
        <w:t>6</w:t>
      </w:r>
      <w:r w:rsidRPr="00466B72">
        <w:rPr>
          <w:rFonts w:cs="Arial"/>
          <w:b/>
          <w:sz w:val="20"/>
        </w:rPr>
        <w:t>4(a)(3))</w:t>
      </w:r>
    </w:p>
    <w:p w14:paraId="21447ABC" w14:textId="77777777" w:rsidR="00C67C9B" w:rsidRPr="00DC063F" w:rsidRDefault="00C67C9B" w:rsidP="00C67C9B">
      <w:pPr>
        <w:spacing w:after="120"/>
        <w:jc w:val="both"/>
        <w:rPr>
          <w:sz w:val="20"/>
        </w:rPr>
      </w:pPr>
      <w:r w:rsidRPr="00161059">
        <w:rPr>
          <w:b/>
          <w:sz w:val="20"/>
          <w:u w:val="single"/>
        </w:rPr>
        <w:t>Tier 3</w:t>
      </w:r>
    </w:p>
    <w:p w14:paraId="5B25518A" w14:textId="77777777" w:rsidR="00C67C9B" w:rsidRDefault="00C67C9B" w:rsidP="00C67C9B">
      <w:pPr>
        <w:jc w:val="both"/>
        <w:rPr>
          <w:sz w:val="20"/>
        </w:rPr>
      </w:pPr>
      <w:r w:rsidRPr="00466B72">
        <w:rPr>
          <w:rFonts w:cs="Arial"/>
          <w:sz w:val="20"/>
        </w:rPr>
        <w:t xml:space="preserve">The site-specific methane generation rate constant </w:t>
      </w:r>
      <w:r>
        <w:rPr>
          <w:rFonts w:cs="Arial"/>
          <w:sz w:val="20"/>
        </w:rPr>
        <w:t>must</w:t>
      </w:r>
      <w:r w:rsidRPr="00466B72">
        <w:rPr>
          <w:rFonts w:cs="Arial"/>
          <w:sz w:val="20"/>
        </w:rPr>
        <w:t xml:space="preserve"> be determined using the procedures provided in </w:t>
      </w:r>
      <w:r>
        <w:rPr>
          <w:rFonts w:cs="Arial"/>
          <w:sz w:val="20"/>
        </w:rPr>
        <w:t>40 CFR Part 60, A</w:t>
      </w:r>
      <w:r w:rsidRPr="00466B72">
        <w:rPr>
          <w:rFonts w:cs="Arial"/>
          <w:sz w:val="20"/>
        </w:rPr>
        <w:t>ppendix A</w:t>
      </w:r>
      <w:r>
        <w:rPr>
          <w:rFonts w:cs="Arial"/>
          <w:sz w:val="20"/>
        </w:rPr>
        <w:t>, Method 2E</w:t>
      </w:r>
      <w:r w:rsidRPr="00466B72">
        <w:rPr>
          <w:rFonts w:cs="Arial"/>
          <w:sz w:val="20"/>
        </w:rPr>
        <w:t xml:space="preserve">. </w:t>
      </w:r>
      <w:r>
        <w:rPr>
          <w:rFonts w:cs="Arial"/>
          <w:sz w:val="20"/>
        </w:rPr>
        <w:t xml:space="preserve"> </w:t>
      </w: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estimate the NMOC mass emission rate using </w:t>
      </w:r>
      <w:r w:rsidRPr="00885B69">
        <w:rPr>
          <w:rFonts w:cs="Arial"/>
          <w:b/>
          <w:sz w:val="20"/>
        </w:rPr>
        <w:t>Equation 1</w:t>
      </w:r>
      <w:r>
        <w:rPr>
          <w:rFonts w:cs="Arial"/>
          <w:sz w:val="20"/>
        </w:rPr>
        <w:t xml:space="preserve"> </w:t>
      </w:r>
      <w:r w:rsidRPr="00885B69">
        <w:rPr>
          <w:rFonts w:cs="Arial"/>
          <w:sz w:val="20"/>
        </w:rPr>
        <w:t>(</w:t>
      </w:r>
      <w:r>
        <w:rPr>
          <w:rFonts w:cs="Arial"/>
          <w:sz w:val="20"/>
        </w:rPr>
        <w:t xml:space="preserve">40 CFR </w:t>
      </w:r>
      <w:r w:rsidRPr="00885B69">
        <w:rPr>
          <w:rFonts w:cs="Arial"/>
          <w:sz w:val="20"/>
        </w:rPr>
        <w:t>60.7</w:t>
      </w:r>
      <w:r>
        <w:rPr>
          <w:rFonts w:cs="Arial"/>
          <w:sz w:val="20"/>
        </w:rPr>
        <w:t>6</w:t>
      </w:r>
      <w:r w:rsidRPr="00885B69">
        <w:rPr>
          <w:rFonts w:cs="Arial"/>
          <w:sz w:val="20"/>
        </w:rPr>
        <w:t>4(a)(1)(</w:t>
      </w:r>
      <w:proofErr w:type="spellStart"/>
      <w:r w:rsidRPr="00885B69">
        <w:rPr>
          <w:rFonts w:cs="Arial"/>
          <w:sz w:val="20"/>
        </w:rPr>
        <w:t>i</w:t>
      </w:r>
      <w:proofErr w:type="spellEnd"/>
      <w:r w:rsidRPr="00885B69">
        <w:rPr>
          <w:rFonts w:cs="Arial"/>
          <w:sz w:val="20"/>
        </w:rPr>
        <w:t xml:space="preserve">)) or </w:t>
      </w:r>
      <w:r w:rsidRPr="00885B69">
        <w:rPr>
          <w:rFonts w:cs="Arial"/>
          <w:b/>
          <w:sz w:val="20"/>
        </w:rPr>
        <w:t>Equation 2</w:t>
      </w:r>
      <w:r w:rsidRPr="00885B69">
        <w:rPr>
          <w:rFonts w:cs="Arial"/>
          <w:sz w:val="20"/>
        </w:rPr>
        <w:t xml:space="preserve"> (</w:t>
      </w:r>
      <w:r>
        <w:rPr>
          <w:rFonts w:cs="Arial"/>
          <w:sz w:val="20"/>
        </w:rPr>
        <w:t xml:space="preserve">40 CFR </w:t>
      </w:r>
      <w:r w:rsidRPr="00885B69">
        <w:rPr>
          <w:rFonts w:cs="Arial"/>
          <w:sz w:val="20"/>
        </w:rPr>
        <w:t>60.7</w:t>
      </w:r>
      <w:r>
        <w:rPr>
          <w:rFonts w:cs="Arial"/>
          <w:sz w:val="20"/>
        </w:rPr>
        <w:t>6</w:t>
      </w:r>
      <w:r w:rsidRPr="00885B69">
        <w:rPr>
          <w:rFonts w:cs="Arial"/>
          <w:sz w:val="20"/>
        </w:rPr>
        <w:t>4(a)(1)(ii))</w:t>
      </w:r>
      <w:r w:rsidRPr="00466B72">
        <w:rPr>
          <w:rFonts w:cs="Arial"/>
          <w:sz w:val="20"/>
        </w:rPr>
        <w:t xml:space="preserve"> and using a site-specific methane generation rate constant </w:t>
      </w:r>
      <w:r>
        <w:rPr>
          <w:rFonts w:cs="Arial"/>
          <w:sz w:val="20"/>
        </w:rPr>
        <w:t>(</w:t>
      </w:r>
      <w:r w:rsidRPr="00466B72">
        <w:rPr>
          <w:rFonts w:cs="Arial"/>
          <w:sz w:val="20"/>
        </w:rPr>
        <w:t>k</w:t>
      </w:r>
      <w:r>
        <w:rPr>
          <w:rFonts w:cs="Arial"/>
          <w:sz w:val="20"/>
        </w:rPr>
        <w:t>)</w:t>
      </w:r>
      <w:r w:rsidRPr="00466B72">
        <w:rPr>
          <w:rFonts w:cs="Arial"/>
          <w:sz w:val="20"/>
        </w:rPr>
        <w:t xml:space="preserve">, and the site-specific NMOC concentration as determined in </w:t>
      </w:r>
      <w:r>
        <w:rPr>
          <w:rFonts w:cs="Arial"/>
          <w:sz w:val="20"/>
        </w:rPr>
        <w:t>40 CFR 60.764</w:t>
      </w:r>
      <w:r w:rsidRPr="00466B72">
        <w:rPr>
          <w:rFonts w:cs="Arial"/>
          <w:sz w:val="20"/>
        </w:rPr>
        <w:t>(a)(3) instead of the defau</w:t>
      </w:r>
      <w:r>
        <w:rPr>
          <w:rFonts w:cs="Arial"/>
          <w:sz w:val="20"/>
        </w:rPr>
        <w:t>lt values provided in 40 CFR 60.764</w:t>
      </w:r>
      <w:r w:rsidRPr="00466B72">
        <w:rPr>
          <w:rFonts w:cs="Arial"/>
          <w:sz w:val="20"/>
        </w:rPr>
        <w:t>(a)(1).</w:t>
      </w:r>
      <w:r>
        <w:rPr>
          <w:rFonts w:cs="Arial"/>
          <w:sz w:val="20"/>
        </w:rPr>
        <w:t xml:space="preserve"> </w:t>
      </w:r>
      <w:r w:rsidRPr="00466B72">
        <w:rPr>
          <w:rFonts w:cs="Arial"/>
          <w:sz w:val="20"/>
        </w:rPr>
        <w:t xml:space="preserve"> 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compare the resulting NMOC mass emission rate to the standard of </w:t>
      </w:r>
      <w:r>
        <w:rPr>
          <w:rFonts w:cs="Arial"/>
          <w:sz w:val="20"/>
        </w:rPr>
        <w:t>34</w:t>
      </w:r>
      <w:r w:rsidRPr="00466B72">
        <w:rPr>
          <w:rFonts w:cs="Arial"/>
          <w:sz w:val="20"/>
        </w:rPr>
        <w:t xml:space="preserve"> </w:t>
      </w:r>
      <w:r>
        <w:rPr>
          <w:rFonts w:cs="Arial"/>
          <w:sz w:val="20"/>
        </w:rPr>
        <w:t>Mg</w:t>
      </w:r>
      <w:r w:rsidRPr="00466B72">
        <w:rPr>
          <w:rFonts w:cs="Arial"/>
          <w:sz w:val="20"/>
        </w:rPr>
        <w:t xml:space="preserve"> per year.</w:t>
      </w:r>
      <w:r>
        <w:rPr>
          <w:rFonts w:cs="Arial"/>
          <w:sz w:val="20"/>
        </w:rPr>
        <w:t xml:space="preserve"> </w:t>
      </w:r>
      <w:r w:rsidRPr="00466B72">
        <w:rPr>
          <w:rFonts w:cs="Arial"/>
          <w:sz w:val="20"/>
        </w:rPr>
        <w:t xml:space="preserve"> </w:t>
      </w:r>
      <w:r w:rsidRPr="00466B72">
        <w:rPr>
          <w:rFonts w:cs="Arial"/>
          <w:b/>
          <w:sz w:val="20"/>
        </w:rPr>
        <w:t>(40 CFR 60.7</w:t>
      </w:r>
      <w:r>
        <w:rPr>
          <w:rFonts w:cs="Arial"/>
          <w:b/>
          <w:sz w:val="20"/>
        </w:rPr>
        <w:t>6</w:t>
      </w:r>
      <w:r w:rsidRPr="00466B72">
        <w:rPr>
          <w:rFonts w:cs="Arial"/>
          <w:b/>
          <w:sz w:val="20"/>
        </w:rPr>
        <w:t>4(a)(4))</w:t>
      </w:r>
    </w:p>
    <w:p w14:paraId="41B613C5" w14:textId="77777777" w:rsidR="00C67C9B" w:rsidRDefault="00C67C9B" w:rsidP="00C67C9B"/>
    <w:p w14:paraId="012130FB" w14:textId="77777777" w:rsidR="00C67C9B" w:rsidRPr="00DC063F" w:rsidRDefault="00C67C9B" w:rsidP="00C67C9B">
      <w:pPr>
        <w:spacing w:after="120"/>
        <w:rPr>
          <w:sz w:val="20"/>
        </w:rPr>
      </w:pPr>
      <w:r w:rsidRPr="003A49EA">
        <w:rPr>
          <w:b/>
          <w:sz w:val="20"/>
          <w:u w:val="single"/>
        </w:rPr>
        <w:t>Tier 4</w:t>
      </w:r>
    </w:p>
    <w:p w14:paraId="7160BA70" w14:textId="7ECE8A22" w:rsidR="00C67C9B" w:rsidRDefault="00C67C9B" w:rsidP="00C67C9B">
      <w:pPr>
        <w:jc w:val="both"/>
        <w:rPr>
          <w:sz w:val="20"/>
        </w:rPr>
      </w:pPr>
      <w:r w:rsidRPr="00DD6B37">
        <w:rPr>
          <w:sz w:val="20"/>
        </w:rPr>
        <w:t xml:space="preserve">The </w:t>
      </w:r>
      <w:r w:rsidR="008A16CE">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Tier 4 is allowed only if the landfill owner or operator can demonstrate that NMOC emissions are greater than or equal to 34 Mg/</w:t>
      </w:r>
      <w:proofErr w:type="spellStart"/>
      <w:r w:rsidRPr="00DD6B37">
        <w:rPr>
          <w:sz w:val="20"/>
        </w:rPr>
        <w:t>yr</w:t>
      </w:r>
      <w:proofErr w:type="spellEnd"/>
      <w:r w:rsidRPr="00DD6B37">
        <w:rPr>
          <w:sz w:val="20"/>
        </w:rPr>
        <w:t xml:space="preserve"> but less than 50 Mg/</w:t>
      </w:r>
      <w:proofErr w:type="spellStart"/>
      <w:r w:rsidRPr="00DD6B37">
        <w:rPr>
          <w:sz w:val="20"/>
        </w:rPr>
        <w:t>yr</w:t>
      </w:r>
      <w:proofErr w:type="spellEnd"/>
      <w:r w:rsidRPr="00DD6B37">
        <w:rPr>
          <w:sz w:val="20"/>
        </w:rPr>
        <w:t xml:space="preserve"> using Tier 1 or Tier 2.</w:t>
      </w:r>
      <w:r>
        <w:rPr>
          <w:sz w:val="20"/>
        </w:rPr>
        <w:t xml:space="preserve"> </w:t>
      </w:r>
      <w:r w:rsidRPr="00DD6B37">
        <w:rPr>
          <w:sz w:val="20"/>
        </w:rPr>
        <w:t xml:space="preserve"> If both Tier 1 and Tier 2 indicate NMOC emissions are 50 Mg/</w:t>
      </w:r>
      <w:proofErr w:type="spellStart"/>
      <w:r w:rsidRPr="00DD6B37">
        <w:rPr>
          <w:sz w:val="20"/>
        </w:rPr>
        <w:t>yr</w:t>
      </w:r>
      <w:proofErr w:type="spellEnd"/>
      <w:r w:rsidRPr="00DD6B37">
        <w:rPr>
          <w:sz w:val="20"/>
        </w:rPr>
        <w:t xml:space="preserve"> or greater, then Tier 4 cannot be used. </w:t>
      </w:r>
    </w:p>
    <w:p w14:paraId="26DD4FCE" w14:textId="77777777" w:rsidR="00C67C9B" w:rsidRDefault="00C67C9B" w:rsidP="00C67C9B">
      <w:pPr>
        <w:jc w:val="both"/>
        <w:rPr>
          <w:sz w:val="20"/>
        </w:rPr>
      </w:pPr>
    </w:p>
    <w:p w14:paraId="134B4D42" w14:textId="7C79AFA6" w:rsidR="00C67C9B" w:rsidRPr="00533073" w:rsidRDefault="00C67C9B" w:rsidP="00C67C9B">
      <w:pPr>
        <w:jc w:val="both"/>
        <w:rPr>
          <w:sz w:val="20"/>
        </w:rPr>
      </w:pPr>
      <w:r w:rsidRPr="00533073">
        <w:rPr>
          <w:sz w:val="20"/>
        </w:rPr>
        <w:t xml:space="preserve">The </w:t>
      </w:r>
      <w:r w:rsidR="008A16CE">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60.765(d).  The background concentration must be determined by moving the probe inlet upwind and downwind at least 30 meters from the waste mass boundary of the landfill.</w:t>
      </w:r>
    </w:p>
    <w:p w14:paraId="4ADF9207" w14:textId="77777777" w:rsidR="00C67C9B" w:rsidRPr="00533073" w:rsidRDefault="00C67C9B" w:rsidP="00C67C9B">
      <w:pPr>
        <w:jc w:val="both"/>
        <w:rPr>
          <w:sz w:val="20"/>
        </w:rPr>
      </w:pPr>
    </w:p>
    <w:p w14:paraId="7DF1E118" w14:textId="77777777" w:rsidR="00C67C9B" w:rsidRPr="00533073" w:rsidRDefault="00C67C9B" w:rsidP="00C67C9B">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 S</w:t>
      </w:r>
      <w:r w:rsidRPr="00533073">
        <w:rPr>
          <w:sz w:val="20"/>
        </w:rPr>
        <w:t>ection 8.3.1 of Method 21except that the probe inlet must be placed no more than 5 centimeters above the landfill surface; the constant measurement of distance above the surface should be based on a mechanical device such as with a wheel on a pole, except, the owner or operator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 xml:space="preserve">The wind barrier must surround the SEM, and must be placed on the ground, to ensure wind turbulence is blocked. </w:t>
      </w:r>
      <w:r>
        <w:rPr>
          <w:sz w:val="20"/>
        </w:rPr>
        <w:t xml:space="preserve"> </w:t>
      </w:r>
      <w:r w:rsidRPr="00533073">
        <w:rPr>
          <w:sz w:val="20"/>
        </w:rPr>
        <w:t>SEM cannot be conducted if average wind speed exceeds 25 miles per hour.</w:t>
      </w:r>
    </w:p>
    <w:p w14:paraId="43554BA8" w14:textId="77777777" w:rsidR="00C67C9B" w:rsidRPr="00533073" w:rsidRDefault="00C67C9B" w:rsidP="00C67C9B">
      <w:pPr>
        <w:jc w:val="both"/>
        <w:rPr>
          <w:sz w:val="20"/>
        </w:rPr>
      </w:pPr>
    </w:p>
    <w:p w14:paraId="3A444246" w14:textId="77777777" w:rsidR="00C67C9B" w:rsidRPr="00533073" w:rsidRDefault="00C67C9B" w:rsidP="00C67C9B">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 xml:space="preserve">40 CFR </w:t>
      </w:r>
      <w:r w:rsidRPr="00533073">
        <w:rPr>
          <w:sz w:val="20"/>
        </w:rPr>
        <w:t>60.765(d).</w:t>
      </w:r>
    </w:p>
    <w:p w14:paraId="67AF53E4" w14:textId="77777777" w:rsidR="00C67C9B" w:rsidRPr="00533073" w:rsidRDefault="00C67C9B" w:rsidP="00C67C9B">
      <w:pPr>
        <w:jc w:val="both"/>
        <w:rPr>
          <w:sz w:val="20"/>
        </w:rPr>
      </w:pPr>
    </w:p>
    <w:p w14:paraId="4C323136" w14:textId="77777777" w:rsidR="00C67C9B" w:rsidRPr="00533073" w:rsidRDefault="00C67C9B" w:rsidP="00C67C9B">
      <w:pPr>
        <w:jc w:val="both"/>
        <w:rPr>
          <w:sz w:val="20"/>
        </w:rPr>
      </w:pPr>
      <w:r w:rsidRPr="00533073">
        <w:rPr>
          <w:sz w:val="20"/>
        </w:rPr>
        <w:t xml:space="preserve">Each owner or operator seeking to comply with the Tier 4 provisions must maintain records of surface emission monitoring as provided in </w:t>
      </w:r>
      <w:r>
        <w:rPr>
          <w:sz w:val="20"/>
        </w:rPr>
        <w:t xml:space="preserve">40 CFR </w:t>
      </w:r>
      <w:r w:rsidRPr="00533073">
        <w:rPr>
          <w:sz w:val="20"/>
        </w:rPr>
        <w:t xml:space="preserve">60.768(g) and submit a Tier 4 surface emissions report as provided in </w:t>
      </w:r>
      <w:r>
        <w:rPr>
          <w:sz w:val="20"/>
        </w:rPr>
        <w:t xml:space="preserve">40 CFR </w:t>
      </w:r>
      <w:r w:rsidRPr="00533073">
        <w:rPr>
          <w:sz w:val="20"/>
        </w:rPr>
        <w:t>60.767(c)(4)(iii).</w:t>
      </w:r>
    </w:p>
    <w:p w14:paraId="3C96C739" w14:textId="77777777" w:rsidR="00C67C9B" w:rsidRPr="00533073" w:rsidRDefault="00C67C9B" w:rsidP="00C67C9B">
      <w:pPr>
        <w:jc w:val="both"/>
        <w:rPr>
          <w:sz w:val="20"/>
        </w:rPr>
      </w:pPr>
    </w:p>
    <w:p w14:paraId="7F65B10B" w14:textId="77777777" w:rsidR="00C67C9B" w:rsidRPr="00533073" w:rsidRDefault="00C67C9B" w:rsidP="00C67C9B">
      <w:pPr>
        <w:jc w:val="both"/>
        <w:rPr>
          <w:sz w:val="20"/>
        </w:rPr>
      </w:pPr>
      <w:r w:rsidRPr="00533073">
        <w:rPr>
          <w:sz w:val="20"/>
        </w:rPr>
        <w:t xml:space="preserve">If after four consecutive quarterly monitoring periods at a landfill, other than a closed landfill, there is no measured concentration of methane of 500 </w:t>
      </w:r>
      <w:r>
        <w:rPr>
          <w:sz w:val="20"/>
        </w:rPr>
        <w:t>ppm</w:t>
      </w:r>
      <w:r w:rsidRPr="00533073">
        <w:rPr>
          <w:sz w:val="20"/>
        </w:rPr>
        <w:t xml:space="preserve"> or greater from the surface of the landfill, the owner or operator must continue quarterly surface emission monitoring using the methods specified in this section.</w:t>
      </w:r>
    </w:p>
    <w:p w14:paraId="7B45DCF1" w14:textId="77777777" w:rsidR="00C67C9B" w:rsidRPr="00533073" w:rsidRDefault="00C67C9B" w:rsidP="00C67C9B">
      <w:pPr>
        <w:jc w:val="both"/>
        <w:rPr>
          <w:sz w:val="20"/>
        </w:rPr>
      </w:pPr>
    </w:p>
    <w:p w14:paraId="423A03C2" w14:textId="77777777" w:rsidR="00C67C9B" w:rsidRPr="00533073" w:rsidRDefault="00C67C9B" w:rsidP="00C67C9B">
      <w:pPr>
        <w:jc w:val="both"/>
        <w:rPr>
          <w:sz w:val="20"/>
        </w:rPr>
      </w:pPr>
      <w:r w:rsidRPr="00533073">
        <w:rPr>
          <w:sz w:val="20"/>
        </w:rPr>
        <w:t xml:space="preserve">If after four consecutive quarterly monitoring periods at a closed landfill there is no measured concentration of methane of 500 </w:t>
      </w:r>
      <w:r>
        <w:rPr>
          <w:sz w:val="20"/>
        </w:rPr>
        <w:t>ppm</w:t>
      </w:r>
      <w:r w:rsidRPr="00533073">
        <w:rPr>
          <w:sz w:val="20"/>
        </w:rPr>
        <w:t xml:space="preserve"> or greater from the surface of the landfill, the owner or operator must conduct annual surface emission monitoring.</w:t>
      </w:r>
    </w:p>
    <w:p w14:paraId="46AF0D35" w14:textId="77777777" w:rsidR="00C67C9B" w:rsidRPr="00533073" w:rsidRDefault="00C67C9B" w:rsidP="00C67C9B">
      <w:pPr>
        <w:jc w:val="both"/>
        <w:rPr>
          <w:sz w:val="20"/>
        </w:rPr>
      </w:pPr>
    </w:p>
    <w:p w14:paraId="449A7B07" w14:textId="77777777" w:rsidR="00C67C9B" w:rsidRPr="00DD6B37" w:rsidRDefault="00C67C9B" w:rsidP="00C67C9B">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(40 CFR 60.764(a)(6)(vii))</w:t>
      </w:r>
    </w:p>
    <w:p w14:paraId="756E8E09" w14:textId="7DC08B3F" w:rsidR="00C67C9B" w:rsidRPr="00DD6B37" w:rsidRDefault="00C67C9B" w:rsidP="00102715">
      <w:pPr>
        <w:pStyle w:val="NoSpacing"/>
        <w:spacing w:after="120"/>
        <w:ind w:left="810" w:hanging="450"/>
        <w:jc w:val="both"/>
        <w:rPr>
          <w:sz w:val="20"/>
        </w:rPr>
      </w:pPr>
      <w:r w:rsidRPr="00DD6B37">
        <w:rPr>
          <w:sz w:val="20"/>
        </w:rPr>
        <w:t xml:space="preserve">(A) </w:t>
      </w:r>
      <w:r w:rsidR="00102715">
        <w:rPr>
          <w:sz w:val="20"/>
        </w:rPr>
        <w:t xml:space="preserve"> </w:t>
      </w:r>
      <w:r w:rsidRPr="00DD6B37">
        <w:rPr>
          <w:sz w:val="20"/>
        </w:rPr>
        <w:t>The gas collection and control system must have operated for 6,570 out of 8,760 hours preceding the Tier 4 surface emissions monitoring demonstration.</w:t>
      </w:r>
    </w:p>
    <w:p w14:paraId="2D4BEEF3" w14:textId="5EAAE406" w:rsidR="00C67C9B" w:rsidRPr="00DD6B37" w:rsidRDefault="00C67C9B" w:rsidP="00102715">
      <w:pPr>
        <w:pStyle w:val="NoSpacing"/>
        <w:ind w:left="810" w:hanging="450"/>
        <w:jc w:val="both"/>
        <w:rPr>
          <w:sz w:val="20"/>
        </w:rPr>
      </w:pPr>
      <w:r w:rsidRPr="00DD6B37">
        <w:rPr>
          <w:sz w:val="20"/>
        </w:rPr>
        <w:lastRenderedPageBreak/>
        <w:t xml:space="preserve">(B) </w:t>
      </w:r>
      <w:r w:rsidR="00102715">
        <w:rPr>
          <w:sz w:val="20"/>
        </w:rPr>
        <w:t xml:space="preserve"> </w:t>
      </w:r>
      <w:r w:rsidRPr="00DD6B37">
        <w:rPr>
          <w:sz w:val="20"/>
        </w:rPr>
        <w:t>During the Tier 4 surface emissions monitoring demonstration, the gas collection and control system must operate as it normally would to collect and control as much landfill gas as possible.</w:t>
      </w:r>
    </w:p>
    <w:p w14:paraId="0923D713" w14:textId="77777777" w:rsidR="00C60E84" w:rsidRDefault="00C60E84" w:rsidP="004F09CF">
      <w:pPr>
        <w:jc w:val="both"/>
        <w:rPr>
          <w:sz w:val="20"/>
        </w:rPr>
      </w:pPr>
    </w:p>
    <w:p w14:paraId="4B492BB6" w14:textId="4708212B" w:rsidR="009C1949" w:rsidRDefault="009C1949" w:rsidP="009C1949">
      <w:pPr>
        <w:ind w:left="360" w:hanging="360"/>
        <w:jc w:val="both"/>
        <w:rPr>
          <w:b/>
          <w:bCs/>
          <w:sz w:val="20"/>
        </w:rPr>
      </w:pPr>
      <w:bookmarkStart w:id="107" w:name="_Hlk105500931"/>
      <w:r w:rsidRPr="009C1949">
        <w:rPr>
          <w:b/>
          <w:bCs/>
          <w:sz w:val="20"/>
        </w:rPr>
        <w:t>B.</w:t>
      </w:r>
      <w:r>
        <w:rPr>
          <w:sz w:val="20"/>
        </w:rPr>
        <w:t xml:space="preserve">  </w:t>
      </w:r>
      <w:r w:rsidRPr="000A7B2E">
        <w:rPr>
          <w:sz w:val="20"/>
        </w:rPr>
        <w:t xml:space="preserve">The permittee must use the following approved procedures, to measure the pollutant emissions for the applicable requirements referenced in </w:t>
      </w:r>
      <w:r w:rsidRPr="00303FF0">
        <w:rPr>
          <w:sz w:val="20"/>
        </w:rPr>
        <w:t>FGLANDFILL-AAAA&lt;50</w:t>
      </w:r>
      <w:r w:rsidRPr="000A7B2E">
        <w:rPr>
          <w:sz w:val="20"/>
        </w:rPr>
        <w:t xml:space="preserve">.  </w:t>
      </w:r>
      <w:r w:rsidRPr="000A7B2E">
        <w:rPr>
          <w:b/>
          <w:bCs/>
          <w:sz w:val="20"/>
        </w:rPr>
        <w:t>(40 CFR 63.1959(a))</w:t>
      </w:r>
    </w:p>
    <w:p w14:paraId="5B3AF6B0" w14:textId="77777777" w:rsidR="00C05627" w:rsidRDefault="00C05627" w:rsidP="009C1949">
      <w:pPr>
        <w:ind w:left="360" w:hanging="360"/>
        <w:jc w:val="both"/>
        <w:rPr>
          <w:b/>
          <w:bCs/>
          <w:sz w:val="20"/>
        </w:rPr>
      </w:pPr>
    </w:p>
    <w:p w14:paraId="0612D8FE" w14:textId="77777777" w:rsidR="00C05627" w:rsidRPr="00B92DC3" w:rsidRDefault="00C05627" w:rsidP="00C05627">
      <w:pPr>
        <w:spacing w:after="120"/>
        <w:jc w:val="both"/>
        <w:rPr>
          <w:sz w:val="20"/>
        </w:rPr>
      </w:pPr>
      <w:r w:rsidRPr="006270F4">
        <w:rPr>
          <w:b/>
          <w:sz w:val="20"/>
          <w:u w:val="single"/>
        </w:rPr>
        <w:t>Tier 1</w:t>
      </w:r>
    </w:p>
    <w:p w14:paraId="1C1B3AED" w14:textId="2D5FB703" w:rsidR="00C05627" w:rsidRPr="00466B72" w:rsidRDefault="00C05627" w:rsidP="00C05627">
      <w:pPr>
        <w:jc w:val="both"/>
        <w:rPr>
          <w:sz w:val="20"/>
        </w:rPr>
      </w:pPr>
      <w:r w:rsidRPr="006270F4">
        <w:rPr>
          <w:sz w:val="20"/>
        </w:rPr>
        <w:t xml:space="preserve">The </w:t>
      </w:r>
      <w:r>
        <w:rPr>
          <w:sz w:val="20"/>
        </w:rPr>
        <w:t>permittee</w:t>
      </w:r>
      <w:r w:rsidRPr="006270F4">
        <w:rPr>
          <w:sz w:val="20"/>
        </w:rPr>
        <w:t xml:space="preserve"> must </w:t>
      </w:r>
      <w:r>
        <w:rPr>
          <w:sz w:val="20"/>
        </w:rPr>
        <w:t>calculate</w:t>
      </w:r>
      <w:r w:rsidRPr="006270F4">
        <w:rPr>
          <w:sz w:val="20"/>
        </w:rPr>
        <w:t xml:space="preserve"> NMOC mass emission rate</w:t>
      </w:r>
      <w:r>
        <w:rPr>
          <w:sz w:val="20"/>
        </w:rPr>
        <w:t xml:space="preserve"> utilizing Equation 1 or 2 in Appendix 7, as applicable, and </w:t>
      </w:r>
      <w:r w:rsidRPr="006270F4">
        <w:rPr>
          <w:sz w:val="20"/>
        </w:rPr>
        <w:t xml:space="preserve">compare </w:t>
      </w:r>
      <w:r>
        <w:rPr>
          <w:sz w:val="20"/>
        </w:rPr>
        <w:t>it</w:t>
      </w:r>
      <w:r w:rsidRPr="006270F4">
        <w:rPr>
          <w:sz w:val="20"/>
        </w:rPr>
        <w:t xml:space="preserve"> to the standard of </w:t>
      </w:r>
      <w:r>
        <w:rPr>
          <w:sz w:val="20"/>
        </w:rPr>
        <w:t>50</w:t>
      </w:r>
      <w:r w:rsidRPr="006270F4">
        <w:rPr>
          <w:sz w:val="20"/>
        </w:rPr>
        <w:t xml:space="preserve"> </w:t>
      </w:r>
      <w:r>
        <w:rPr>
          <w:sz w:val="20"/>
        </w:rPr>
        <w:t>Mg</w:t>
      </w:r>
      <w:r w:rsidRPr="006270F4">
        <w:rPr>
          <w:sz w:val="20"/>
        </w:rPr>
        <w:t xml:space="preserve"> per year.</w:t>
      </w:r>
      <w:r w:rsidRPr="006270F4">
        <w:rPr>
          <w:rFonts w:cs="Arial"/>
          <w:b/>
          <w:sz w:val="20"/>
        </w:rPr>
        <w:t xml:space="preserve"> </w:t>
      </w:r>
      <w:r>
        <w:rPr>
          <w:rFonts w:cs="Arial"/>
          <w:b/>
          <w:sz w:val="20"/>
        </w:rPr>
        <w:t xml:space="preserve"> </w:t>
      </w:r>
      <w:r w:rsidRPr="00FB6DD1">
        <w:rPr>
          <w:rFonts w:cs="Arial"/>
          <w:b/>
          <w:sz w:val="20"/>
        </w:rPr>
        <w:t>(</w:t>
      </w:r>
      <w:r w:rsidR="007B05DF" w:rsidRPr="00FB6DD1">
        <w:rPr>
          <w:rFonts w:cs="Arial"/>
          <w:b/>
          <w:color w:val="333333"/>
          <w:sz w:val="20"/>
          <w:shd w:val="clear" w:color="auto" w:fill="FFFFFF"/>
        </w:rPr>
        <w:t>40 CFR 63.1959(a)(2))</w:t>
      </w:r>
    </w:p>
    <w:p w14:paraId="511EB0CC" w14:textId="77777777" w:rsidR="009C1949" w:rsidRPr="000A7B2E" w:rsidRDefault="009C1949" w:rsidP="009C1949">
      <w:pPr>
        <w:jc w:val="both"/>
        <w:rPr>
          <w:sz w:val="20"/>
        </w:rPr>
      </w:pPr>
    </w:p>
    <w:p w14:paraId="21715296" w14:textId="77777777" w:rsidR="009C1949" w:rsidRPr="000A7B2E" w:rsidRDefault="009C1949" w:rsidP="009C1949">
      <w:pPr>
        <w:spacing w:after="120"/>
        <w:jc w:val="both"/>
        <w:rPr>
          <w:b/>
          <w:bCs/>
          <w:sz w:val="20"/>
          <w:u w:val="single"/>
        </w:rPr>
      </w:pPr>
      <w:r w:rsidRPr="000A7B2E">
        <w:rPr>
          <w:b/>
          <w:bCs/>
          <w:sz w:val="20"/>
          <w:u w:val="single"/>
        </w:rPr>
        <w:t>Tier 2</w:t>
      </w:r>
    </w:p>
    <w:p w14:paraId="1379FB1E" w14:textId="77777777" w:rsidR="009C1949" w:rsidRDefault="009C1949" w:rsidP="009C1949">
      <w:pPr>
        <w:jc w:val="both"/>
        <w:rPr>
          <w:sz w:val="20"/>
        </w:rPr>
      </w:pPr>
      <w:r w:rsidRPr="000A7B2E">
        <w:rPr>
          <w:sz w:val="20"/>
        </w:rPr>
        <w:t>The permittee must determine the site-specific NMOC concentration using the following sampling procedure.  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w:t>
      </w:r>
    </w:p>
    <w:p w14:paraId="49A37155" w14:textId="77777777" w:rsidR="009C1949" w:rsidRPr="000A7B2E" w:rsidRDefault="009C1949" w:rsidP="009C1949">
      <w:pPr>
        <w:jc w:val="both"/>
        <w:rPr>
          <w:sz w:val="20"/>
        </w:rPr>
      </w:pPr>
      <w:r w:rsidRPr="000A7B2E">
        <w:rPr>
          <w:sz w:val="20"/>
        </w:rPr>
        <w:t xml:space="preserve">  </w:t>
      </w:r>
    </w:p>
    <w:p w14:paraId="1E3FB601" w14:textId="77777777" w:rsidR="009C1949" w:rsidRPr="000A7B2E" w:rsidRDefault="009C1949" w:rsidP="009C1949">
      <w:pPr>
        <w:jc w:val="both"/>
        <w:rPr>
          <w:sz w:val="20"/>
        </w:rPr>
      </w:pPr>
      <w:r w:rsidRPr="000A7B2E">
        <w:rPr>
          <w:sz w:val="20"/>
        </w:rPr>
        <w:t xml:space="preserve">The permittee must collect and analyze one sample of landfill gas from each probe to determine the NMOC concentration using 40 CFR Part 60, Appendix A-7,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A-7, Method 25 or 25C by six (6) to convert from CNMOC as carbon to CNMOC as hexane.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For active collection systems, samples may be collected from the common header pipe.  The sample location on the common header pipe must be before any gas moving, condensate removal, or treatment system equipment.  For active collection systems, a minimum of three (3) samples must be collected from the header pipe.  </w:t>
      </w:r>
      <w:r w:rsidRPr="000A7B2E">
        <w:rPr>
          <w:b/>
          <w:bCs/>
          <w:sz w:val="20"/>
        </w:rPr>
        <w:t>(40 CFR 63.1959(a)(3))</w:t>
      </w:r>
    </w:p>
    <w:p w14:paraId="0D35FBF7" w14:textId="77777777" w:rsidR="009C1949" w:rsidRPr="000A7B2E" w:rsidRDefault="009C1949" w:rsidP="009C1949">
      <w:pPr>
        <w:jc w:val="both"/>
        <w:rPr>
          <w:sz w:val="20"/>
        </w:rPr>
      </w:pPr>
    </w:p>
    <w:p w14:paraId="6B0FDDA9" w14:textId="77777777" w:rsidR="009C1949" w:rsidRPr="000A7B2E" w:rsidRDefault="009C1949" w:rsidP="009C1949">
      <w:pPr>
        <w:spacing w:after="120"/>
        <w:jc w:val="both"/>
        <w:rPr>
          <w:b/>
          <w:bCs/>
          <w:sz w:val="20"/>
          <w:u w:val="single"/>
        </w:rPr>
      </w:pPr>
      <w:r w:rsidRPr="000A7B2E">
        <w:rPr>
          <w:b/>
          <w:bCs/>
          <w:sz w:val="20"/>
          <w:u w:val="single"/>
        </w:rPr>
        <w:t>Tier 3</w:t>
      </w:r>
    </w:p>
    <w:p w14:paraId="5AB79FAB" w14:textId="77777777" w:rsidR="009C1949" w:rsidRDefault="009C1949" w:rsidP="009C1949">
      <w:pPr>
        <w:jc w:val="both"/>
        <w:rPr>
          <w:b/>
          <w:bCs/>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w:t>
      </w:r>
      <w:proofErr w:type="spellStart"/>
      <w:r w:rsidRPr="000A7B2E">
        <w:rPr>
          <w:sz w:val="20"/>
        </w:rPr>
        <w:t>i</w:t>
      </w:r>
      <w:proofErr w:type="spellEnd"/>
      <w:r w:rsidRPr="000A7B2E">
        <w:rPr>
          <w:sz w:val="20"/>
        </w:rPr>
        <w:t xml:space="preserve">))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3EFEA37B" w14:textId="77777777" w:rsidR="00EC07BA" w:rsidRPr="00FC1F2C" w:rsidRDefault="00EC07BA" w:rsidP="001838ED">
      <w:pPr>
        <w:pStyle w:val="Heading2"/>
        <w:numPr>
          <w:ilvl w:val="0"/>
          <w:numId w:val="0"/>
        </w:numPr>
        <w:jc w:val="both"/>
        <w:rPr>
          <w:b w:val="0"/>
          <w:sz w:val="20"/>
        </w:rPr>
      </w:pPr>
      <w:bookmarkStart w:id="108" w:name="_Toc159914037"/>
      <w:r w:rsidRPr="00461D22">
        <w:rPr>
          <w:sz w:val="22"/>
          <w:szCs w:val="22"/>
        </w:rPr>
        <w:t>Appendix 6.  Permits to Install</w:t>
      </w:r>
      <w:bookmarkEnd w:id="108"/>
    </w:p>
    <w:p w14:paraId="49D28CA3" w14:textId="77777777" w:rsidR="00EC07BA" w:rsidRPr="0080590E" w:rsidRDefault="00EC07BA" w:rsidP="001838ED">
      <w:pPr>
        <w:jc w:val="both"/>
        <w:rPr>
          <w:sz w:val="20"/>
        </w:rPr>
      </w:pPr>
    </w:p>
    <w:p w14:paraId="7BDE28AF"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w:t>
      </w:r>
      <w:r w:rsidR="00A62908">
        <w:rPr>
          <w:rFonts w:cs="Arial"/>
          <w:sz w:val="20"/>
        </w:rPr>
        <w:t>incorporated into this ROP or any previous ROP</w:t>
      </w:r>
      <w:r w:rsidRPr="005E40D0">
        <w:rPr>
          <w:rFonts w:cs="Arial"/>
          <w:sz w:val="20"/>
        </w:rPr>
        <w:t>.  Therefore, this appendix is not applicable.</w:t>
      </w:r>
    </w:p>
    <w:p w14:paraId="71D82CD1" w14:textId="77777777" w:rsidR="00C60E84" w:rsidRPr="00FC1F2C" w:rsidRDefault="00C60E84" w:rsidP="004F09CF">
      <w:pPr>
        <w:pStyle w:val="Heading2"/>
        <w:numPr>
          <w:ilvl w:val="0"/>
          <w:numId w:val="0"/>
        </w:numPr>
        <w:jc w:val="both"/>
        <w:rPr>
          <w:b w:val="0"/>
          <w:sz w:val="20"/>
        </w:rPr>
      </w:pPr>
      <w:bookmarkStart w:id="109" w:name="_Toc159914038"/>
      <w:bookmarkEnd w:id="105"/>
      <w:bookmarkEnd w:id="107"/>
      <w:r w:rsidRPr="00461D22">
        <w:rPr>
          <w:sz w:val="22"/>
          <w:szCs w:val="22"/>
        </w:rPr>
        <w:t>Appendix 7.  Emission Calculations</w:t>
      </w:r>
      <w:bookmarkEnd w:id="109"/>
      <w:r w:rsidRPr="00461D22">
        <w:rPr>
          <w:sz w:val="22"/>
          <w:szCs w:val="22"/>
        </w:rPr>
        <w:t xml:space="preserve"> </w:t>
      </w:r>
    </w:p>
    <w:p w14:paraId="1CDA5530" w14:textId="77777777" w:rsidR="00C67C9B" w:rsidRPr="00F03411" w:rsidRDefault="00C67C9B" w:rsidP="00C67C9B">
      <w:pPr>
        <w:jc w:val="both"/>
        <w:rPr>
          <w:sz w:val="20"/>
        </w:rPr>
      </w:pPr>
      <w:bookmarkStart w:id="110" w:name="_Toc377276143"/>
      <w:bookmarkStart w:id="111" w:name="_Toc377877183"/>
      <w:bookmarkStart w:id="112" w:name="_Toc382035381"/>
      <w:bookmarkStart w:id="113" w:name="_Toc382726630"/>
      <w:bookmarkStart w:id="114" w:name="_Toc382726705"/>
      <w:bookmarkStart w:id="115" w:name="_Toc382726784"/>
      <w:bookmarkStart w:id="116" w:name="_Toc387818190"/>
      <w:bookmarkStart w:id="117" w:name="_Toc390499900"/>
      <w:bookmarkStart w:id="118" w:name="_Toc390500329"/>
      <w:bookmarkStart w:id="119" w:name="_Toc390504382"/>
      <w:bookmarkStart w:id="120" w:name="_Toc390570172"/>
      <w:bookmarkStart w:id="121" w:name="_Toc391182906"/>
      <w:bookmarkStart w:id="122" w:name="_Toc437238970"/>
      <w:bookmarkStart w:id="123" w:name="_Toc451333047"/>
    </w:p>
    <w:p w14:paraId="7F02DC63" w14:textId="0E8A6EB4" w:rsidR="00C67C9B" w:rsidRDefault="009C1949" w:rsidP="009C1949">
      <w:pPr>
        <w:ind w:left="360" w:hanging="360"/>
        <w:jc w:val="both"/>
        <w:rPr>
          <w:sz w:val="20"/>
        </w:rPr>
      </w:pPr>
      <w:r w:rsidRPr="009C1949">
        <w:rPr>
          <w:b/>
          <w:bCs/>
          <w:sz w:val="20"/>
        </w:rPr>
        <w:t>A.</w:t>
      </w:r>
      <w:r>
        <w:rPr>
          <w:sz w:val="20"/>
        </w:rPr>
        <w:t xml:space="preserve">  </w:t>
      </w:r>
      <w:r w:rsidR="00C67C9B" w:rsidRPr="00B77C68">
        <w:rPr>
          <w:sz w:val="20"/>
        </w:rPr>
        <w:t xml:space="preserve">The permittee </w:t>
      </w:r>
      <w:r w:rsidR="00C67C9B">
        <w:rPr>
          <w:sz w:val="20"/>
        </w:rPr>
        <w:t>must</w:t>
      </w:r>
      <w:r w:rsidR="00C67C9B" w:rsidRPr="00B77C68">
        <w:rPr>
          <w:sz w:val="20"/>
        </w:rPr>
        <w:t xml:space="preserve"> use the following calculations in conjunction with monitoring, testing or recordkeeping data to determine compliance with the applicable requirements referenced in </w:t>
      </w:r>
      <w:r w:rsidR="00C67C9B">
        <w:rPr>
          <w:sz w:val="20"/>
        </w:rPr>
        <w:t>FGLANDFILL-XXX&lt;34.</w:t>
      </w:r>
    </w:p>
    <w:p w14:paraId="2BCDCCE2" w14:textId="5CFAA8FF" w:rsidR="00102715" w:rsidRDefault="00102715">
      <w:pPr>
        <w:rPr>
          <w:sz w:val="20"/>
        </w:rPr>
      </w:pPr>
      <w:r>
        <w:rPr>
          <w:sz w:val="20"/>
        </w:rPr>
        <w:br w:type="page"/>
      </w:r>
    </w:p>
    <w:p w14:paraId="17323148" w14:textId="77777777" w:rsidR="00C67C9B" w:rsidRDefault="00C67C9B" w:rsidP="00C67C9B">
      <w:pPr>
        <w:jc w:val="both"/>
        <w:rPr>
          <w:sz w:val="20"/>
        </w:rPr>
      </w:pPr>
    </w:p>
    <w:p w14:paraId="1139CAF4" w14:textId="77777777" w:rsidR="00C67C9B" w:rsidRPr="005968DB" w:rsidRDefault="00C67C9B" w:rsidP="00C67C9B">
      <w:pPr>
        <w:jc w:val="both"/>
        <w:rPr>
          <w:b/>
          <w:sz w:val="20"/>
          <w:u w:val="single"/>
        </w:rPr>
      </w:pPr>
      <w:r>
        <w:rPr>
          <w:b/>
          <w:sz w:val="20"/>
          <w:u w:val="single"/>
        </w:rPr>
        <w:t>Default Values</w:t>
      </w:r>
    </w:p>
    <w:p w14:paraId="712BA5BD" w14:textId="77777777" w:rsidR="00C67C9B" w:rsidRPr="00885B69" w:rsidRDefault="00C67C9B" w:rsidP="00C67C9B">
      <w:pPr>
        <w:spacing w:before="100" w:beforeAutospacing="1" w:after="100" w:afterAutospacing="1"/>
        <w:jc w:val="both"/>
        <w:rPr>
          <w:rFonts w:cs="Arial"/>
          <w:sz w:val="20"/>
        </w:rPr>
      </w:pPr>
      <w:r w:rsidRPr="00885B69">
        <w:rPr>
          <w:rFonts w:cs="Arial"/>
          <w:sz w:val="20"/>
        </w:rPr>
        <w:t xml:space="preserve">The permittee </w:t>
      </w:r>
      <w:r>
        <w:rPr>
          <w:rFonts w:cs="Arial"/>
          <w:sz w:val="20"/>
        </w:rPr>
        <w:t>must</w:t>
      </w:r>
      <w:r w:rsidRPr="00885B69">
        <w:rPr>
          <w:rFonts w:cs="Arial"/>
          <w:sz w:val="20"/>
        </w:rPr>
        <w:t xml:space="preserve"> calculate the NMOC emission rate using either </w:t>
      </w:r>
      <w:r w:rsidRPr="00885B69">
        <w:rPr>
          <w:rFonts w:cs="Arial"/>
          <w:b/>
          <w:sz w:val="20"/>
        </w:rPr>
        <w:t>Equation 1</w:t>
      </w:r>
      <w:r w:rsidRPr="00885B69">
        <w:rPr>
          <w:rFonts w:cs="Arial"/>
          <w:sz w:val="20"/>
        </w:rPr>
        <w:t xml:space="preserve"> (the equation provided in </w:t>
      </w:r>
      <w:r>
        <w:rPr>
          <w:rFonts w:cs="Arial"/>
          <w:sz w:val="20"/>
        </w:rPr>
        <w:t>40 CFR </w:t>
      </w:r>
      <w:r w:rsidRPr="00885B69">
        <w:rPr>
          <w:rFonts w:cs="Arial"/>
          <w:sz w:val="20"/>
        </w:rPr>
        <w:t>60.7</w:t>
      </w:r>
      <w:r>
        <w:rPr>
          <w:rFonts w:cs="Arial"/>
          <w:sz w:val="20"/>
        </w:rPr>
        <w:t>64</w:t>
      </w:r>
      <w:r w:rsidRPr="00885B69">
        <w:rPr>
          <w:rFonts w:cs="Arial"/>
          <w:sz w:val="20"/>
        </w:rPr>
        <w:t>(a)(1)(</w:t>
      </w:r>
      <w:proofErr w:type="spellStart"/>
      <w:r w:rsidRPr="00885B69">
        <w:rPr>
          <w:rFonts w:cs="Arial"/>
          <w:sz w:val="20"/>
        </w:rPr>
        <w:t>i</w:t>
      </w:r>
      <w:proofErr w:type="spellEnd"/>
      <w:r w:rsidRPr="00885B69">
        <w:rPr>
          <w:rFonts w:cs="Arial"/>
          <w:sz w:val="20"/>
        </w:rPr>
        <w:t xml:space="preserve">)) or </w:t>
      </w:r>
      <w:r w:rsidRPr="00885B69">
        <w:rPr>
          <w:rFonts w:cs="Arial"/>
          <w:b/>
          <w:sz w:val="20"/>
        </w:rPr>
        <w:t>Equation 2</w:t>
      </w:r>
      <w:r w:rsidRPr="00885B69">
        <w:rPr>
          <w:rFonts w:cs="Arial"/>
          <w:sz w:val="20"/>
        </w:rPr>
        <w:t xml:space="preserve"> (the equation provided in </w:t>
      </w:r>
      <w:r>
        <w:rPr>
          <w:rFonts w:cs="Arial"/>
          <w:sz w:val="20"/>
        </w:rPr>
        <w:t xml:space="preserve">40 CFR </w:t>
      </w:r>
      <w:r w:rsidRPr="00885B69">
        <w:rPr>
          <w:rFonts w:cs="Arial"/>
          <w:sz w:val="20"/>
        </w:rPr>
        <w:t>60.7</w:t>
      </w:r>
      <w:r>
        <w:rPr>
          <w:rFonts w:cs="Arial"/>
          <w:sz w:val="20"/>
        </w:rPr>
        <w:t>64</w:t>
      </w:r>
      <w:r w:rsidRPr="00885B69">
        <w:rPr>
          <w:rFonts w:cs="Arial"/>
          <w:sz w:val="20"/>
        </w:rPr>
        <w:t xml:space="preserve">(a)(1)(ii)). </w:t>
      </w:r>
      <w:r>
        <w:rPr>
          <w:rFonts w:cs="Arial"/>
          <w:sz w:val="20"/>
        </w:rPr>
        <w:t xml:space="preserve"> </w:t>
      </w:r>
      <w:r w:rsidRPr="00885B69">
        <w:rPr>
          <w:rFonts w:cs="Arial"/>
          <w:sz w:val="20"/>
        </w:rPr>
        <w:t xml:space="preserve">Both equations may be used if the actual year-to-year solid waste acceptance rate is known, as specified in </w:t>
      </w:r>
      <w:r w:rsidRPr="00885B69">
        <w:rPr>
          <w:rFonts w:cs="Arial"/>
          <w:b/>
          <w:sz w:val="20"/>
        </w:rPr>
        <w:t>Equation 1</w:t>
      </w:r>
      <w:r w:rsidRPr="00885B69">
        <w:rPr>
          <w:rFonts w:cs="Arial"/>
          <w:sz w:val="20"/>
        </w:rPr>
        <w:t xml:space="preserve"> (</w:t>
      </w:r>
      <w:r>
        <w:rPr>
          <w:rFonts w:cs="Arial"/>
          <w:sz w:val="20"/>
        </w:rPr>
        <w:t xml:space="preserve">40 CFR </w:t>
      </w:r>
      <w:r w:rsidRPr="00885B69">
        <w:rPr>
          <w:rFonts w:cs="Arial"/>
          <w:sz w:val="20"/>
        </w:rPr>
        <w:t>60.7</w:t>
      </w:r>
      <w:r>
        <w:rPr>
          <w:rFonts w:cs="Arial"/>
          <w:sz w:val="20"/>
        </w:rPr>
        <w:t>64</w:t>
      </w:r>
      <w:r w:rsidRPr="00885B69">
        <w:rPr>
          <w:rFonts w:cs="Arial"/>
          <w:sz w:val="20"/>
        </w:rPr>
        <w:t>(a)(1)(</w:t>
      </w:r>
      <w:proofErr w:type="spellStart"/>
      <w:r w:rsidRPr="00885B69">
        <w:rPr>
          <w:rFonts w:cs="Arial"/>
          <w:sz w:val="20"/>
        </w:rPr>
        <w:t>i</w:t>
      </w:r>
      <w:proofErr w:type="spellEnd"/>
      <w:r w:rsidRPr="00885B69">
        <w:rPr>
          <w:rFonts w:cs="Arial"/>
          <w:sz w:val="20"/>
        </w:rPr>
        <w:t xml:space="preserve">)), for part of the life of the landfill and the actual year-to-year solid waste acceptance rate is unknown, as specified in </w:t>
      </w:r>
      <w:r w:rsidRPr="00885B69">
        <w:rPr>
          <w:rFonts w:cs="Arial"/>
          <w:b/>
          <w:sz w:val="20"/>
        </w:rPr>
        <w:t>Equation 2</w:t>
      </w:r>
      <w:r w:rsidRPr="00885B69">
        <w:rPr>
          <w:rFonts w:cs="Arial"/>
          <w:sz w:val="20"/>
        </w:rPr>
        <w:t xml:space="preserve"> (the equation provided in </w:t>
      </w:r>
      <w:r>
        <w:rPr>
          <w:rFonts w:cs="Arial"/>
          <w:sz w:val="20"/>
        </w:rPr>
        <w:t xml:space="preserve">40 CFR </w:t>
      </w:r>
      <w:r w:rsidRPr="00885B69">
        <w:rPr>
          <w:rFonts w:cs="Arial"/>
          <w:sz w:val="20"/>
        </w:rPr>
        <w:t>60.7</w:t>
      </w:r>
      <w:r>
        <w:rPr>
          <w:rFonts w:cs="Arial"/>
          <w:sz w:val="20"/>
        </w:rPr>
        <w:t>64</w:t>
      </w:r>
      <w:r w:rsidRPr="00885B69">
        <w:rPr>
          <w:rFonts w:cs="Arial"/>
          <w:sz w:val="20"/>
        </w:rPr>
        <w:t>(a)(1)(ii)), for part of the life of the landfill.</w:t>
      </w:r>
      <w:r>
        <w:rPr>
          <w:rFonts w:cs="Arial"/>
          <w:sz w:val="20"/>
        </w:rPr>
        <w:t xml:space="preserve"> </w:t>
      </w:r>
      <w:r w:rsidRPr="00885B69">
        <w:rPr>
          <w:rFonts w:cs="Arial"/>
          <w:sz w:val="20"/>
        </w:rPr>
        <w:t xml:space="preserve"> The values to be used in both equations are 0.05 per year for k, 170 cubic meters per </w:t>
      </w:r>
      <w:r>
        <w:rPr>
          <w:rFonts w:cs="Arial"/>
          <w:sz w:val="20"/>
        </w:rPr>
        <w:t>Mg</w:t>
      </w:r>
      <w:r w:rsidRPr="00885B69">
        <w:rPr>
          <w:rFonts w:cs="Arial"/>
          <w:sz w:val="20"/>
        </w:rPr>
        <w:t xml:space="preserve"> for L</w:t>
      </w:r>
      <w:r w:rsidRPr="00285BC2">
        <w:rPr>
          <w:rFonts w:cs="Arial"/>
          <w:sz w:val="20"/>
          <w:vertAlign w:val="subscript"/>
        </w:rPr>
        <w:t>o</w:t>
      </w:r>
      <w:r w:rsidRPr="00885B69">
        <w:rPr>
          <w:rFonts w:cs="Arial"/>
          <w:sz w:val="20"/>
        </w:rPr>
        <w:t xml:space="preserve">, and 4,000 </w:t>
      </w:r>
      <w:r>
        <w:rPr>
          <w:rFonts w:cs="Arial"/>
          <w:sz w:val="20"/>
        </w:rPr>
        <w:t>ppm</w:t>
      </w:r>
      <w:r w:rsidRPr="00885B69">
        <w:rPr>
          <w:rFonts w:cs="Arial"/>
          <w:sz w:val="20"/>
        </w:rPr>
        <w:t xml:space="preserve"> by volume as hexane for the C</w:t>
      </w:r>
      <w:r w:rsidRPr="00285BC2">
        <w:rPr>
          <w:rFonts w:cs="Arial"/>
          <w:sz w:val="20"/>
          <w:vertAlign w:val="subscript"/>
        </w:rPr>
        <w:t>NMOC</w:t>
      </w:r>
      <w:r w:rsidRPr="00885B69">
        <w:rPr>
          <w:rFonts w:cs="Arial"/>
          <w:sz w:val="20"/>
        </w:rPr>
        <w:t>.</w:t>
      </w:r>
      <w:r>
        <w:rPr>
          <w:rFonts w:cs="Arial"/>
          <w:sz w:val="20"/>
        </w:rPr>
        <w:t xml:space="preserve"> </w:t>
      </w:r>
      <w:r w:rsidRPr="00885B69">
        <w:rPr>
          <w:rFonts w:cs="Arial"/>
          <w:sz w:val="20"/>
        </w:rPr>
        <w:t xml:space="preserve"> For landfills located in geographical areas with a thirty-year annual average precipitation of less than 25 inches, as measured at the nearest representative official meteorologic</w:t>
      </w:r>
      <w:r>
        <w:rPr>
          <w:rFonts w:cs="Arial"/>
          <w:sz w:val="20"/>
        </w:rPr>
        <w:t>al</w:t>
      </w:r>
      <w:r w:rsidRPr="00885B69">
        <w:rPr>
          <w:rFonts w:cs="Arial"/>
          <w:sz w:val="20"/>
        </w:rPr>
        <w:t xml:space="preserve"> site, the k value to be used is 0.02 per year.  </w:t>
      </w:r>
      <w:r w:rsidRPr="00885B69">
        <w:rPr>
          <w:rFonts w:cs="Arial"/>
          <w:b/>
          <w:sz w:val="20"/>
        </w:rPr>
        <w:t>(40 CFR 60.7</w:t>
      </w:r>
      <w:r>
        <w:rPr>
          <w:rFonts w:cs="Arial"/>
          <w:b/>
          <w:sz w:val="20"/>
        </w:rPr>
        <w:t>64</w:t>
      </w:r>
      <w:r w:rsidRPr="00885B69">
        <w:rPr>
          <w:rFonts w:cs="Arial"/>
          <w:b/>
          <w:sz w:val="20"/>
        </w:rPr>
        <w:t>(a)(1))</w:t>
      </w:r>
    </w:p>
    <w:p w14:paraId="32823F38" w14:textId="77777777" w:rsidR="00C67C9B" w:rsidRPr="00161059" w:rsidRDefault="00C67C9B" w:rsidP="00C67C9B">
      <w:pPr>
        <w:spacing w:before="100" w:beforeAutospacing="1" w:after="100" w:afterAutospacing="1"/>
        <w:jc w:val="both"/>
        <w:rPr>
          <w:rFonts w:cs="Arial"/>
          <w:b/>
          <w:sz w:val="20"/>
          <w:u w:val="single"/>
        </w:rPr>
      </w:pPr>
      <w:r w:rsidRPr="00161059">
        <w:rPr>
          <w:rFonts w:cs="Arial"/>
          <w:b/>
          <w:sz w:val="20"/>
          <w:u w:val="single"/>
        </w:rPr>
        <w:t>Equation 1</w:t>
      </w:r>
    </w:p>
    <w:p w14:paraId="49C00F0D" w14:textId="77777777" w:rsidR="00C67C9B" w:rsidRPr="00885B69" w:rsidRDefault="00C67C9B" w:rsidP="00C67C9B">
      <w:pPr>
        <w:spacing w:before="100" w:beforeAutospacing="1" w:after="100" w:afterAutospacing="1"/>
        <w:jc w:val="both"/>
        <w:rPr>
          <w:rFonts w:cs="Arial"/>
          <w:sz w:val="20"/>
        </w:rPr>
      </w:pPr>
      <w:r w:rsidRPr="00885B69">
        <w:rPr>
          <w:rFonts w:cs="Arial"/>
          <w:sz w:val="20"/>
        </w:rPr>
        <w:t xml:space="preserve">The following equation </w:t>
      </w:r>
      <w:r>
        <w:rPr>
          <w:rFonts w:cs="Arial"/>
          <w:sz w:val="20"/>
        </w:rPr>
        <w:t>must</w:t>
      </w:r>
      <w:r w:rsidRPr="00885B69">
        <w:rPr>
          <w:rFonts w:cs="Arial"/>
          <w:sz w:val="20"/>
        </w:rPr>
        <w:t xml:space="preserve"> be used if the actual year-to-year solid waste acceptance rate is known.  </w:t>
      </w:r>
      <w:r>
        <w:rPr>
          <w:rFonts w:cs="Arial"/>
          <w:sz w:val="20"/>
        </w:rPr>
        <w:br/>
      </w:r>
      <w:r w:rsidRPr="00885B69">
        <w:rPr>
          <w:rFonts w:cs="Arial"/>
          <w:b/>
          <w:sz w:val="20"/>
        </w:rPr>
        <w:t>(40 CFR 60.7</w:t>
      </w:r>
      <w:r>
        <w:rPr>
          <w:rFonts w:cs="Arial"/>
          <w:b/>
          <w:sz w:val="20"/>
        </w:rPr>
        <w:t>6</w:t>
      </w:r>
      <w:r w:rsidRPr="00885B69">
        <w:rPr>
          <w:rFonts w:cs="Arial"/>
          <w:b/>
          <w:sz w:val="20"/>
        </w:rPr>
        <w:t>4(a)(1)(</w:t>
      </w:r>
      <w:proofErr w:type="spellStart"/>
      <w:r w:rsidRPr="00885B69">
        <w:rPr>
          <w:rFonts w:cs="Arial"/>
          <w:b/>
          <w:sz w:val="20"/>
        </w:rPr>
        <w:t>i</w:t>
      </w:r>
      <w:proofErr w:type="spellEnd"/>
      <w:r w:rsidRPr="00885B69">
        <w:rPr>
          <w:rFonts w:cs="Arial"/>
          <w:b/>
          <w:sz w:val="20"/>
        </w:rPr>
        <w:t>))</w:t>
      </w:r>
    </w:p>
    <w:bookmarkStart w:id="124" w:name="_Hlk101434396"/>
    <w:bookmarkStart w:id="125" w:name="_Hlk101434444"/>
    <w:bookmarkStart w:id="126" w:name="_Hlk101432886"/>
    <w:p w14:paraId="680E390A" w14:textId="77777777" w:rsidR="00C67C9B" w:rsidRPr="00931889" w:rsidRDefault="00A12599" w:rsidP="00C67C9B">
      <w:pPr>
        <w:ind w:left="1260"/>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w:bookmarkEnd w:id="124"/>
          <m:r>
            <w:rPr>
              <w:rFonts w:ascii="Cambria Math" w:hAnsi="Cambria Math"/>
              <w:sz w:val="24"/>
              <w:szCs w:val="24"/>
            </w:rPr>
            <m:t>)</m:t>
          </m:r>
        </m:oMath>
      </m:oMathPara>
      <w:bookmarkEnd w:id="125"/>
    </w:p>
    <w:bookmarkEnd w:id="126"/>
    <w:p w14:paraId="04AF343D" w14:textId="77777777" w:rsidR="00C67C9B" w:rsidRPr="00885B69" w:rsidRDefault="00C67C9B" w:rsidP="00C67C9B">
      <w:pPr>
        <w:spacing w:before="100" w:beforeAutospacing="1" w:after="100" w:afterAutospacing="1"/>
        <w:jc w:val="both"/>
        <w:rPr>
          <w:rFonts w:cs="Arial"/>
          <w:sz w:val="20"/>
        </w:rPr>
      </w:pPr>
      <w:r>
        <w:rPr>
          <w:rFonts w:cs="Arial"/>
          <w:sz w:val="20"/>
        </w:rPr>
        <w:t>Where:</w:t>
      </w:r>
    </w:p>
    <w:p w14:paraId="5073C873" w14:textId="77777777" w:rsidR="00C67C9B" w:rsidRPr="00885B69" w:rsidRDefault="00C67C9B" w:rsidP="00C67C9B">
      <w:pPr>
        <w:spacing w:after="120"/>
        <w:jc w:val="both"/>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w:t>
      </w:r>
      <w:r>
        <w:rPr>
          <w:rFonts w:cs="Arial"/>
          <w:sz w:val="20"/>
        </w:rPr>
        <w:t>Mg</w:t>
      </w:r>
      <w:r w:rsidRPr="00885B69">
        <w:rPr>
          <w:rFonts w:cs="Arial"/>
          <w:sz w:val="20"/>
        </w:rPr>
        <w:t xml:space="preserve"> per year </w:t>
      </w:r>
    </w:p>
    <w:p w14:paraId="04DDB7C7" w14:textId="77777777" w:rsidR="00C67C9B" w:rsidRDefault="00C67C9B" w:rsidP="00C67C9B">
      <w:pPr>
        <w:spacing w:after="120"/>
        <w:jc w:val="both"/>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48DFF228" w14:textId="77777777" w:rsidR="00C67C9B" w:rsidRPr="00885B69" w:rsidRDefault="00C67C9B" w:rsidP="00C67C9B">
      <w:pPr>
        <w:spacing w:after="120"/>
        <w:jc w:val="both"/>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w:t>
      </w:r>
      <w:r>
        <w:rPr>
          <w:rFonts w:cs="Arial"/>
          <w:sz w:val="20"/>
        </w:rPr>
        <w:t>Mg</w:t>
      </w:r>
      <w:r w:rsidRPr="00885B69">
        <w:rPr>
          <w:rFonts w:cs="Arial"/>
          <w:sz w:val="20"/>
        </w:rPr>
        <w:t xml:space="preserve"> solid waste </w:t>
      </w:r>
    </w:p>
    <w:p w14:paraId="5259D075" w14:textId="77777777" w:rsidR="00C67C9B" w:rsidRPr="00885B69" w:rsidRDefault="00C67C9B" w:rsidP="00C67C9B">
      <w:pPr>
        <w:spacing w:after="120"/>
        <w:jc w:val="both"/>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ith</w:t>
      </w:r>
      <w:proofErr w:type="spellEnd"/>
      <w:r w:rsidRPr="00885B69">
        <w:rPr>
          <w:rFonts w:cs="Arial"/>
          <w:sz w:val="20"/>
        </w:rPr>
        <w:t xml:space="preserve"> section, </w:t>
      </w:r>
      <w:r>
        <w:rPr>
          <w:rFonts w:cs="Arial"/>
          <w:sz w:val="20"/>
        </w:rPr>
        <w:t>Mg</w:t>
      </w:r>
      <w:r w:rsidRPr="00885B69">
        <w:rPr>
          <w:rFonts w:cs="Arial"/>
          <w:sz w:val="20"/>
        </w:rPr>
        <w:t xml:space="preserve"> </w:t>
      </w:r>
    </w:p>
    <w:p w14:paraId="5A9EEFDE" w14:textId="77777777" w:rsidR="00C67C9B" w:rsidRPr="00885B69" w:rsidRDefault="00C67C9B" w:rsidP="00C67C9B">
      <w:pPr>
        <w:spacing w:after="120"/>
        <w:jc w:val="both"/>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1E650FE9" w14:textId="77777777" w:rsidR="00C67C9B" w:rsidRPr="00885B69" w:rsidRDefault="00C67C9B" w:rsidP="00C67C9B">
      <w:pPr>
        <w:spacing w:after="120"/>
        <w:jc w:val="both"/>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w:t>
      </w:r>
      <w:r>
        <w:rPr>
          <w:rFonts w:cs="Arial"/>
          <w:sz w:val="20"/>
        </w:rPr>
        <w:t>ppmv</w:t>
      </w:r>
      <w:r w:rsidRPr="00885B69">
        <w:rPr>
          <w:rFonts w:cs="Arial"/>
          <w:sz w:val="20"/>
        </w:rPr>
        <w:t xml:space="preserve"> as hexane </w:t>
      </w:r>
    </w:p>
    <w:p w14:paraId="26202594" w14:textId="77777777" w:rsidR="00C67C9B" w:rsidRPr="00885B69" w:rsidRDefault="00C67C9B" w:rsidP="00C67C9B">
      <w:pPr>
        <w:jc w:val="both"/>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3A4E60A1" w14:textId="77777777" w:rsidR="00C67C9B" w:rsidRDefault="00C67C9B" w:rsidP="00C67C9B">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for Mi if documentation of the nature and amount of </w:t>
      </w:r>
      <w:r>
        <w:rPr>
          <w:rFonts w:cs="Arial"/>
          <w:sz w:val="20"/>
        </w:rPr>
        <w:t>such wastes is maintained.</w:t>
      </w:r>
    </w:p>
    <w:p w14:paraId="6BDDCD5D" w14:textId="77777777" w:rsidR="00C67C9B" w:rsidRPr="00885B69" w:rsidRDefault="00C67C9B" w:rsidP="00C67C9B">
      <w:pPr>
        <w:spacing w:before="100" w:beforeAutospacing="1" w:after="100" w:afterAutospacing="1"/>
        <w:jc w:val="both"/>
        <w:rPr>
          <w:rFonts w:cs="Arial"/>
          <w:b/>
          <w:sz w:val="20"/>
          <w:u w:val="single"/>
        </w:rPr>
      </w:pPr>
      <w:r>
        <w:rPr>
          <w:rFonts w:cs="Arial"/>
          <w:b/>
          <w:sz w:val="20"/>
          <w:u w:val="single"/>
        </w:rPr>
        <w:t>Equation 2</w:t>
      </w:r>
    </w:p>
    <w:p w14:paraId="544B6DD1" w14:textId="635464D2" w:rsidR="00C67C9B" w:rsidRPr="00885B69" w:rsidRDefault="00C67C9B" w:rsidP="00C67C9B">
      <w:pPr>
        <w:jc w:val="both"/>
        <w:rPr>
          <w:rFonts w:cs="Arial"/>
          <w:sz w:val="20"/>
        </w:rPr>
      </w:pPr>
      <w:r w:rsidRPr="00885B69">
        <w:rPr>
          <w:rFonts w:cs="Arial"/>
          <w:sz w:val="20"/>
        </w:rPr>
        <w:t xml:space="preserve">The following equation </w:t>
      </w:r>
      <w:r>
        <w:rPr>
          <w:rFonts w:cs="Arial"/>
          <w:sz w:val="20"/>
        </w:rPr>
        <w:t>must</w:t>
      </w:r>
      <w:r w:rsidRPr="00885B69">
        <w:rPr>
          <w:rFonts w:cs="Arial"/>
          <w:sz w:val="20"/>
        </w:rPr>
        <w:t xml:space="preserve"> be used if the actual year-to-year solid waste acceptance rate is unknown.  </w:t>
      </w:r>
      <w:r w:rsidRPr="00885B69">
        <w:rPr>
          <w:rFonts w:cs="Arial"/>
          <w:b/>
          <w:sz w:val="20"/>
        </w:rPr>
        <w:t>(40 CFR 60.7</w:t>
      </w:r>
      <w:r>
        <w:rPr>
          <w:rFonts w:cs="Arial"/>
          <w:b/>
          <w:sz w:val="20"/>
        </w:rPr>
        <w:t>6</w:t>
      </w:r>
      <w:r w:rsidRPr="00885B69">
        <w:rPr>
          <w:rFonts w:cs="Arial"/>
          <w:b/>
          <w:sz w:val="20"/>
        </w:rPr>
        <w:t>4(a)(1)(ii))</w:t>
      </w:r>
    </w:p>
    <w:p w14:paraId="6CC0CC08" w14:textId="77777777" w:rsidR="00C67C9B" w:rsidRPr="007A4106" w:rsidRDefault="00C67C9B" w:rsidP="00C67C9B">
      <w:pPr>
        <w:spacing w:before="100" w:beforeAutospacing="1" w:after="100" w:afterAutospacing="1"/>
        <w:ind w:left="1350"/>
        <w:rPr>
          <w:rFonts w:ascii="Times New Roman" w:hAnsi="Times New Roman"/>
          <w:sz w:val="24"/>
          <w:szCs w:val="24"/>
        </w:rPr>
      </w:pPr>
      <w:r w:rsidRPr="007A4106">
        <w:rPr>
          <w:rFonts w:ascii="Times New Roman" w:hAnsi="Times New Roman"/>
          <w:i/>
          <w:sz w:val="24"/>
          <w:szCs w:val="24"/>
        </w:rPr>
        <w:t>M</w:t>
      </w:r>
      <w:r w:rsidRPr="007A4106">
        <w:rPr>
          <w:rFonts w:ascii="Times New Roman" w:hAnsi="Times New Roman"/>
          <w:i/>
          <w:sz w:val="24"/>
          <w:szCs w:val="24"/>
          <w:vertAlign w:val="subscript"/>
        </w:rPr>
        <w:t>NMOC</w:t>
      </w:r>
      <w:r w:rsidRPr="007A4106">
        <w:rPr>
          <w:rFonts w:ascii="Times New Roman" w:hAnsi="Times New Roman"/>
          <w:sz w:val="24"/>
          <w:szCs w:val="24"/>
        </w:rPr>
        <w:t xml:space="preserve"> = 2L</w:t>
      </w:r>
      <w:r w:rsidRPr="007A4106">
        <w:rPr>
          <w:rFonts w:ascii="Times New Roman" w:hAnsi="Times New Roman"/>
          <w:sz w:val="24"/>
          <w:szCs w:val="24"/>
          <w:vertAlign w:val="subscript"/>
        </w:rPr>
        <w:t>o</w:t>
      </w:r>
      <w:r w:rsidRPr="007A4106">
        <w:rPr>
          <w:rFonts w:ascii="Times New Roman" w:hAnsi="Times New Roman"/>
          <w:sz w:val="24"/>
          <w:szCs w:val="24"/>
        </w:rPr>
        <w:t xml:space="preserve"> R (e</w:t>
      </w:r>
      <w:r w:rsidRPr="007A4106">
        <w:rPr>
          <w:rFonts w:ascii="Times New Roman" w:hAnsi="Times New Roman"/>
          <w:sz w:val="24"/>
          <w:szCs w:val="24"/>
          <w:vertAlign w:val="superscript"/>
        </w:rPr>
        <w:t>−kc</w:t>
      </w:r>
      <w:r>
        <w:rPr>
          <w:rFonts w:ascii="Times New Roman" w:hAnsi="Times New Roman"/>
          <w:sz w:val="24"/>
          <w:szCs w:val="24"/>
        </w:rPr>
        <w:t xml:space="preserve"> </w:t>
      </w:r>
      <w:r w:rsidRPr="007A4106">
        <w:rPr>
          <w:rFonts w:ascii="Times New Roman" w:hAnsi="Times New Roman"/>
          <w:sz w:val="24"/>
          <w:szCs w:val="24"/>
        </w:rPr>
        <w:t>−</w:t>
      </w:r>
      <w:r>
        <w:rPr>
          <w:rFonts w:ascii="Times New Roman" w:hAnsi="Times New Roman"/>
          <w:sz w:val="24"/>
          <w:szCs w:val="24"/>
        </w:rPr>
        <w:t xml:space="preserve"> </w:t>
      </w:r>
      <w:r w:rsidRPr="007A4106">
        <w:rPr>
          <w:rFonts w:ascii="Times New Roman" w:hAnsi="Times New Roman"/>
          <w:sz w:val="24"/>
          <w:szCs w:val="24"/>
        </w:rPr>
        <w:t>e</w:t>
      </w:r>
      <w:r w:rsidRPr="007A4106">
        <w:rPr>
          <w:rFonts w:ascii="Times New Roman" w:hAnsi="Times New Roman"/>
          <w:sz w:val="24"/>
          <w:szCs w:val="24"/>
          <w:vertAlign w:val="superscript"/>
        </w:rPr>
        <w:t>−kt</w:t>
      </w:r>
      <w:r w:rsidRPr="007A4106">
        <w:rPr>
          <w:rFonts w:ascii="Times New Roman" w:hAnsi="Times New Roman"/>
          <w:sz w:val="24"/>
          <w:szCs w:val="24"/>
        </w:rPr>
        <w:t xml:space="preserve">) </w:t>
      </w:r>
      <w:r>
        <w:rPr>
          <w:rFonts w:ascii="Times New Roman" w:hAnsi="Times New Roman"/>
          <w:sz w:val="24"/>
          <w:szCs w:val="24"/>
        </w:rPr>
        <w:t>(</w:t>
      </w:r>
      <w:r w:rsidRPr="007A4106">
        <w:rPr>
          <w:rFonts w:ascii="Times New Roman" w:hAnsi="Times New Roman"/>
          <w:i/>
          <w:sz w:val="24"/>
          <w:szCs w:val="24"/>
        </w:rPr>
        <w:t>C</w:t>
      </w:r>
      <w:r w:rsidRPr="007A4106">
        <w:rPr>
          <w:rFonts w:ascii="Times New Roman" w:hAnsi="Times New Roman"/>
          <w:i/>
          <w:sz w:val="24"/>
          <w:szCs w:val="24"/>
          <w:vertAlign w:val="subscript"/>
        </w:rPr>
        <w:t>NMOC</w:t>
      </w:r>
      <w:r>
        <w:rPr>
          <w:rFonts w:ascii="Times New Roman" w:hAnsi="Times New Roman"/>
          <w:i/>
          <w:sz w:val="24"/>
          <w:szCs w:val="24"/>
        </w:rPr>
        <w:t>)</w:t>
      </w:r>
      <w:r w:rsidRPr="007A4106">
        <w:rPr>
          <w:rFonts w:ascii="Times New Roman" w:hAnsi="Times New Roman"/>
          <w:sz w:val="24"/>
          <w:szCs w:val="24"/>
        </w:rPr>
        <w:t xml:space="preserve"> (3.6 × 10</w:t>
      </w:r>
      <w:r w:rsidRPr="007A4106">
        <w:rPr>
          <w:rFonts w:ascii="Times New Roman" w:hAnsi="Times New Roman"/>
          <w:sz w:val="24"/>
          <w:szCs w:val="24"/>
          <w:vertAlign w:val="superscript"/>
        </w:rPr>
        <w:t>−9</w:t>
      </w:r>
      <w:r w:rsidRPr="007A4106">
        <w:rPr>
          <w:rFonts w:ascii="Times New Roman" w:hAnsi="Times New Roman"/>
          <w:sz w:val="24"/>
          <w:szCs w:val="24"/>
        </w:rPr>
        <w:t>)</w:t>
      </w:r>
    </w:p>
    <w:p w14:paraId="3B603855" w14:textId="77777777" w:rsidR="00C67C9B" w:rsidRPr="00885B69" w:rsidRDefault="00C67C9B" w:rsidP="00C67C9B">
      <w:pPr>
        <w:spacing w:before="100" w:beforeAutospacing="1" w:after="100" w:afterAutospacing="1"/>
        <w:jc w:val="both"/>
        <w:rPr>
          <w:rFonts w:cs="Arial"/>
          <w:sz w:val="20"/>
        </w:rPr>
      </w:pPr>
      <w:r w:rsidRPr="00885B69">
        <w:rPr>
          <w:rFonts w:cs="Arial"/>
          <w:sz w:val="20"/>
        </w:rPr>
        <w:t>Where:</w:t>
      </w:r>
    </w:p>
    <w:p w14:paraId="755DDE3B" w14:textId="77777777" w:rsidR="00C67C9B" w:rsidRPr="00885B69" w:rsidRDefault="00C67C9B" w:rsidP="00C67C9B">
      <w:pPr>
        <w:spacing w:after="120"/>
        <w:jc w:val="both"/>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w:t>
      </w:r>
      <w:r>
        <w:rPr>
          <w:rFonts w:cs="Arial"/>
          <w:sz w:val="20"/>
        </w:rPr>
        <w:t>Mg</w:t>
      </w:r>
      <w:r w:rsidRPr="00885B69">
        <w:rPr>
          <w:rFonts w:cs="Arial"/>
          <w:sz w:val="20"/>
        </w:rPr>
        <w:t xml:space="preserve"> per year </w:t>
      </w:r>
    </w:p>
    <w:p w14:paraId="2D2376F8" w14:textId="77777777" w:rsidR="00C67C9B" w:rsidRPr="00885B69" w:rsidRDefault="00C67C9B" w:rsidP="00C67C9B">
      <w:pPr>
        <w:spacing w:after="120"/>
        <w:jc w:val="both"/>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w:t>
      </w:r>
      <w:r>
        <w:rPr>
          <w:rFonts w:cs="Arial"/>
          <w:sz w:val="20"/>
        </w:rPr>
        <w:t>Mg</w:t>
      </w:r>
      <w:r w:rsidRPr="00885B69">
        <w:rPr>
          <w:rFonts w:cs="Arial"/>
          <w:sz w:val="20"/>
        </w:rPr>
        <w:t xml:space="preserve"> solid waste </w:t>
      </w:r>
    </w:p>
    <w:p w14:paraId="4497D38C" w14:textId="77777777" w:rsidR="00C67C9B" w:rsidRPr="00885B69" w:rsidRDefault="00C67C9B" w:rsidP="00C67C9B">
      <w:pPr>
        <w:spacing w:after="120"/>
        <w:jc w:val="both"/>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w:t>
      </w:r>
      <w:r>
        <w:rPr>
          <w:rFonts w:cs="Arial"/>
          <w:sz w:val="20"/>
        </w:rPr>
        <w:t>Mg</w:t>
      </w:r>
      <w:r w:rsidRPr="00885B69">
        <w:rPr>
          <w:rFonts w:cs="Arial"/>
          <w:sz w:val="20"/>
        </w:rPr>
        <w:t xml:space="preserve"> per year </w:t>
      </w:r>
    </w:p>
    <w:p w14:paraId="0F9B7854" w14:textId="77777777" w:rsidR="00C67C9B" w:rsidRPr="00885B69" w:rsidRDefault="00C67C9B" w:rsidP="00C67C9B">
      <w:pPr>
        <w:spacing w:after="120"/>
        <w:jc w:val="both"/>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5A63F984" w14:textId="77777777" w:rsidR="00C67C9B" w:rsidRPr="00885B69" w:rsidRDefault="00C67C9B" w:rsidP="00C67C9B">
      <w:pPr>
        <w:spacing w:after="120"/>
        <w:jc w:val="both"/>
        <w:rPr>
          <w:rFonts w:cs="Arial"/>
          <w:sz w:val="20"/>
        </w:rPr>
      </w:pPr>
      <w:r w:rsidRPr="00885B69">
        <w:rPr>
          <w:rFonts w:cs="Arial"/>
          <w:sz w:val="20"/>
        </w:rPr>
        <w:t xml:space="preserve">t = age of landfill, years </w:t>
      </w:r>
    </w:p>
    <w:p w14:paraId="48683656" w14:textId="77777777" w:rsidR="00C67C9B" w:rsidRPr="00885B69" w:rsidRDefault="00C67C9B" w:rsidP="00C67C9B">
      <w:pPr>
        <w:spacing w:after="120"/>
        <w:jc w:val="both"/>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w:t>
      </w:r>
      <w:r>
        <w:rPr>
          <w:rFonts w:cs="Arial"/>
          <w:sz w:val="20"/>
        </w:rPr>
        <w:t>ppmv</w:t>
      </w:r>
      <w:r w:rsidRPr="00885B69">
        <w:rPr>
          <w:rFonts w:cs="Arial"/>
          <w:sz w:val="20"/>
        </w:rPr>
        <w:t xml:space="preserve"> as hexane </w:t>
      </w:r>
    </w:p>
    <w:p w14:paraId="60F964F8" w14:textId="77777777" w:rsidR="00C67C9B" w:rsidRPr="00885B69" w:rsidRDefault="00C67C9B" w:rsidP="00C67C9B">
      <w:pPr>
        <w:spacing w:after="120"/>
        <w:jc w:val="both"/>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5AA3753A" w14:textId="77777777" w:rsidR="00C67C9B" w:rsidRPr="00885B69" w:rsidRDefault="00C67C9B" w:rsidP="00C67C9B">
      <w:pPr>
        <w:jc w:val="both"/>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BD52AEE" w14:textId="77777777" w:rsidR="00C67C9B" w:rsidRPr="00885B69" w:rsidRDefault="00C67C9B" w:rsidP="00C67C9B">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4BDCC5C6" w14:textId="77777777" w:rsidR="00C67C9B" w:rsidRPr="00A00153" w:rsidRDefault="00C67C9B" w:rsidP="00C67C9B">
      <w:pPr>
        <w:jc w:val="both"/>
        <w:rPr>
          <w:b/>
          <w:sz w:val="20"/>
          <w:u w:val="single"/>
        </w:rPr>
      </w:pPr>
      <w:r w:rsidRPr="00A00153">
        <w:rPr>
          <w:b/>
          <w:sz w:val="20"/>
          <w:u w:val="single"/>
        </w:rPr>
        <w:lastRenderedPageBreak/>
        <w:t>Tier 1</w:t>
      </w:r>
    </w:p>
    <w:p w14:paraId="6F9C2A8C" w14:textId="77777777" w:rsidR="00C67C9B" w:rsidRDefault="00C67C9B" w:rsidP="00C67C9B">
      <w:pPr>
        <w:jc w:val="both"/>
        <w:rPr>
          <w:sz w:val="20"/>
        </w:rPr>
      </w:pPr>
    </w:p>
    <w:p w14:paraId="55193318" w14:textId="5B3F37E8" w:rsidR="00C67C9B" w:rsidRDefault="00C67C9B" w:rsidP="00C67C9B">
      <w:pPr>
        <w:jc w:val="both"/>
        <w:rPr>
          <w:sz w:val="20"/>
        </w:rPr>
      </w:pPr>
      <w:r w:rsidRPr="00A00153">
        <w:rPr>
          <w:sz w:val="20"/>
        </w:rPr>
        <w:t xml:space="preserve">The </w:t>
      </w:r>
      <w:r w:rsidR="00102715">
        <w:rPr>
          <w:sz w:val="20"/>
        </w:rPr>
        <w:t>permittee</w:t>
      </w:r>
      <w:r w:rsidRPr="00A00153">
        <w:rPr>
          <w:sz w:val="20"/>
        </w:rPr>
        <w:t xml:space="preserve"> must calculate NMOC mass emission rate utilizing Equation 1 or 2 in </w:t>
      </w:r>
      <w:r w:rsidRPr="003A49EA">
        <w:rPr>
          <w:b/>
          <w:sz w:val="20"/>
        </w:rPr>
        <w:t>Appendix 7</w:t>
      </w:r>
      <w:r w:rsidRPr="00A00153">
        <w:rPr>
          <w:sz w:val="20"/>
        </w:rPr>
        <w:t xml:space="preserve">, as applicable, and compare it to the standard of 34 </w:t>
      </w:r>
      <w:r>
        <w:rPr>
          <w:rFonts w:cs="Arial"/>
          <w:sz w:val="20"/>
        </w:rPr>
        <w:t>Mg</w:t>
      </w:r>
      <w:r w:rsidRPr="00A00153">
        <w:rPr>
          <w:sz w:val="20"/>
        </w:rPr>
        <w:t xml:space="preserve"> per year.</w:t>
      </w:r>
      <w:r>
        <w:rPr>
          <w:sz w:val="20"/>
        </w:rPr>
        <w:t xml:space="preserve"> </w:t>
      </w:r>
      <w:r w:rsidRPr="00A00153">
        <w:rPr>
          <w:b/>
          <w:sz w:val="20"/>
        </w:rPr>
        <w:t xml:space="preserve"> (40 CFR 60.764(a)(2))</w:t>
      </w:r>
    </w:p>
    <w:p w14:paraId="42CA11D6" w14:textId="77777777" w:rsidR="00C67C9B" w:rsidRPr="00666AB0" w:rsidRDefault="00C67C9B" w:rsidP="00C67C9B">
      <w:pPr>
        <w:jc w:val="both"/>
        <w:rPr>
          <w:rFonts w:cs="Arial"/>
          <w:sz w:val="20"/>
        </w:rPr>
      </w:pPr>
    </w:p>
    <w:p w14:paraId="5D1B0AB8" w14:textId="77777777" w:rsidR="00C67C9B" w:rsidRPr="00916A99" w:rsidRDefault="00C67C9B" w:rsidP="00C67C9B">
      <w:pPr>
        <w:jc w:val="both"/>
        <w:rPr>
          <w:rFonts w:cs="Arial"/>
          <w:b/>
          <w:sz w:val="20"/>
          <w:u w:val="single"/>
        </w:rPr>
      </w:pPr>
      <w:r>
        <w:rPr>
          <w:rFonts w:cs="Arial"/>
          <w:b/>
          <w:sz w:val="20"/>
          <w:u w:val="single"/>
        </w:rPr>
        <w:t>Tier 2</w:t>
      </w:r>
    </w:p>
    <w:p w14:paraId="717715B9" w14:textId="77777777" w:rsidR="00C67C9B" w:rsidRDefault="00C67C9B" w:rsidP="00C67C9B">
      <w:pPr>
        <w:jc w:val="both"/>
        <w:rPr>
          <w:rFonts w:cs="Arial"/>
          <w:sz w:val="20"/>
        </w:rPr>
      </w:pPr>
    </w:p>
    <w:p w14:paraId="00895518" w14:textId="77777777" w:rsidR="00C67C9B" w:rsidRPr="00916A99" w:rsidRDefault="00C67C9B" w:rsidP="00C67C9B">
      <w:pPr>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the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3A49EA">
        <w:rPr>
          <w:rFonts w:cs="Arial"/>
          <w:b/>
          <w:sz w:val="20"/>
        </w:rPr>
        <w:t>Appendix 7</w:t>
      </w:r>
      <w:r w:rsidRPr="00916A99">
        <w:rPr>
          <w:rFonts w:cs="Arial"/>
          <w:sz w:val="20"/>
        </w:rPr>
        <w:t xml:space="preserve"> and using the average NMOC concentration from the collected samples </w:t>
      </w:r>
      <w:r>
        <w:rPr>
          <w:rFonts w:cs="Arial"/>
          <w:sz w:val="20"/>
        </w:rPr>
        <w:t>(</w:t>
      </w:r>
      <w:r>
        <w:rPr>
          <w:rFonts w:cs="Arial"/>
          <w:b/>
          <w:sz w:val="20"/>
        </w:rPr>
        <w:t xml:space="preserve">Tier 2 </w:t>
      </w:r>
      <w:r>
        <w:rPr>
          <w:rFonts w:cs="Arial"/>
          <w:sz w:val="20"/>
        </w:rPr>
        <w:t xml:space="preserve">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60.7</w:t>
      </w:r>
      <w:r>
        <w:rPr>
          <w:rFonts w:cs="Arial"/>
          <w:sz w:val="20"/>
        </w:rPr>
        <w:t>64</w:t>
      </w:r>
      <w:r w:rsidRPr="00916A99">
        <w:rPr>
          <w:rFonts w:cs="Arial"/>
          <w:sz w:val="20"/>
        </w:rPr>
        <w:t xml:space="preserve">(a)(1).  </w:t>
      </w:r>
      <w:r w:rsidRPr="00916A99">
        <w:rPr>
          <w:rFonts w:cs="Arial"/>
          <w:b/>
          <w:sz w:val="20"/>
        </w:rPr>
        <w:t>(40 CFR 60.7</w:t>
      </w:r>
      <w:r>
        <w:rPr>
          <w:rFonts w:cs="Arial"/>
          <w:b/>
          <w:sz w:val="20"/>
        </w:rPr>
        <w:t>64</w:t>
      </w:r>
      <w:r w:rsidRPr="00916A99">
        <w:rPr>
          <w:rFonts w:cs="Arial"/>
          <w:b/>
          <w:sz w:val="20"/>
        </w:rPr>
        <w:t>(a)(3)(</w:t>
      </w:r>
      <w:proofErr w:type="spellStart"/>
      <w:r w:rsidRPr="00916A99">
        <w:rPr>
          <w:rFonts w:cs="Arial"/>
          <w:b/>
          <w:sz w:val="20"/>
        </w:rPr>
        <w:t>i</w:t>
      </w:r>
      <w:proofErr w:type="spellEnd"/>
      <w:r w:rsidRPr="00916A99">
        <w:rPr>
          <w:rFonts w:cs="Arial"/>
          <w:b/>
          <w:sz w:val="20"/>
        </w:rPr>
        <w:t>))</w:t>
      </w:r>
    </w:p>
    <w:p w14:paraId="2F922900" w14:textId="77777777" w:rsidR="00C67C9B" w:rsidRPr="00026AC7" w:rsidRDefault="00C67C9B" w:rsidP="00C67C9B">
      <w:pPr>
        <w:spacing w:before="100" w:beforeAutospacing="1" w:after="100" w:afterAutospacing="1"/>
        <w:jc w:val="both"/>
        <w:rPr>
          <w:rFonts w:cs="Arial"/>
          <w:sz w:val="20"/>
        </w:rPr>
      </w:pPr>
      <w:r w:rsidRPr="00026AC7">
        <w:rPr>
          <w:rFonts w:cs="Arial"/>
          <w:sz w:val="20"/>
        </w:rPr>
        <w:t xml:space="preserve">If the resulting </w:t>
      </w:r>
      <w:r w:rsidRPr="00026AC7">
        <w:rPr>
          <w:rFonts w:cs="Arial"/>
          <w:b/>
          <w:sz w:val="20"/>
        </w:rPr>
        <w:t>Tier 2</w:t>
      </w:r>
      <w:r w:rsidRPr="00026AC7">
        <w:rPr>
          <w:rFonts w:cs="Arial"/>
          <w:sz w:val="20"/>
        </w:rPr>
        <w:t xml:space="preserve"> NMOC mass emission rate is less than 34 Mg per year, the permittee must submit a periodic estimate of NMOC emissions in an NMOC emission rate report as provided in 40 CFR 60.767(b)(1) and must recalculate the NMOC mass emission rate annually as required under 40 CFR 60.762(b).  The site-specific NMOC concentration must be retested every 5 years.  </w:t>
      </w:r>
      <w:r w:rsidRPr="00A52B87">
        <w:rPr>
          <w:rFonts w:cs="Arial"/>
          <w:b/>
          <w:bCs/>
          <w:sz w:val="20"/>
        </w:rPr>
        <w:t>(</w:t>
      </w:r>
      <w:r w:rsidRPr="008E2DC3">
        <w:rPr>
          <w:rFonts w:cs="Arial"/>
          <w:b/>
          <w:bCs/>
          <w:color w:val="333333"/>
          <w:sz w:val="20"/>
          <w:shd w:val="clear" w:color="auto" w:fill="FFFFFF"/>
        </w:rPr>
        <w:t>40 CFR 60.764(a)(3)(iii)</w:t>
      </w:r>
      <w:r w:rsidRPr="00026AC7">
        <w:rPr>
          <w:rFonts w:cs="Arial"/>
          <w:b/>
          <w:bCs/>
          <w:sz w:val="20"/>
        </w:rPr>
        <w:t>)</w:t>
      </w:r>
    </w:p>
    <w:p w14:paraId="153BB015" w14:textId="6335C86B" w:rsidR="00C67C9B" w:rsidRPr="00C62FFE" w:rsidRDefault="00C67C9B" w:rsidP="00C67C9B">
      <w:pPr>
        <w:spacing w:before="120" w:after="120"/>
        <w:jc w:val="both"/>
        <w:rPr>
          <w:rFonts w:cs="Arial"/>
          <w:sz w:val="20"/>
        </w:rPr>
      </w:pPr>
      <w:r w:rsidRPr="00C62FFE">
        <w:rPr>
          <w:rFonts w:cs="Arial"/>
          <w:sz w:val="20"/>
        </w:rPr>
        <w:t>If the NMOC mass emission rate as calculated using the Tier 2 site-specific NMOC concentration is equal to or greater than 34 Mg per year, then the permittee must either:</w:t>
      </w:r>
    </w:p>
    <w:p w14:paraId="2DDED4C2" w14:textId="77777777" w:rsidR="00C67C9B" w:rsidRPr="00C62FFE" w:rsidRDefault="00C67C9B" w:rsidP="00020C68">
      <w:pPr>
        <w:pStyle w:val="ListParagraph"/>
        <w:numPr>
          <w:ilvl w:val="0"/>
          <w:numId w:val="46"/>
        </w:numPr>
        <w:spacing w:before="120" w:after="120"/>
        <w:jc w:val="both"/>
        <w:rPr>
          <w:rFonts w:cs="Arial"/>
          <w:b/>
          <w:sz w:val="20"/>
        </w:rPr>
      </w:pPr>
      <w:r w:rsidRPr="00C62FFE">
        <w:rPr>
          <w:rFonts w:cs="Arial"/>
          <w:sz w:val="20"/>
        </w:rPr>
        <w:t xml:space="preserve">Comply with 40 CFR 60.767(c) (submit a gas collection and control system design plan prepared by a professional engineer within 1 year); </w:t>
      </w:r>
      <w:r w:rsidRPr="00C62FFE">
        <w:rPr>
          <w:rFonts w:cs="Arial"/>
          <w:bCs/>
          <w:sz w:val="20"/>
        </w:rPr>
        <w:t xml:space="preserve"> </w:t>
      </w:r>
      <w:r w:rsidRPr="00C62FFE">
        <w:rPr>
          <w:rFonts w:cs="Arial"/>
          <w:b/>
          <w:sz w:val="20"/>
        </w:rPr>
        <w:t>(</w:t>
      </w:r>
      <w:r w:rsidRPr="00C62FFE">
        <w:rPr>
          <w:rFonts w:cs="Arial"/>
          <w:b/>
          <w:sz w:val="20"/>
          <w:shd w:val="clear" w:color="auto" w:fill="FFFFFF"/>
        </w:rPr>
        <w:t>40 CFR 60.764(a)(3)(iv)(A))</w:t>
      </w:r>
      <w:r w:rsidRPr="00C62FFE">
        <w:rPr>
          <w:rFonts w:cs="Arial"/>
          <w:sz w:val="20"/>
        </w:rPr>
        <w:t xml:space="preserve"> or </w:t>
      </w:r>
    </w:p>
    <w:p w14:paraId="5894DE5E" w14:textId="77777777" w:rsidR="00C67C9B" w:rsidRPr="00C62FFE" w:rsidRDefault="00C67C9B" w:rsidP="00020C68">
      <w:pPr>
        <w:pStyle w:val="ListParagraph"/>
        <w:numPr>
          <w:ilvl w:val="0"/>
          <w:numId w:val="46"/>
        </w:numPr>
        <w:spacing w:before="120" w:after="120"/>
        <w:jc w:val="both"/>
        <w:rPr>
          <w:rFonts w:cs="Arial"/>
          <w:b/>
          <w:sz w:val="20"/>
        </w:rPr>
      </w:pPr>
      <w:r w:rsidRPr="00C62FFE">
        <w:rPr>
          <w:rFonts w:cs="Arial"/>
          <w:sz w:val="20"/>
        </w:rPr>
        <w:t xml:space="preserve">Determine the site-specific methane generation rate constant and recalculate the NMOC emission rate using the site-specific methane generation rate using the procedure specified in </w:t>
      </w:r>
      <w:r w:rsidRPr="00C62FFE">
        <w:rPr>
          <w:rFonts w:cs="Arial"/>
          <w:b/>
          <w:sz w:val="20"/>
        </w:rPr>
        <w:t>Tier 3</w:t>
      </w:r>
      <w:r w:rsidRPr="00C62FFE">
        <w:rPr>
          <w:rFonts w:cs="Arial"/>
          <w:sz w:val="20"/>
        </w:rPr>
        <w:t xml:space="preserve"> (</w:t>
      </w:r>
      <w:r w:rsidRPr="00C62FFE">
        <w:rPr>
          <w:rFonts w:cs="Arial"/>
          <w:sz w:val="20"/>
          <w:shd w:val="clear" w:color="auto" w:fill="FFFFFF"/>
        </w:rPr>
        <w:t>40 CFR 60.764(a)(4);</w:t>
      </w:r>
      <w:r w:rsidRPr="00C62FFE">
        <w:rPr>
          <w:rFonts w:cs="Arial"/>
          <w:sz w:val="20"/>
        </w:rPr>
        <w:t xml:space="preserve">  </w:t>
      </w:r>
      <w:r w:rsidRPr="00C62FFE">
        <w:rPr>
          <w:rFonts w:cs="Arial"/>
          <w:b/>
          <w:sz w:val="20"/>
        </w:rPr>
        <w:t>(</w:t>
      </w:r>
      <w:r w:rsidRPr="00C62FFE">
        <w:rPr>
          <w:rFonts w:cs="Arial"/>
          <w:b/>
          <w:bCs/>
          <w:sz w:val="20"/>
          <w:shd w:val="clear" w:color="auto" w:fill="FFFFFF"/>
        </w:rPr>
        <w:t>40</w:t>
      </w:r>
      <w:r>
        <w:rPr>
          <w:rFonts w:cs="Arial"/>
          <w:b/>
          <w:bCs/>
          <w:sz w:val="20"/>
          <w:shd w:val="clear" w:color="auto" w:fill="FFFFFF"/>
        </w:rPr>
        <w:t> </w:t>
      </w:r>
      <w:r w:rsidRPr="00C62FFE">
        <w:rPr>
          <w:rFonts w:cs="Arial"/>
          <w:b/>
          <w:bCs/>
          <w:sz w:val="20"/>
          <w:shd w:val="clear" w:color="auto" w:fill="FFFFFF"/>
        </w:rPr>
        <w:t>CFR 60.764(a)(3)(iv)(B)</w:t>
      </w:r>
      <w:r w:rsidRPr="00C62FFE">
        <w:rPr>
          <w:rFonts w:cs="Arial"/>
          <w:b/>
          <w:bCs/>
          <w:sz w:val="20"/>
        </w:rPr>
        <w:t xml:space="preserve">) </w:t>
      </w:r>
      <w:r w:rsidRPr="00C62FFE">
        <w:rPr>
          <w:rFonts w:cs="Arial"/>
          <w:sz w:val="20"/>
        </w:rPr>
        <w:t>or</w:t>
      </w:r>
    </w:p>
    <w:p w14:paraId="6223B412" w14:textId="77777777" w:rsidR="00C67C9B" w:rsidRPr="00C62FFE" w:rsidRDefault="00C67C9B" w:rsidP="00020C68">
      <w:pPr>
        <w:pStyle w:val="ListParagraph"/>
        <w:numPr>
          <w:ilvl w:val="0"/>
          <w:numId w:val="46"/>
        </w:numPr>
        <w:ind w:left="778"/>
        <w:jc w:val="both"/>
        <w:rPr>
          <w:rFonts w:cs="Arial"/>
          <w:b/>
          <w:sz w:val="20"/>
        </w:rPr>
      </w:pPr>
      <w:r w:rsidRPr="00C62FFE">
        <w:rPr>
          <w:rFonts w:cs="Arial"/>
          <w:sz w:val="20"/>
        </w:rPr>
        <w:t xml:space="preserve">Conduct a surface emission monitoring demonstration using the Tier 4 procedures specified in </w:t>
      </w:r>
      <w:r w:rsidRPr="00C62FFE">
        <w:rPr>
          <w:rFonts w:cs="Arial"/>
          <w:sz w:val="20"/>
          <w:shd w:val="clear" w:color="auto" w:fill="FFFFFF"/>
        </w:rPr>
        <w:t>40 CFR 60.764(a)(6)</w:t>
      </w:r>
      <w:r w:rsidRPr="00C62FFE">
        <w:rPr>
          <w:rFonts w:cs="Arial"/>
          <w:sz w:val="20"/>
        </w:rPr>
        <w:t xml:space="preserve">. </w:t>
      </w:r>
      <w:r w:rsidRPr="00C62FFE">
        <w:rPr>
          <w:rFonts w:cs="Arial"/>
          <w:b/>
          <w:bCs/>
          <w:sz w:val="20"/>
        </w:rPr>
        <w:t xml:space="preserve"> </w:t>
      </w:r>
      <w:bookmarkStart w:id="127" w:name="_Hlk101250602"/>
      <w:r w:rsidRPr="00C62FFE">
        <w:rPr>
          <w:rFonts w:cs="Arial"/>
          <w:b/>
          <w:sz w:val="20"/>
        </w:rPr>
        <w:t>(</w:t>
      </w:r>
      <w:r w:rsidRPr="00C62FFE">
        <w:rPr>
          <w:rFonts w:cs="Arial"/>
          <w:b/>
          <w:sz w:val="20"/>
          <w:shd w:val="clear" w:color="auto" w:fill="FFFFFF"/>
        </w:rPr>
        <w:t>40 CFR 60.764(a)(3)(iv)(C)</w:t>
      </w:r>
      <w:r w:rsidRPr="00C62FFE">
        <w:rPr>
          <w:rFonts w:cs="Arial"/>
          <w:b/>
          <w:sz w:val="20"/>
        </w:rPr>
        <w:t>)</w:t>
      </w:r>
      <w:bookmarkEnd w:id="127"/>
    </w:p>
    <w:p w14:paraId="0EBFF8B3" w14:textId="77777777" w:rsidR="00C67C9B" w:rsidRPr="00C62FFE" w:rsidRDefault="00C67C9B" w:rsidP="00C67C9B">
      <w:pPr>
        <w:jc w:val="both"/>
        <w:rPr>
          <w:rFonts w:cs="Arial"/>
          <w:sz w:val="20"/>
        </w:rPr>
      </w:pPr>
    </w:p>
    <w:p w14:paraId="75B49C8D" w14:textId="77777777" w:rsidR="00C67C9B" w:rsidRPr="00C62FFE" w:rsidRDefault="00C67C9B" w:rsidP="00C67C9B">
      <w:pPr>
        <w:jc w:val="both"/>
        <w:rPr>
          <w:rFonts w:cs="Arial"/>
          <w:sz w:val="20"/>
        </w:rPr>
      </w:pPr>
      <w:r w:rsidRPr="00C62FFE">
        <w:rPr>
          <w:rFonts w:cs="Arial"/>
          <w:b/>
          <w:sz w:val="20"/>
          <w:u w:val="single"/>
        </w:rPr>
        <w:t>Tier 3</w:t>
      </w:r>
    </w:p>
    <w:p w14:paraId="2CE6CFE6" w14:textId="77777777" w:rsidR="00C67C9B" w:rsidRPr="00C62FFE" w:rsidRDefault="00C67C9B" w:rsidP="00C67C9B">
      <w:pPr>
        <w:jc w:val="both"/>
        <w:rPr>
          <w:rFonts w:cs="Arial"/>
          <w:sz w:val="20"/>
        </w:rPr>
      </w:pPr>
    </w:p>
    <w:p w14:paraId="2DC27C01" w14:textId="184DB28E" w:rsidR="00C67C9B" w:rsidRPr="00D237A7" w:rsidRDefault="00C67C9B" w:rsidP="00C67C9B">
      <w:pPr>
        <w:jc w:val="both"/>
        <w:rPr>
          <w:rFonts w:cs="Arial"/>
          <w:sz w:val="20"/>
        </w:rPr>
      </w:pPr>
      <w:r w:rsidRPr="00C62FFE">
        <w:rPr>
          <w:rFonts w:cs="Arial"/>
          <w:sz w:val="20"/>
        </w:rPr>
        <w:t>If the NMOC mass emission rate is less than 34 Mg per year, then the permittee must submit a periodic emission</w:t>
      </w:r>
      <w:r w:rsidRPr="00D237A7">
        <w:rPr>
          <w:rFonts w:cs="Arial"/>
          <w:sz w:val="20"/>
        </w:rPr>
        <w:t xml:space="preserve"> rate report as provided in </w:t>
      </w:r>
      <w:r>
        <w:rPr>
          <w:rFonts w:cs="Arial"/>
          <w:sz w:val="20"/>
        </w:rPr>
        <w:t>40 CFR</w:t>
      </w:r>
      <w:r w:rsidRPr="00D237A7">
        <w:rPr>
          <w:rFonts w:cs="Arial"/>
          <w:sz w:val="20"/>
        </w:rPr>
        <w:t> 60.7</w:t>
      </w:r>
      <w:r w:rsidR="008B175D">
        <w:rPr>
          <w:rFonts w:cs="Arial"/>
          <w:sz w:val="20"/>
        </w:rPr>
        <w:t>6</w:t>
      </w:r>
      <w:r w:rsidRPr="00D237A7">
        <w:rPr>
          <w:rFonts w:cs="Arial"/>
          <w:sz w:val="20"/>
        </w:rPr>
        <w:t xml:space="preserve">7(b)(1) and </w:t>
      </w:r>
      <w:r>
        <w:rPr>
          <w:rFonts w:cs="Arial"/>
          <w:sz w:val="20"/>
        </w:rPr>
        <w:t>must</w:t>
      </w:r>
      <w:r w:rsidRPr="00D237A7">
        <w:rPr>
          <w:rFonts w:cs="Arial"/>
          <w:sz w:val="20"/>
        </w:rPr>
        <w:t xml:space="preserve"> recalculate the NMOC mass emission rate annually, as provided in </w:t>
      </w:r>
      <w:r>
        <w:rPr>
          <w:rFonts w:cs="Arial"/>
          <w:sz w:val="20"/>
        </w:rPr>
        <w:t>40 CFR</w:t>
      </w:r>
      <w:r w:rsidRPr="00D237A7">
        <w:rPr>
          <w:rFonts w:cs="Arial"/>
          <w:sz w:val="20"/>
        </w:rPr>
        <w:t> 60.7</w:t>
      </w:r>
      <w:r w:rsidR="008B175D">
        <w:rPr>
          <w:rFonts w:cs="Arial"/>
          <w:sz w:val="20"/>
        </w:rPr>
        <w:t>6</w:t>
      </w:r>
      <w:r w:rsidRPr="00D237A7">
        <w:rPr>
          <w:rFonts w:cs="Arial"/>
          <w:sz w:val="20"/>
        </w:rPr>
        <w:t xml:space="preserve">7(b)(1)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 and using the site-specific methane generation rate constant (</w:t>
      </w:r>
      <w:r w:rsidRPr="00D237A7">
        <w:rPr>
          <w:rFonts w:cs="Arial"/>
          <w:b/>
          <w:sz w:val="20"/>
        </w:rPr>
        <w:t>Tier 3</w:t>
      </w:r>
      <w:r w:rsidRPr="00D237A7">
        <w:rPr>
          <w:rFonts w:cs="Arial"/>
          <w:sz w:val="20"/>
        </w:rPr>
        <w:t>) and NMOC concentration (</w:t>
      </w:r>
      <w:r w:rsidRPr="00D237A7">
        <w:rPr>
          <w:rFonts w:cs="Arial"/>
          <w:b/>
          <w:sz w:val="20"/>
        </w:rPr>
        <w:t>Tier 2</w:t>
      </w:r>
      <w:r w:rsidRPr="00D237A7">
        <w:rPr>
          <w:rFonts w:cs="Arial"/>
          <w:sz w:val="20"/>
        </w:rPr>
        <w:t xml:space="preserve">) obtained in </w:t>
      </w:r>
      <w:r>
        <w:rPr>
          <w:rFonts w:cs="Arial"/>
          <w:sz w:val="20"/>
        </w:rPr>
        <w:t xml:space="preserve">40 CFR </w:t>
      </w:r>
      <w:r w:rsidRPr="00D237A7">
        <w:rPr>
          <w:rFonts w:cs="Arial"/>
          <w:sz w:val="20"/>
        </w:rPr>
        <w:t>60.7</w:t>
      </w:r>
      <w:r>
        <w:rPr>
          <w:rFonts w:cs="Arial"/>
          <w:sz w:val="20"/>
        </w:rPr>
        <w:t>64</w:t>
      </w:r>
      <w:r w:rsidRPr="00D237A7">
        <w:rPr>
          <w:rFonts w:cs="Arial"/>
          <w:sz w:val="20"/>
        </w:rPr>
        <w:t xml:space="preserve">(a)(3). </w:t>
      </w:r>
      <w:r>
        <w:rPr>
          <w:rFonts w:cs="Arial"/>
          <w:sz w:val="20"/>
        </w:rPr>
        <w:t xml:space="preserve"> </w:t>
      </w:r>
      <w:r w:rsidRPr="00D237A7">
        <w:rPr>
          <w:rFonts w:cs="Arial"/>
          <w:sz w:val="20"/>
        </w:rPr>
        <w:t>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(40 CFR 60.7</w:t>
      </w:r>
      <w:r>
        <w:rPr>
          <w:rFonts w:cs="Arial"/>
          <w:b/>
          <w:sz w:val="20"/>
        </w:rPr>
        <w:t>64</w:t>
      </w:r>
      <w:r w:rsidRPr="00D237A7">
        <w:rPr>
          <w:rFonts w:cs="Arial"/>
          <w:b/>
          <w:sz w:val="20"/>
        </w:rPr>
        <w:t>(a)(4)(ii))</w:t>
      </w:r>
    </w:p>
    <w:p w14:paraId="138F51B3" w14:textId="77777777" w:rsidR="00C67C9B" w:rsidRDefault="00C67C9B" w:rsidP="00C67C9B">
      <w:pPr>
        <w:jc w:val="both"/>
        <w:rPr>
          <w:sz w:val="20"/>
        </w:rPr>
      </w:pPr>
    </w:p>
    <w:p w14:paraId="60D9BD6B" w14:textId="77777777" w:rsidR="00C67C9B" w:rsidRPr="00490B08" w:rsidRDefault="00C67C9B" w:rsidP="00C67C9B">
      <w:pPr>
        <w:jc w:val="both"/>
        <w:rPr>
          <w:b/>
          <w:sz w:val="20"/>
          <w:u w:val="single"/>
        </w:rPr>
      </w:pPr>
      <w:r w:rsidRPr="00490B08">
        <w:rPr>
          <w:b/>
          <w:sz w:val="20"/>
          <w:u w:val="single"/>
        </w:rPr>
        <w:t>Calculating expected gas generation flow rates from the landfill</w:t>
      </w:r>
    </w:p>
    <w:p w14:paraId="1C44A2DE" w14:textId="4108A900" w:rsidR="00C67C9B" w:rsidRDefault="00C67C9B" w:rsidP="00C67C9B">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60.7</w:t>
      </w:r>
      <w:r w:rsidR="00A8389E">
        <w:rPr>
          <w:rFonts w:cs="Arial"/>
          <w:sz w:val="20"/>
        </w:rPr>
        <w:t>6</w:t>
      </w:r>
      <w:r w:rsidRPr="00FF69E4">
        <w:rPr>
          <w:rFonts w:cs="Arial"/>
          <w:sz w:val="20"/>
        </w:rPr>
        <w:t>2(b)(2)(ii)(A)(</w:t>
      </w:r>
      <w:r w:rsidRPr="00FF69E4">
        <w:rPr>
          <w:rFonts w:cs="Arial"/>
          <w:i/>
          <w:iCs/>
          <w:sz w:val="20"/>
        </w:rPr>
        <w:t>1</w:t>
      </w:r>
      <w:r w:rsidRPr="00FF69E4">
        <w:rPr>
          <w:rFonts w:cs="Arial"/>
          <w:sz w:val="20"/>
        </w:rPr>
        <w:t xml:space="preserve">), </w:t>
      </w:r>
      <w:r>
        <w:rPr>
          <w:rFonts w:cs="Arial"/>
          <w:sz w:val="20"/>
        </w:rPr>
        <w:t xml:space="preserve">either </w:t>
      </w:r>
      <w:r w:rsidRPr="00FF69E4">
        <w:rPr>
          <w:rFonts w:cs="Arial"/>
          <w:b/>
          <w:sz w:val="20"/>
        </w:rPr>
        <w:t>Equation 3</w:t>
      </w:r>
      <w:r>
        <w:rPr>
          <w:rFonts w:cs="Arial"/>
          <w:sz w:val="20"/>
        </w:rPr>
        <w:t xml:space="preserve"> or </w:t>
      </w:r>
      <w:r w:rsidRPr="00FF69E4">
        <w:rPr>
          <w:rFonts w:cs="Arial"/>
          <w:b/>
          <w:sz w:val="20"/>
        </w:rPr>
        <w:t>Equation 4</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 k and L</w:t>
      </w:r>
      <w:r w:rsidRPr="00E31E56">
        <w:rPr>
          <w:rFonts w:cs="Arial"/>
          <w:sz w:val="20"/>
          <w:vertAlign w:val="subscript"/>
        </w:rPr>
        <w:t>o</w:t>
      </w:r>
      <w:r w:rsidRPr="00FF69E4">
        <w:rPr>
          <w:rFonts w:cs="Arial"/>
          <w:sz w:val="20"/>
        </w:rPr>
        <w:t xml:space="preserve"> kinetic factors should be those published in the most recent Compilation of Air Pollutant Emission Factors (AP-42) or other site-specific values demonstrated to be appropriate and approved by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w:t>
      </w:r>
      <w:r w:rsidRPr="00FF69E4">
        <w:rPr>
          <w:rFonts w:cs="Arial"/>
          <w:sz w:val="20"/>
        </w:rPr>
        <w:t> 60.7</w:t>
      </w:r>
      <w:r>
        <w:rPr>
          <w:rFonts w:cs="Arial"/>
          <w:sz w:val="20"/>
        </w:rPr>
        <w:t>64</w:t>
      </w:r>
      <w:r w:rsidRPr="00FF69E4">
        <w:rPr>
          <w:rFonts w:cs="Arial"/>
          <w:sz w:val="20"/>
        </w:rPr>
        <w:t xml:space="preserve">(a)(4),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(40 CFR 60.7</w:t>
      </w:r>
      <w:r w:rsidR="00A8389E">
        <w:rPr>
          <w:rFonts w:cs="Arial"/>
          <w:b/>
          <w:sz w:val="20"/>
        </w:rPr>
        <w:t>6</w:t>
      </w:r>
      <w:r w:rsidRPr="00FF69E4">
        <w:rPr>
          <w:rFonts w:cs="Arial"/>
          <w:b/>
          <w:sz w:val="20"/>
        </w:rPr>
        <w:t>5(a)(1))</w:t>
      </w:r>
    </w:p>
    <w:p w14:paraId="1028CED5" w14:textId="04484F07" w:rsidR="00C67C9B" w:rsidRPr="00FF69E4" w:rsidRDefault="00C67C9B" w:rsidP="00C67C9B">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3 </w:t>
      </w:r>
      <w:r w:rsidRPr="00FF69E4">
        <w:rPr>
          <w:rFonts w:cs="Arial"/>
          <w:sz w:val="20"/>
        </w:rPr>
        <w:t>or</w:t>
      </w:r>
      <w:r w:rsidRPr="00FF69E4">
        <w:rPr>
          <w:rFonts w:cs="Arial"/>
          <w:b/>
          <w:sz w:val="20"/>
        </w:rPr>
        <w:t xml:space="preserve"> Equation 4</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3 </w:t>
      </w:r>
      <w:r w:rsidRPr="00FF69E4">
        <w:rPr>
          <w:rFonts w:cs="Arial"/>
          <w:sz w:val="20"/>
        </w:rPr>
        <w:t>or</w:t>
      </w:r>
      <w:r w:rsidRPr="00FF69E4">
        <w:rPr>
          <w:rFonts w:cs="Arial"/>
          <w:b/>
          <w:sz w:val="20"/>
        </w:rPr>
        <w:t xml:space="preserve"> Equation 4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(40 CFR 60.7</w:t>
      </w:r>
      <w:r w:rsidR="00A8389E">
        <w:rPr>
          <w:rFonts w:cs="Arial"/>
          <w:b/>
          <w:sz w:val="20"/>
        </w:rPr>
        <w:t>6</w:t>
      </w:r>
      <w:r w:rsidRPr="00FF69E4">
        <w:rPr>
          <w:rFonts w:cs="Arial"/>
          <w:b/>
          <w:sz w:val="20"/>
        </w:rPr>
        <w:t>5(a)(1)(ii))</w:t>
      </w:r>
    </w:p>
    <w:p w14:paraId="08936CFE" w14:textId="77777777" w:rsidR="00C67C9B" w:rsidRPr="00FF69E4" w:rsidRDefault="00C67C9B" w:rsidP="00C67C9B">
      <w:pPr>
        <w:spacing w:before="100" w:beforeAutospacing="1" w:after="100" w:afterAutospacing="1"/>
        <w:jc w:val="both"/>
        <w:rPr>
          <w:rFonts w:cs="Arial"/>
          <w:b/>
          <w:sz w:val="20"/>
          <w:u w:val="single"/>
        </w:rPr>
      </w:pPr>
      <w:r w:rsidRPr="00FF69E4">
        <w:rPr>
          <w:rFonts w:cs="Arial"/>
          <w:b/>
          <w:sz w:val="20"/>
          <w:u w:val="single"/>
        </w:rPr>
        <w:t>Equation 3</w:t>
      </w:r>
    </w:p>
    <w:p w14:paraId="1AC8F4D0" w14:textId="77777777" w:rsidR="00C67C9B" w:rsidRPr="00FF69E4" w:rsidRDefault="00C67C9B" w:rsidP="00C67C9B">
      <w:pPr>
        <w:spacing w:before="100" w:beforeAutospacing="1" w:after="100" w:afterAutospacing="1"/>
        <w:jc w:val="both"/>
        <w:rPr>
          <w:rFonts w:cs="Arial"/>
          <w:sz w:val="20"/>
        </w:rPr>
      </w:pPr>
      <w:r w:rsidRPr="00FF69E4">
        <w:rPr>
          <w:rFonts w:cs="Arial"/>
          <w:i/>
          <w:sz w:val="20"/>
        </w:rPr>
        <w:t>For sites with unknown year-to-year solid waste acceptance rate:</w:t>
      </w:r>
      <w:r w:rsidRPr="00FF69E4">
        <w:rPr>
          <w:rFonts w:cs="Arial"/>
          <w:sz w:val="20"/>
        </w:rPr>
        <w:t xml:space="preserve">  </w:t>
      </w:r>
    </w:p>
    <w:p w14:paraId="2A648D4E" w14:textId="77777777" w:rsidR="00C67C9B" w:rsidRDefault="00C67C9B" w:rsidP="00C67C9B">
      <w:pPr>
        <w:spacing w:before="100" w:beforeAutospacing="1" w:after="100" w:afterAutospacing="1"/>
        <w:jc w:val="both"/>
        <w:rPr>
          <w:rFonts w:cs="Arial"/>
          <w:sz w:val="20"/>
        </w:rPr>
      </w:pPr>
      <w:proofErr w:type="spellStart"/>
      <w:r>
        <w:rPr>
          <w:rFonts w:cs="Arial"/>
          <w:sz w:val="20"/>
        </w:rPr>
        <w:t>Q</w:t>
      </w:r>
      <w:r w:rsidRPr="00E31E56">
        <w:rPr>
          <w:rFonts w:cs="Arial"/>
          <w:sz w:val="20"/>
          <w:vertAlign w:val="subscript"/>
        </w:rPr>
        <w:t>m</w:t>
      </w:r>
      <w:proofErr w:type="spellEnd"/>
      <w:r>
        <w:rPr>
          <w:rFonts w:cs="Arial"/>
          <w:sz w:val="20"/>
        </w:rPr>
        <w:t xml:space="preserve"> = 2L</w:t>
      </w:r>
      <w:r w:rsidRPr="00E31E56">
        <w:rPr>
          <w:rFonts w:cs="Arial"/>
          <w:sz w:val="20"/>
          <w:vertAlign w:val="subscript"/>
        </w:rPr>
        <w:t>o</w:t>
      </w:r>
      <w:r>
        <w:rPr>
          <w:rFonts w:cs="Arial"/>
          <w:sz w:val="20"/>
        </w:rPr>
        <w:t xml:space="preserve"> R (e</w:t>
      </w:r>
      <w:r w:rsidRPr="00E31E56">
        <w:rPr>
          <w:rFonts w:cs="Arial"/>
          <w:sz w:val="20"/>
          <w:vertAlign w:val="superscript"/>
        </w:rPr>
        <w:t>−kc</w:t>
      </w:r>
      <w:r>
        <w:rPr>
          <w:rFonts w:cs="Arial"/>
          <w:sz w:val="20"/>
        </w:rPr>
        <w:t xml:space="preserve"> − e</w:t>
      </w:r>
      <w:r w:rsidRPr="00E31E56">
        <w:rPr>
          <w:rFonts w:cs="Arial"/>
          <w:sz w:val="20"/>
          <w:vertAlign w:val="superscript"/>
        </w:rPr>
        <w:t>−kt</w:t>
      </w:r>
      <w:r>
        <w:rPr>
          <w:rFonts w:cs="Arial"/>
          <w:sz w:val="20"/>
        </w:rPr>
        <w:t>)</w:t>
      </w:r>
    </w:p>
    <w:p w14:paraId="6E8DB696" w14:textId="77777777" w:rsidR="00C67C9B" w:rsidRPr="00FF69E4" w:rsidRDefault="00C67C9B" w:rsidP="00C67C9B">
      <w:pPr>
        <w:spacing w:before="100" w:beforeAutospacing="1" w:after="100" w:afterAutospacing="1"/>
        <w:jc w:val="both"/>
        <w:rPr>
          <w:rFonts w:cs="Arial"/>
          <w:sz w:val="20"/>
        </w:rPr>
      </w:pPr>
      <w:r>
        <w:rPr>
          <w:rFonts w:cs="Arial"/>
          <w:sz w:val="20"/>
        </w:rPr>
        <w:lastRenderedPageBreak/>
        <w:t>Where:</w:t>
      </w:r>
    </w:p>
    <w:p w14:paraId="4DA27CBF" w14:textId="77777777" w:rsidR="00C67C9B" w:rsidRPr="00FF69E4" w:rsidRDefault="00C67C9B" w:rsidP="00C67C9B">
      <w:pPr>
        <w:spacing w:after="120"/>
        <w:jc w:val="both"/>
        <w:rPr>
          <w:rFonts w:cs="Arial"/>
          <w:sz w:val="20"/>
        </w:rPr>
      </w:pPr>
      <w:proofErr w:type="spellStart"/>
      <w:r w:rsidRPr="00FF69E4">
        <w:rPr>
          <w:rFonts w:cs="Arial"/>
          <w:sz w:val="20"/>
        </w:rPr>
        <w:t>Q</w:t>
      </w:r>
      <w:r w:rsidRPr="00E31E56">
        <w:rPr>
          <w:rFonts w:cs="Arial"/>
          <w:sz w:val="20"/>
          <w:vertAlign w:val="subscript"/>
        </w:rPr>
        <w:t>m</w:t>
      </w:r>
      <w:proofErr w:type="spellEnd"/>
      <w:r w:rsidRPr="00FF69E4">
        <w:rPr>
          <w:rFonts w:cs="Arial"/>
          <w:sz w:val="20"/>
        </w:rPr>
        <w:t xml:space="preserve"> = maximum expected gas generation flow rate, cubic meters per year </w:t>
      </w:r>
    </w:p>
    <w:p w14:paraId="6D9886B9" w14:textId="77777777" w:rsidR="00C67C9B" w:rsidRPr="00FF69E4" w:rsidRDefault="00C67C9B" w:rsidP="00C67C9B">
      <w:pPr>
        <w:spacing w:after="120"/>
        <w:jc w:val="both"/>
        <w:rPr>
          <w:rFonts w:cs="Arial"/>
          <w:sz w:val="20"/>
        </w:rPr>
      </w:pPr>
      <w:r w:rsidRPr="00FF69E4">
        <w:rPr>
          <w:rFonts w:cs="Arial"/>
          <w:sz w:val="20"/>
        </w:rPr>
        <w:t>L</w:t>
      </w:r>
      <w:r w:rsidRPr="00E31E56">
        <w:rPr>
          <w:rFonts w:cs="Arial"/>
          <w:sz w:val="20"/>
          <w:vertAlign w:val="subscript"/>
        </w:rPr>
        <w:t>o</w:t>
      </w:r>
      <w:r w:rsidRPr="00FF69E4">
        <w:rPr>
          <w:rFonts w:cs="Arial"/>
          <w:sz w:val="20"/>
        </w:rPr>
        <w:t xml:space="preserve"> = methane generation potential, cubic meters per </w:t>
      </w:r>
      <w:r>
        <w:rPr>
          <w:rFonts w:cs="Arial"/>
          <w:sz w:val="20"/>
        </w:rPr>
        <w:t>Mg</w:t>
      </w:r>
      <w:r w:rsidRPr="00FF69E4">
        <w:rPr>
          <w:rFonts w:cs="Arial"/>
          <w:sz w:val="20"/>
        </w:rPr>
        <w:t xml:space="preserve"> solid waste </w:t>
      </w:r>
    </w:p>
    <w:p w14:paraId="0F755129" w14:textId="77777777" w:rsidR="00C67C9B" w:rsidRPr="00FF69E4" w:rsidRDefault="00C67C9B" w:rsidP="00C67C9B">
      <w:pPr>
        <w:spacing w:after="120"/>
        <w:jc w:val="both"/>
        <w:rPr>
          <w:rFonts w:cs="Arial"/>
          <w:sz w:val="20"/>
        </w:rPr>
      </w:pPr>
      <w:r w:rsidRPr="00FF69E4">
        <w:rPr>
          <w:rFonts w:cs="Arial"/>
          <w:sz w:val="20"/>
        </w:rPr>
        <w:t xml:space="preserve">R = average annual acceptance rate, </w:t>
      </w:r>
      <w:r>
        <w:rPr>
          <w:rFonts w:cs="Arial"/>
          <w:sz w:val="20"/>
        </w:rPr>
        <w:t>Mg</w:t>
      </w:r>
      <w:r w:rsidRPr="00FF69E4">
        <w:rPr>
          <w:rFonts w:cs="Arial"/>
          <w:sz w:val="20"/>
        </w:rPr>
        <w:t xml:space="preserve"> per year </w:t>
      </w:r>
    </w:p>
    <w:p w14:paraId="22B73F61" w14:textId="77777777" w:rsidR="00C67C9B" w:rsidRPr="00FF69E4" w:rsidRDefault="00C67C9B" w:rsidP="00C67C9B">
      <w:pPr>
        <w:spacing w:after="120"/>
        <w:jc w:val="both"/>
        <w:rPr>
          <w:rFonts w:cs="Arial"/>
          <w:sz w:val="20"/>
        </w:rPr>
      </w:pPr>
      <w:r w:rsidRPr="00FF69E4">
        <w:rPr>
          <w:rFonts w:cs="Arial"/>
          <w:sz w:val="20"/>
        </w:rPr>
        <w:t>k = methane generation rate constant, year</w:t>
      </w:r>
      <w:r w:rsidRPr="00E31E56">
        <w:rPr>
          <w:rFonts w:cs="Arial"/>
          <w:sz w:val="20"/>
          <w:vertAlign w:val="superscript"/>
        </w:rPr>
        <w:t>−1</w:t>
      </w:r>
      <w:r w:rsidRPr="00FF69E4">
        <w:rPr>
          <w:rFonts w:cs="Arial"/>
          <w:sz w:val="20"/>
        </w:rPr>
        <w:t xml:space="preserve"> </w:t>
      </w:r>
    </w:p>
    <w:p w14:paraId="6B072987" w14:textId="77777777" w:rsidR="00C67C9B" w:rsidRPr="00FF69E4" w:rsidRDefault="00C67C9B" w:rsidP="00C67C9B">
      <w:pPr>
        <w:spacing w:after="120"/>
        <w:jc w:val="both"/>
        <w:rPr>
          <w:rFonts w:cs="Arial"/>
          <w:sz w:val="20"/>
        </w:rPr>
      </w:pPr>
      <w:r w:rsidRPr="00FF69E4">
        <w:rPr>
          <w:rFonts w:cs="Arial"/>
          <w:sz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0CD11037" w14:textId="77777777" w:rsidR="00C67C9B" w:rsidRDefault="00C67C9B" w:rsidP="00C67C9B">
      <w:pPr>
        <w:jc w:val="both"/>
        <w:rPr>
          <w:rFonts w:cs="Arial"/>
          <w:sz w:val="20"/>
        </w:rPr>
      </w:pPr>
      <w:r w:rsidRPr="00FF69E4">
        <w:rPr>
          <w:rFonts w:cs="Arial"/>
          <w:sz w:val="20"/>
        </w:rPr>
        <w:t xml:space="preserve">c = time since closure, years (for an active landfill c = </w:t>
      </w:r>
      <w:r>
        <w:rPr>
          <w:rFonts w:cs="Arial"/>
          <w:sz w:val="20"/>
        </w:rPr>
        <w:t>0</w:t>
      </w:r>
      <w:r w:rsidRPr="00FF69E4">
        <w:rPr>
          <w:rFonts w:cs="Arial"/>
          <w:sz w:val="20"/>
        </w:rPr>
        <w:t xml:space="preserve"> and e</w:t>
      </w:r>
      <w:r w:rsidRPr="00E31E56">
        <w:rPr>
          <w:rFonts w:cs="Arial"/>
          <w:sz w:val="20"/>
          <w:vertAlign w:val="superscript"/>
        </w:rPr>
        <w:t>−kc</w:t>
      </w:r>
      <w:r w:rsidRPr="00FF69E4">
        <w:rPr>
          <w:rFonts w:cs="Arial"/>
          <w:sz w:val="20"/>
        </w:rPr>
        <w:t xml:space="preserve"> = 1) </w:t>
      </w:r>
    </w:p>
    <w:p w14:paraId="4B67BE4F" w14:textId="77777777" w:rsidR="00C67C9B" w:rsidRPr="00FF69E4" w:rsidRDefault="00C67C9B" w:rsidP="00C67C9B">
      <w:pPr>
        <w:spacing w:before="100" w:beforeAutospacing="1" w:after="100" w:afterAutospacing="1"/>
        <w:jc w:val="both"/>
        <w:rPr>
          <w:rFonts w:cs="Arial"/>
          <w:b/>
          <w:sz w:val="20"/>
          <w:u w:val="single"/>
        </w:rPr>
      </w:pPr>
      <w:r w:rsidRPr="00FF69E4">
        <w:rPr>
          <w:rFonts w:cs="Arial"/>
          <w:b/>
          <w:sz w:val="20"/>
          <w:u w:val="single"/>
        </w:rPr>
        <w:t>Equation 4</w:t>
      </w:r>
    </w:p>
    <w:p w14:paraId="65FCBC9B" w14:textId="77777777" w:rsidR="00C67C9B" w:rsidRPr="00B61815" w:rsidRDefault="00C67C9B" w:rsidP="00C67C9B">
      <w:pPr>
        <w:spacing w:before="100" w:beforeAutospacing="1" w:after="100" w:afterAutospacing="1"/>
        <w:jc w:val="both"/>
        <w:rPr>
          <w:rFonts w:cs="Arial"/>
          <w:sz w:val="20"/>
        </w:rPr>
      </w:pPr>
      <w:r w:rsidRPr="00FF69E4">
        <w:rPr>
          <w:rFonts w:cs="Arial"/>
          <w:i/>
          <w:sz w:val="20"/>
        </w:rPr>
        <w:t>For sites with known year-to-year solid waste acceptance rate</w:t>
      </w:r>
      <w:r w:rsidRPr="00FF69E4">
        <w:rPr>
          <w:rFonts w:cs="Arial"/>
          <w:sz w:val="20"/>
        </w:rPr>
        <w:t xml:space="preserve">: </w:t>
      </w:r>
    </w:p>
    <w:p w14:paraId="2BDC7355" w14:textId="77777777" w:rsidR="00C67C9B" w:rsidRPr="00931889" w:rsidRDefault="00A12599" w:rsidP="00C67C9B">
      <w:pPr>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p>
    <w:p w14:paraId="4341425F" w14:textId="77777777" w:rsidR="00C67C9B" w:rsidRPr="00FF69E4" w:rsidRDefault="00C67C9B" w:rsidP="00C67C9B">
      <w:pPr>
        <w:spacing w:before="100" w:beforeAutospacing="1" w:after="100" w:afterAutospacing="1"/>
        <w:jc w:val="both"/>
        <w:rPr>
          <w:rFonts w:cs="Arial"/>
          <w:sz w:val="20"/>
        </w:rPr>
      </w:pPr>
      <w:r>
        <w:rPr>
          <w:rFonts w:cs="Arial"/>
          <w:sz w:val="20"/>
        </w:rPr>
        <w:t>W</w:t>
      </w:r>
      <w:r w:rsidRPr="00FF69E4">
        <w:rPr>
          <w:rFonts w:cs="Arial"/>
          <w:sz w:val="20"/>
        </w:rPr>
        <w:t xml:space="preserve">here, </w:t>
      </w:r>
    </w:p>
    <w:p w14:paraId="399BFCB8" w14:textId="77777777" w:rsidR="00C67C9B" w:rsidRPr="00FF69E4" w:rsidRDefault="00C67C9B" w:rsidP="00C67C9B">
      <w:pPr>
        <w:spacing w:after="120"/>
        <w:jc w:val="both"/>
        <w:rPr>
          <w:rFonts w:cs="Arial"/>
          <w:sz w:val="20"/>
        </w:rPr>
      </w:pPr>
      <w:r w:rsidRPr="00FF69E4">
        <w:rPr>
          <w:rFonts w:cs="Arial"/>
          <w:sz w:val="20"/>
        </w:rPr>
        <w:t>Q</w:t>
      </w:r>
      <w:r w:rsidRPr="00E31E56">
        <w:rPr>
          <w:rFonts w:cs="Arial"/>
          <w:sz w:val="20"/>
          <w:vertAlign w:val="subscript"/>
        </w:rPr>
        <w:t>M</w:t>
      </w:r>
      <w:r>
        <w:rPr>
          <w:rFonts w:cs="Arial"/>
          <w:sz w:val="20"/>
        </w:rPr>
        <w:t xml:space="preserve"> </w:t>
      </w:r>
      <w:r w:rsidRPr="00FF69E4">
        <w:rPr>
          <w:rFonts w:cs="Arial"/>
          <w:sz w:val="20"/>
        </w:rPr>
        <w:t>=</w:t>
      </w:r>
      <w:r>
        <w:rPr>
          <w:rFonts w:cs="Arial"/>
          <w:sz w:val="20"/>
        </w:rPr>
        <w:t xml:space="preserve"> </w:t>
      </w:r>
      <w:r w:rsidRPr="00FF69E4">
        <w:rPr>
          <w:rFonts w:cs="Arial"/>
          <w:sz w:val="20"/>
        </w:rPr>
        <w:t xml:space="preserve">maximum expected gas generation flow rate, cubic meters per year </w:t>
      </w:r>
    </w:p>
    <w:p w14:paraId="303B0040" w14:textId="77777777" w:rsidR="00C67C9B" w:rsidRPr="00FF69E4" w:rsidRDefault="00C67C9B" w:rsidP="00C67C9B">
      <w:pPr>
        <w:spacing w:after="120"/>
        <w:jc w:val="both"/>
        <w:rPr>
          <w:rFonts w:cs="Arial"/>
          <w:sz w:val="20"/>
        </w:rPr>
      </w:pPr>
      <w:r w:rsidRPr="00FF69E4">
        <w:rPr>
          <w:rFonts w:cs="Arial"/>
          <w:sz w:val="20"/>
        </w:rPr>
        <w:t>k</w:t>
      </w:r>
      <w:r>
        <w:rPr>
          <w:rFonts w:cs="Arial"/>
          <w:sz w:val="20"/>
        </w:rPr>
        <w:t xml:space="preserve"> </w:t>
      </w:r>
      <w:r w:rsidRPr="00FF69E4">
        <w:rPr>
          <w:rFonts w:cs="Arial"/>
          <w:sz w:val="20"/>
        </w:rPr>
        <w:t>=</w:t>
      </w:r>
      <w:r>
        <w:rPr>
          <w:rFonts w:cs="Arial"/>
          <w:sz w:val="20"/>
        </w:rPr>
        <w:t xml:space="preserve"> </w:t>
      </w:r>
      <w:r w:rsidRPr="00FF69E4">
        <w:rPr>
          <w:rFonts w:cs="Arial"/>
          <w:sz w:val="20"/>
        </w:rPr>
        <w:t>methane generation rate constant, year</w:t>
      </w:r>
      <w:r w:rsidRPr="00E31E56">
        <w:rPr>
          <w:rFonts w:cs="Arial"/>
          <w:sz w:val="20"/>
          <w:vertAlign w:val="superscript"/>
        </w:rPr>
        <w:t>−1</w:t>
      </w:r>
      <w:r w:rsidRPr="00FF69E4">
        <w:rPr>
          <w:rFonts w:cs="Arial"/>
          <w:sz w:val="20"/>
        </w:rPr>
        <w:t xml:space="preserve"> </w:t>
      </w:r>
    </w:p>
    <w:p w14:paraId="6285762F" w14:textId="77777777" w:rsidR="00C67C9B" w:rsidRPr="00FF69E4" w:rsidRDefault="00C67C9B" w:rsidP="00C67C9B">
      <w:pPr>
        <w:spacing w:after="120"/>
        <w:jc w:val="both"/>
        <w:rPr>
          <w:rFonts w:cs="Arial"/>
          <w:sz w:val="20"/>
        </w:rPr>
      </w:pPr>
      <w:r w:rsidRPr="00FF69E4">
        <w:rPr>
          <w:rFonts w:cs="Arial"/>
          <w:sz w:val="20"/>
        </w:rPr>
        <w:t>L</w:t>
      </w:r>
      <w:r w:rsidRPr="00E31E56">
        <w:rPr>
          <w:rFonts w:cs="Arial"/>
          <w:sz w:val="20"/>
          <w:vertAlign w:val="subscript"/>
        </w:rPr>
        <w:t>o</w:t>
      </w:r>
      <w:r>
        <w:rPr>
          <w:rFonts w:cs="Arial"/>
          <w:sz w:val="20"/>
        </w:rPr>
        <w:t xml:space="preserve"> </w:t>
      </w:r>
      <w:r w:rsidRPr="00FF69E4">
        <w:rPr>
          <w:rFonts w:cs="Arial"/>
          <w:sz w:val="20"/>
        </w:rPr>
        <w:t>=</w:t>
      </w:r>
      <w:r>
        <w:rPr>
          <w:rFonts w:cs="Arial"/>
          <w:sz w:val="20"/>
        </w:rPr>
        <w:t xml:space="preserve"> </w:t>
      </w:r>
      <w:r w:rsidRPr="00FF69E4">
        <w:rPr>
          <w:rFonts w:cs="Arial"/>
          <w:sz w:val="20"/>
        </w:rPr>
        <w:t xml:space="preserve">methane generation potential, cubic meters per </w:t>
      </w:r>
      <w:r>
        <w:rPr>
          <w:rFonts w:cs="Arial"/>
          <w:sz w:val="20"/>
        </w:rPr>
        <w:t>Mg</w:t>
      </w:r>
      <w:r w:rsidRPr="00FF69E4">
        <w:rPr>
          <w:rFonts w:cs="Arial"/>
          <w:sz w:val="20"/>
        </w:rPr>
        <w:t xml:space="preserve"> solid waste </w:t>
      </w:r>
    </w:p>
    <w:p w14:paraId="3513C83C" w14:textId="77777777" w:rsidR="00C67C9B" w:rsidRPr="00FF69E4" w:rsidRDefault="00C67C9B" w:rsidP="00C67C9B">
      <w:pPr>
        <w:spacing w:after="120"/>
        <w:jc w:val="both"/>
        <w:rPr>
          <w:rFonts w:cs="Arial"/>
          <w:sz w:val="20"/>
        </w:rPr>
      </w:pPr>
      <w:r w:rsidRPr="00FF69E4">
        <w:rPr>
          <w:rFonts w:cs="Arial"/>
          <w:sz w:val="20"/>
        </w:rPr>
        <w:t>M</w:t>
      </w:r>
      <w:r w:rsidRPr="00E31E56">
        <w:rPr>
          <w:rFonts w:cs="Arial"/>
          <w:sz w:val="20"/>
          <w:vertAlign w:val="subscript"/>
        </w:rPr>
        <w:t>i</w:t>
      </w:r>
      <w:r>
        <w:rPr>
          <w:rFonts w:cs="Arial"/>
          <w:sz w:val="20"/>
        </w:rPr>
        <w:t xml:space="preserve"> </w:t>
      </w:r>
      <w:r w:rsidRPr="00FF69E4">
        <w:rPr>
          <w:rFonts w:cs="Arial"/>
          <w:sz w:val="20"/>
        </w:rPr>
        <w:t>=</w:t>
      </w:r>
      <w:r>
        <w:rPr>
          <w:rFonts w:cs="Arial"/>
          <w:sz w:val="20"/>
        </w:rPr>
        <w:t xml:space="preserve"> </w:t>
      </w:r>
      <w:r w:rsidRPr="00FF69E4">
        <w:rPr>
          <w:rFonts w:cs="Arial"/>
          <w:sz w:val="20"/>
        </w:rPr>
        <w:t xml:space="preserve">mass of solid waste in the </w:t>
      </w:r>
      <w:proofErr w:type="spellStart"/>
      <w:r w:rsidRPr="00FF69E4">
        <w:rPr>
          <w:rFonts w:cs="Arial"/>
          <w:sz w:val="20"/>
        </w:rPr>
        <w:t>ith</w:t>
      </w:r>
      <w:proofErr w:type="spellEnd"/>
      <w:r w:rsidRPr="00FF69E4">
        <w:rPr>
          <w:rFonts w:cs="Arial"/>
          <w:sz w:val="20"/>
        </w:rPr>
        <w:t xml:space="preserve"> section, </w:t>
      </w:r>
      <w:r>
        <w:rPr>
          <w:rFonts w:cs="Arial"/>
          <w:sz w:val="20"/>
        </w:rPr>
        <w:t>Mg</w:t>
      </w:r>
      <w:r w:rsidRPr="00FF69E4">
        <w:rPr>
          <w:rFonts w:cs="Arial"/>
          <w:sz w:val="20"/>
        </w:rPr>
        <w:t xml:space="preserve"> </w:t>
      </w:r>
    </w:p>
    <w:p w14:paraId="52F5737F" w14:textId="77777777" w:rsidR="00C67C9B" w:rsidRDefault="00C67C9B" w:rsidP="00C67C9B">
      <w:pPr>
        <w:jc w:val="both"/>
        <w:rPr>
          <w:rFonts w:cs="Arial"/>
          <w:sz w:val="20"/>
        </w:rPr>
      </w:pPr>
      <w:proofErr w:type="spellStart"/>
      <w:r w:rsidRPr="00FF69E4">
        <w:rPr>
          <w:rFonts w:cs="Arial"/>
          <w:sz w:val="20"/>
        </w:rPr>
        <w:t>t</w:t>
      </w:r>
      <w:r w:rsidRPr="00E31E56">
        <w:rPr>
          <w:rFonts w:cs="Arial"/>
          <w:sz w:val="20"/>
          <w:vertAlign w:val="subscript"/>
        </w:rPr>
        <w:t>i</w:t>
      </w:r>
      <w:proofErr w:type="spellEnd"/>
      <w:r>
        <w:rPr>
          <w:rFonts w:cs="Arial"/>
          <w:sz w:val="20"/>
        </w:rPr>
        <w:t xml:space="preserve"> </w:t>
      </w:r>
      <w:r w:rsidRPr="00FF69E4">
        <w:rPr>
          <w:rFonts w:cs="Arial"/>
          <w:sz w:val="20"/>
        </w:rPr>
        <w:t>=</w:t>
      </w:r>
      <w:r>
        <w:rPr>
          <w:rFonts w:cs="Arial"/>
          <w:sz w:val="20"/>
        </w:rPr>
        <w:t xml:space="preserve"> </w:t>
      </w:r>
      <w:r w:rsidRPr="00FF69E4">
        <w:rPr>
          <w:rFonts w:cs="Arial"/>
          <w:sz w:val="20"/>
        </w:rPr>
        <w:t xml:space="preserve">age of the </w:t>
      </w:r>
      <w:proofErr w:type="spellStart"/>
      <w:r w:rsidRPr="00FF69E4">
        <w:rPr>
          <w:rFonts w:cs="Arial"/>
          <w:sz w:val="20"/>
        </w:rPr>
        <w:t>i</w:t>
      </w:r>
      <w:r w:rsidRPr="00E31E56">
        <w:rPr>
          <w:rFonts w:cs="Arial"/>
          <w:sz w:val="20"/>
          <w:vertAlign w:val="superscript"/>
        </w:rPr>
        <w:t>th</w:t>
      </w:r>
      <w:proofErr w:type="spellEnd"/>
      <w:r w:rsidRPr="00FF69E4">
        <w:rPr>
          <w:rFonts w:cs="Arial"/>
          <w:sz w:val="20"/>
        </w:rPr>
        <w:t xml:space="preserve"> section, years</w:t>
      </w:r>
    </w:p>
    <w:p w14:paraId="2D5CB6D7" w14:textId="77777777" w:rsidR="00C67C9B" w:rsidRDefault="00C67C9B" w:rsidP="00C67C9B">
      <w:pPr>
        <w:jc w:val="both"/>
        <w:rPr>
          <w:sz w:val="20"/>
        </w:rPr>
      </w:pPr>
    </w:p>
    <w:p w14:paraId="5A0ACB26" w14:textId="77777777" w:rsidR="009C1949" w:rsidRPr="0080590E" w:rsidRDefault="009C1949" w:rsidP="009C1949">
      <w:pPr>
        <w:jc w:val="both"/>
        <w:rPr>
          <w:sz w:val="20"/>
        </w:rPr>
      </w:pPr>
    </w:p>
    <w:p w14:paraId="0E49292D" w14:textId="56F7CF62" w:rsidR="009C1949" w:rsidRDefault="009C1949" w:rsidP="009C1949">
      <w:pPr>
        <w:ind w:left="360" w:hanging="360"/>
        <w:jc w:val="both"/>
        <w:rPr>
          <w:sz w:val="20"/>
        </w:rPr>
      </w:pPr>
      <w:r w:rsidRPr="009C1949">
        <w:rPr>
          <w:b/>
          <w:bCs/>
          <w:sz w:val="20"/>
        </w:rPr>
        <w:t xml:space="preserve">B. </w:t>
      </w:r>
      <w:r>
        <w:rPr>
          <w:sz w:val="20"/>
        </w:rPr>
        <w:t xml:space="preserve"> </w:t>
      </w:r>
      <w:r w:rsidRPr="00B77C68">
        <w:rPr>
          <w:sz w:val="20"/>
        </w:rPr>
        <w:t xml:space="preserve">The permittee shall use the following calculations in conjunction with monitoring, testing or recordkeeping data to determine compliance with the applicable requirements referenced in </w:t>
      </w:r>
      <w:r w:rsidRPr="00303FF0">
        <w:rPr>
          <w:sz w:val="20"/>
        </w:rPr>
        <w:t>FGLANDFILL-AAAA&lt;50</w:t>
      </w:r>
      <w:r w:rsidRPr="00337650">
        <w:rPr>
          <w:sz w:val="20"/>
        </w:rPr>
        <w:t>.</w:t>
      </w:r>
    </w:p>
    <w:p w14:paraId="27BD691C" w14:textId="77777777" w:rsidR="009C1949" w:rsidRDefault="009C1949" w:rsidP="009C1949">
      <w:pPr>
        <w:jc w:val="both"/>
        <w:rPr>
          <w:sz w:val="20"/>
        </w:rPr>
      </w:pPr>
    </w:p>
    <w:p w14:paraId="28760EC5" w14:textId="77777777" w:rsidR="009C1949" w:rsidRPr="005968DB" w:rsidRDefault="009C1949" w:rsidP="009C1949">
      <w:pPr>
        <w:jc w:val="both"/>
        <w:rPr>
          <w:b/>
          <w:sz w:val="20"/>
          <w:u w:val="single"/>
        </w:rPr>
      </w:pPr>
      <w:r>
        <w:rPr>
          <w:b/>
          <w:sz w:val="20"/>
          <w:u w:val="single"/>
        </w:rPr>
        <w:t>Default Values</w:t>
      </w:r>
    </w:p>
    <w:p w14:paraId="54216CDD" w14:textId="77777777" w:rsidR="009C1949" w:rsidRPr="00885B69" w:rsidRDefault="009C1949" w:rsidP="009C1949">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w:t>
      </w:r>
      <w:r>
        <w:rPr>
          <w:rFonts w:cs="Arial"/>
          <w:sz w:val="20"/>
        </w:rPr>
        <w:t>63.1959</w:t>
      </w:r>
      <w:r w:rsidRPr="3318912D">
        <w:rPr>
          <w:rFonts w:cs="Arial"/>
          <w:sz w:val="20"/>
        </w:rPr>
        <w:t>(a)(1)(</w:t>
      </w:r>
      <w:proofErr w:type="spellStart"/>
      <w:r w:rsidRPr="3318912D">
        <w:rPr>
          <w:rFonts w:cs="Arial"/>
          <w:sz w:val="20"/>
        </w:rPr>
        <w:t>i</w:t>
      </w:r>
      <w:proofErr w:type="spellEnd"/>
      <w:r w:rsidRPr="3318912D">
        <w:rPr>
          <w:rFonts w:cs="Arial"/>
          <w:sz w:val="20"/>
        </w:rPr>
        <w:t>)</w:t>
      </w:r>
      <w:r>
        <w:rPr>
          <w:rFonts w:cs="Arial"/>
          <w:sz w:val="20"/>
        </w:rPr>
        <w:t>(A)</w:t>
      </w:r>
      <w:r w:rsidRPr="3318912D">
        <w:rPr>
          <w:rFonts w:cs="Arial"/>
          <w:sz w:val="20"/>
        </w:rPr>
        <w:t xml:space="preserve">)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w:t>
      </w:r>
      <w:r>
        <w:rPr>
          <w:rFonts w:cs="Arial"/>
          <w:sz w:val="20"/>
        </w:rPr>
        <w:t>63.1959</w:t>
      </w:r>
      <w:r w:rsidRPr="00E27B73">
        <w:rPr>
          <w:rFonts w:cs="Arial"/>
          <w:sz w:val="20"/>
        </w:rPr>
        <w:t>(a)(1)(ii)</w:t>
      </w:r>
      <w:r>
        <w:rPr>
          <w:rFonts w:cs="Arial"/>
          <w:sz w:val="20"/>
        </w:rPr>
        <w:t>(A)</w:t>
      </w:r>
      <w:r w:rsidRPr="00E27B73">
        <w:rPr>
          <w:rFonts w:cs="Arial"/>
          <w:sz w:val="20"/>
        </w:rPr>
        <w:t xml:space="preserve">).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w:t>
      </w:r>
      <w:r>
        <w:rPr>
          <w:rFonts w:cs="Arial"/>
          <w:sz w:val="20"/>
        </w:rPr>
        <w:t>63.1959</w:t>
      </w:r>
      <w:r w:rsidRPr="3318912D">
        <w:rPr>
          <w:rFonts w:cs="Arial"/>
          <w:sz w:val="20"/>
        </w:rPr>
        <w:t xml:space="preserve"> (a)(1)(</w:t>
      </w:r>
      <w:proofErr w:type="spellStart"/>
      <w:r w:rsidRPr="3318912D">
        <w:rPr>
          <w:rFonts w:cs="Arial"/>
          <w:sz w:val="20"/>
        </w:rPr>
        <w:t>i</w:t>
      </w:r>
      <w:proofErr w:type="spellEnd"/>
      <w:r w:rsidRPr="3318912D">
        <w:rPr>
          <w:rFonts w:cs="Arial"/>
          <w:sz w:val="20"/>
        </w:rPr>
        <w:t>)</w:t>
      </w:r>
      <w:r>
        <w:rPr>
          <w:rFonts w:cs="Arial"/>
          <w:sz w:val="20"/>
        </w:rPr>
        <w:t>(A)</w:t>
      </w:r>
      <w:r w:rsidRPr="3318912D">
        <w:rPr>
          <w:rFonts w:cs="Arial"/>
          <w:sz w:val="20"/>
        </w:rPr>
        <w:t xml:space="preserve">),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w:t>
      </w:r>
      <w:bookmarkStart w:id="128" w:name="_Hlk125370513"/>
      <w:r w:rsidRPr="3318912D">
        <w:rPr>
          <w:rFonts w:cs="Arial"/>
          <w:sz w:val="20"/>
        </w:rPr>
        <w:t xml:space="preserve">40 CFR </w:t>
      </w:r>
      <w:r>
        <w:rPr>
          <w:rFonts w:cs="Arial"/>
          <w:sz w:val="20"/>
        </w:rPr>
        <w:t>63.1959</w:t>
      </w:r>
      <w:r w:rsidRPr="3318912D">
        <w:rPr>
          <w:rFonts w:cs="Arial"/>
          <w:sz w:val="20"/>
        </w:rPr>
        <w:t xml:space="preserve"> (a)(1)(ii)</w:t>
      </w:r>
      <w:r>
        <w:rPr>
          <w:rFonts w:cs="Arial"/>
          <w:sz w:val="20"/>
        </w:rPr>
        <w:t>(A)</w:t>
      </w:r>
      <w:bookmarkEnd w:id="128"/>
      <w:r w:rsidRPr="3318912D">
        <w:rPr>
          <w:rFonts w:cs="Arial"/>
          <w:sz w:val="20"/>
        </w:rPr>
        <w:t>),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 xml:space="preserve">(40 CFR </w:t>
      </w:r>
      <w:r w:rsidRPr="000151BD">
        <w:rPr>
          <w:rFonts w:cs="Arial"/>
          <w:b/>
          <w:bCs/>
          <w:sz w:val="20"/>
        </w:rPr>
        <w:t>63.1959</w:t>
      </w:r>
      <w:r w:rsidRPr="3318912D">
        <w:rPr>
          <w:rFonts w:cs="Arial"/>
          <w:b/>
          <w:bCs/>
          <w:sz w:val="20"/>
        </w:rPr>
        <w:t>(a)(1))</w:t>
      </w:r>
    </w:p>
    <w:p w14:paraId="215A3733" w14:textId="77777777" w:rsidR="009C1949" w:rsidRPr="00161059" w:rsidRDefault="009C1949" w:rsidP="009C1949">
      <w:pPr>
        <w:spacing w:before="100" w:beforeAutospacing="1" w:after="100" w:afterAutospacing="1"/>
        <w:rPr>
          <w:rFonts w:cs="Arial"/>
          <w:b/>
          <w:sz w:val="20"/>
          <w:u w:val="single"/>
        </w:rPr>
      </w:pPr>
      <w:r w:rsidRPr="00161059">
        <w:rPr>
          <w:rFonts w:cs="Arial"/>
          <w:b/>
          <w:sz w:val="20"/>
          <w:u w:val="single"/>
        </w:rPr>
        <w:t>Equation 1</w:t>
      </w:r>
    </w:p>
    <w:p w14:paraId="4B4A0F84" w14:textId="1E211AFD" w:rsidR="009C1949" w:rsidRPr="00885B69" w:rsidRDefault="009C1949" w:rsidP="009C1949">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r w:rsidRPr="00885B69">
        <w:rPr>
          <w:rFonts w:cs="Arial"/>
          <w:b/>
          <w:sz w:val="20"/>
        </w:rPr>
        <w:t>(</w:t>
      </w:r>
      <w:r w:rsidRPr="00A50F0A">
        <w:rPr>
          <w:rFonts w:cs="Arial"/>
          <w:b/>
          <w:sz w:val="20"/>
        </w:rPr>
        <w:t xml:space="preserve">40 CFR </w:t>
      </w:r>
      <w:r w:rsidRPr="000D0EE6">
        <w:rPr>
          <w:rFonts w:cs="Arial"/>
          <w:b/>
          <w:bCs/>
          <w:sz w:val="20"/>
        </w:rPr>
        <w:t>63.1959</w:t>
      </w:r>
      <w:r w:rsidRPr="00A50F0A">
        <w:rPr>
          <w:rFonts w:cs="Arial"/>
          <w:b/>
          <w:sz w:val="20"/>
        </w:rPr>
        <w:t>(a)(1)(</w:t>
      </w:r>
      <w:proofErr w:type="spellStart"/>
      <w:r w:rsidRPr="00A50F0A">
        <w:rPr>
          <w:rFonts w:cs="Arial"/>
          <w:b/>
          <w:sz w:val="20"/>
        </w:rPr>
        <w:t>i</w:t>
      </w:r>
      <w:proofErr w:type="spellEnd"/>
      <w:r w:rsidRPr="00A50F0A">
        <w:rPr>
          <w:rFonts w:cs="Arial"/>
          <w:b/>
          <w:sz w:val="20"/>
        </w:rPr>
        <w:t>)(A)</w:t>
      </w:r>
      <w:r w:rsidRPr="00885B69">
        <w:rPr>
          <w:rFonts w:cs="Arial"/>
          <w:b/>
          <w:sz w:val="20"/>
        </w:rPr>
        <w:t>)</w:t>
      </w:r>
    </w:p>
    <w:p w14:paraId="73421889" w14:textId="77777777" w:rsidR="009C1949" w:rsidRDefault="009C1949" w:rsidP="009C1949">
      <w:pPr>
        <w:jc w:val="center"/>
        <w:rPr>
          <w:rFonts w:ascii="Times New Roman" w:hAnsi="Times New Roman"/>
          <w:sz w:val="24"/>
          <w:szCs w:val="24"/>
        </w:rPr>
      </w:pPr>
    </w:p>
    <w:p w14:paraId="49B43AF4" w14:textId="77777777" w:rsidR="009C1949" w:rsidRPr="00042697" w:rsidRDefault="00A12599" w:rsidP="009C1949">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22466DCC" w14:textId="77777777" w:rsidR="009C1949" w:rsidRPr="00885B69" w:rsidRDefault="009C1949" w:rsidP="009C1949">
      <w:pPr>
        <w:spacing w:before="100" w:beforeAutospacing="1" w:after="100" w:afterAutospacing="1"/>
        <w:rPr>
          <w:rFonts w:cs="Arial"/>
          <w:sz w:val="20"/>
        </w:rPr>
      </w:pPr>
      <w:r>
        <w:rPr>
          <w:rFonts w:cs="Arial"/>
          <w:sz w:val="20"/>
        </w:rPr>
        <w:t>Where:</w:t>
      </w:r>
    </w:p>
    <w:p w14:paraId="02EEE5B5" w14:textId="77777777" w:rsidR="009C1949" w:rsidRPr="00885B69" w:rsidRDefault="009C1949" w:rsidP="009C1949">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21EF05E1" w14:textId="77777777" w:rsidR="009C1949" w:rsidRPr="00885B69" w:rsidRDefault="009C1949" w:rsidP="009C1949">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69C15A43" w14:textId="77777777" w:rsidR="009C1949" w:rsidRPr="00885B69" w:rsidRDefault="009C1949" w:rsidP="009C1949">
      <w:pPr>
        <w:spacing w:before="100" w:beforeAutospacing="1" w:after="100" w:afterAutospacing="1"/>
        <w:rPr>
          <w:rFonts w:cs="Arial"/>
          <w:sz w:val="20"/>
        </w:rPr>
      </w:pPr>
      <w:r w:rsidRPr="00885B69">
        <w:rPr>
          <w:rFonts w:cs="Arial"/>
          <w:sz w:val="20"/>
        </w:rPr>
        <w:lastRenderedPageBreak/>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39B09ECC" w14:textId="77777777" w:rsidR="009C1949" w:rsidRPr="00885B69" w:rsidRDefault="009C1949" w:rsidP="009C1949">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w:t>
      </w:r>
      <w:proofErr w:type="spellStart"/>
      <w:r w:rsidRPr="00885B69">
        <w:rPr>
          <w:rFonts w:cs="Arial"/>
          <w:sz w:val="20"/>
        </w:rPr>
        <w:t>i</w:t>
      </w:r>
      <w:r w:rsidRPr="00CA2FD1">
        <w:rPr>
          <w:rFonts w:cs="Arial"/>
          <w:sz w:val="20"/>
          <w:vertAlign w:val="superscript"/>
        </w:rPr>
        <w:t>th</w:t>
      </w:r>
      <w:proofErr w:type="spellEnd"/>
      <w:r w:rsidRPr="00885B69">
        <w:rPr>
          <w:rFonts w:cs="Arial"/>
          <w:sz w:val="20"/>
        </w:rPr>
        <w:t xml:space="preserve"> section, megagrams </w:t>
      </w:r>
    </w:p>
    <w:p w14:paraId="47C8C583" w14:textId="77777777" w:rsidR="009C1949" w:rsidRPr="00885B69" w:rsidRDefault="009C1949" w:rsidP="009C1949">
      <w:pPr>
        <w:spacing w:before="100" w:beforeAutospacing="1" w:after="100" w:afterAutospacing="1"/>
        <w:rPr>
          <w:rFonts w:cs="Arial"/>
          <w:sz w:val="20"/>
        </w:rPr>
      </w:pPr>
      <w:proofErr w:type="spellStart"/>
      <w:r w:rsidRPr="00885B69">
        <w:rPr>
          <w:rFonts w:cs="Arial"/>
          <w:sz w:val="20"/>
        </w:rPr>
        <w:t>t</w:t>
      </w:r>
      <w:r w:rsidRPr="00285BC2">
        <w:rPr>
          <w:rFonts w:cs="Arial"/>
          <w:sz w:val="20"/>
          <w:vertAlign w:val="subscript"/>
        </w:rPr>
        <w:t>i</w:t>
      </w:r>
      <w:proofErr w:type="spellEnd"/>
      <w:r>
        <w:rPr>
          <w:rFonts w:cs="Arial"/>
          <w:sz w:val="20"/>
        </w:rPr>
        <w:t xml:space="preserve"> </w:t>
      </w:r>
      <w:r w:rsidRPr="00885B69">
        <w:rPr>
          <w:rFonts w:cs="Arial"/>
          <w:sz w:val="20"/>
        </w:rPr>
        <w:t>=</w:t>
      </w:r>
      <w:r>
        <w:rPr>
          <w:rFonts w:cs="Arial"/>
          <w:sz w:val="20"/>
        </w:rPr>
        <w:t xml:space="preserve"> </w:t>
      </w:r>
      <w:r w:rsidRPr="00885B69">
        <w:rPr>
          <w:rFonts w:cs="Arial"/>
          <w:sz w:val="20"/>
        </w:rPr>
        <w:t xml:space="preserve">age of the </w:t>
      </w:r>
      <w:proofErr w:type="spellStart"/>
      <w:r w:rsidRPr="00885B69">
        <w:rPr>
          <w:rFonts w:cs="Arial"/>
          <w:sz w:val="20"/>
        </w:rPr>
        <w:t>i</w:t>
      </w:r>
      <w:r w:rsidRPr="00285BC2">
        <w:rPr>
          <w:rFonts w:cs="Arial"/>
          <w:sz w:val="20"/>
          <w:vertAlign w:val="superscript"/>
        </w:rPr>
        <w:t>th</w:t>
      </w:r>
      <w:proofErr w:type="spellEnd"/>
      <w:r w:rsidRPr="00885B69">
        <w:rPr>
          <w:rFonts w:cs="Arial"/>
          <w:sz w:val="20"/>
        </w:rPr>
        <w:t xml:space="preserve"> section, years </w:t>
      </w:r>
    </w:p>
    <w:p w14:paraId="7C4DFE6A" w14:textId="77777777" w:rsidR="009C1949" w:rsidRPr="00885B69" w:rsidRDefault="009C1949" w:rsidP="009C1949">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572621D1" w14:textId="77777777" w:rsidR="009C1949" w:rsidRPr="00885B69" w:rsidRDefault="009C1949" w:rsidP="009C1949">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6CEC2BC2" w14:textId="77777777" w:rsidR="009C1949" w:rsidRDefault="009C1949" w:rsidP="009C1949">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3B57B3B4" w14:textId="77777777" w:rsidR="009C1949" w:rsidRPr="00885B69" w:rsidRDefault="009C1949" w:rsidP="009C1949">
      <w:pPr>
        <w:spacing w:before="100" w:beforeAutospacing="1" w:after="100" w:afterAutospacing="1"/>
        <w:rPr>
          <w:rFonts w:cs="Arial"/>
          <w:b/>
          <w:sz w:val="20"/>
          <w:u w:val="single"/>
        </w:rPr>
      </w:pPr>
      <w:r>
        <w:rPr>
          <w:rFonts w:cs="Arial"/>
          <w:b/>
          <w:sz w:val="20"/>
          <w:u w:val="single"/>
        </w:rPr>
        <w:t>Equation 2</w:t>
      </w:r>
    </w:p>
    <w:p w14:paraId="2E95CE8B" w14:textId="380DD2B5" w:rsidR="009C1949" w:rsidRPr="00885B69" w:rsidRDefault="009C1949" w:rsidP="009C1949">
      <w:pPr>
        <w:jc w:val="both"/>
        <w:rPr>
          <w:rFonts w:cs="Arial"/>
          <w:sz w:val="20"/>
        </w:rPr>
      </w:pPr>
      <w:r w:rsidRPr="00885B69">
        <w:rPr>
          <w:rFonts w:cs="Arial"/>
          <w:sz w:val="20"/>
        </w:rPr>
        <w:t xml:space="preserve">The following equation shall be used if the actual year-to-year solid waste acceptance rate is unknown.  </w:t>
      </w:r>
      <w:r w:rsidRPr="000D0EE6">
        <w:rPr>
          <w:rFonts w:cs="Arial"/>
          <w:b/>
          <w:sz w:val="20"/>
        </w:rPr>
        <w:t>(40 CFR 63.1959 (a)(1)(ii)(A)</w:t>
      </w:r>
      <w:r w:rsidR="00FC5D79">
        <w:rPr>
          <w:rFonts w:cs="Arial"/>
          <w:b/>
          <w:sz w:val="20"/>
        </w:rPr>
        <w:t>)</w:t>
      </w:r>
    </w:p>
    <w:p w14:paraId="44216F48" w14:textId="77777777" w:rsidR="009C1949" w:rsidRPr="00EA1777" w:rsidRDefault="009C1949" w:rsidP="009C1949">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51B6ED41" w14:textId="77777777" w:rsidR="009C1949" w:rsidRPr="00885B69" w:rsidRDefault="009C1949" w:rsidP="009C1949">
      <w:pPr>
        <w:spacing w:before="100" w:beforeAutospacing="1" w:after="100" w:afterAutospacing="1"/>
        <w:rPr>
          <w:rFonts w:cs="Arial"/>
          <w:sz w:val="20"/>
        </w:rPr>
      </w:pPr>
      <w:r w:rsidRPr="00885B69">
        <w:rPr>
          <w:rFonts w:cs="Arial"/>
          <w:sz w:val="20"/>
        </w:rPr>
        <w:t>Where:</w:t>
      </w:r>
    </w:p>
    <w:p w14:paraId="71B8B71E" w14:textId="77777777" w:rsidR="009C1949" w:rsidRPr="00885B69" w:rsidRDefault="009C1949" w:rsidP="009C1949">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5655F84D" w14:textId="77777777" w:rsidR="009C1949" w:rsidRPr="00885B69" w:rsidRDefault="009C1949" w:rsidP="009C1949">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3B238C4C" w14:textId="77777777" w:rsidR="009C1949" w:rsidRPr="00885B69" w:rsidRDefault="009C1949" w:rsidP="009C1949">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5DCA0FC8" w14:textId="77777777" w:rsidR="009C1949" w:rsidRPr="00885B69" w:rsidRDefault="009C1949" w:rsidP="009C1949">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2BCC5322" w14:textId="77777777" w:rsidR="009C1949" w:rsidRPr="00885B69" w:rsidRDefault="009C1949" w:rsidP="009C1949">
      <w:pPr>
        <w:spacing w:before="100" w:beforeAutospacing="1" w:after="100" w:afterAutospacing="1"/>
        <w:rPr>
          <w:rFonts w:cs="Arial"/>
          <w:sz w:val="20"/>
        </w:rPr>
      </w:pPr>
      <w:r w:rsidRPr="00885B69">
        <w:rPr>
          <w:rFonts w:cs="Arial"/>
          <w:sz w:val="20"/>
        </w:rPr>
        <w:t xml:space="preserve">t = age of landfill, years </w:t>
      </w:r>
    </w:p>
    <w:p w14:paraId="589E1345" w14:textId="77777777" w:rsidR="009C1949" w:rsidRPr="00885B69" w:rsidRDefault="009C1949" w:rsidP="009C1949">
      <w:pPr>
        <w:spacing w:before="100" w:beforeAutospacing="1" w:after="100" w:afterAutospacing="1"/>
        <w:rPr>
          <w:rFonts w:cs="Arial"/>
          <w:sz w:val="20"/>
        </w:rPr>
      </w:pPr>
      <w:bookmarkStart w:id="129" w:name="_Hlk534627627"/>
      <w:r w:rsidRPr="00885B69">
        <w:rPr>
          <w:rFonts w:cs="Arial"/>
          <w:sz w:val="20"/>
        </w:rPr>
        <w:t>C</w:t>
      </w:r>
      <w:r w:rsidRPr="00285BC2">
        <w:rPr>
          <w:rFonts w:cs="Arial"/>
          <w:sz w:val="20"/>
          <w:vertAlign w:val="subscript"/>
        </w:rPr>
        <w:t>NMOC</w:t>
      </w:r>
      <w:bookmarkEnd w:id="129"/>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435628B1" w14:textId="77777777" w:rsidR="009C1949" w:rsidRPr="00885B69" w:rsidRDefault="009C1949" w:rsidP="009C1949">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5B63D3FC" w14:textId="77777777" w:rsidR="009C1949" w:rsidRPr="00885B69" w:rsidRDefault="009C1949" w:rsidP="009C1949">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1FC8418A" w14:textId="77777777" w:rsidR="009C1949" w:rsidRDefault="009C1949" w:rsidP="009C1949">
      <w:pPr>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6087208D" w14:textId="77777777" w:rsidR="009C1949" w:rsidRDefault="009C1949" w:rsidP="009C1949">
      <w:pPr>
        <w:jc w:val="both"/>
        <w:rPr>
          <w:rFonts w:cs="Arial"/>
          <w:sz w:val="20"/>
        </w:rPr>
      </w:pPr>
    </w:p>
    <w:p w14:paraId="3AF89DC2" w14:textId="77777777" w:rsidR="009C1949" w:rsidRPr="00150B22" w:rsidRDefault="009C1949" w:rsidP="009C1949">
      <w:pPr>
        <w:spacing w:after="120"/>
        <w:jc w:val="both"/>
        <w:rPr>
          <w:b/>
          <w:sz w:val="20"/>
          <w:u w:val="single"/>
        </w:rPr>
      </w:pPr>
      <w:r w:rsidRPr="00150B22">
        <w:rPr>
          <w:b/>
          <w:sz w:val="20"/>
          <w:u w:val="single"/>
        </w:rPr>
        <w:t>Tier 1</w:t>
      </w:r>
    </w:p>
    <w:p w14:paraId="6EC901D3" w14:textId="48E680CF" w:rsidR="009C1949" w:rsidRDefault="009C1949" w:rsidP="009C1949">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w:t>
      </w:r>
      <w:r>
        <w:rPr>
          <w:sz w:val="20"/>
        </w:rPr>
        <w:t>50 Mg</w:t>
      </w:r>
      <w:r w:rsidRPr="00A00153">
        <w:rPr>
          <w:sz w:val="20"/>
        </w:rPr>
        <w:t xml:space="preserve"> per year.</w:t>
      </w:r>
      <w:r>
        <w:rPr>
          <w:sz w:val="20"/>
        </w:rPr>
        <w:t xml:space="preserve"> </w:t>
      </w:r>
      <w:r w:rsidRPr="00A00153">
        <w:rPr>
          <w:b/>
          <w:sz w:val="20"/>
        </w:rPr>
        <w:t xml:space="preserve"> (</w:t>
      </w:r>
      <w:r w:rsidRPr="000D0EE6">
        <w:rPr>
          <w:b/>
          <w:sz w:val="20"/>
        </w:rPr>
        <w:t>40 CFR 63.1959(a)(1)(ii)(A)</w:t>
      </w:r>
      <w:r w:rsidR="00FC5D79">
        <w:rPr>
          <w:b/>
          <w:sz w:val="20"/>
        </w:rPr>
        <w:t xml:space="preserve"> and</w:t>
      </w:r>
      <w:r w:rsidRPr="000D0EE6">
        <w:rPr>
          <w:b/>
          <w:sz w:val="20"/>
        </w:rPr>
        <w:t xml:space="preserve"> </w:t>
      </w:r>
      <w:r>
        <w:rPr>
          <w:b/>
          <w:sz w:val="20"/>
        </w:rPr>
        <w:t>(a)(2))</w:t>
      </w:r>
    </w:p>
    <w:p w14:paraId="30580080" w14:textId="77777777" w:rsidR="009C1949" w:rsidRPr="00916A99" w:rsidRDefault="009C1949" w:rsidP="009C1949">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 xml:space="preserve">Tier </w:t>
      </w:r>
      <w:r>
        <w:rPr>
          <w:rFonts w:cs="Arial"/>
          <w:b/>
          <w:sz w:val="20"/>
        </w:rPr>
        <w:t>1</w:t>
      </w:r>
      <w:r>
        <w:rPr>
          <w:rFonts w:cs="Arial"/>
          <w:bCs/>
          <w:sz w:val="20"/>
        </w:rPr>
        <w:t xml:space="preserve"> calculated</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w:t>
      </w:r>
      <w:r>
        <w:rPr>
          <w:rFonts w:cs="Arial"/>
          <w:sz w:val="20"/>
        </w:rPr>
        <w:t>nnually an</w:t>
      </w:r>
      <w:r w:rsidRPr="00916A99">
        <w:rPr>
          <w:rFonts w:cs="Arial"/>
          <w:sz w:val="20"/>
        </w:rPr>
        <w:t xml:space="preserve">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63.1981(c)</w:t>
      </w:r>
      <w:r w:rsidRPr="00916A99">
        <w:rPr>
          <w:rFonts w:cs="Arial"/>
          <w:sz w:val="20"/>
        </w:rPr>
        <w:t xml:space="preserve"> and </w:t>
      </w:r>
      <w:r>
        <w:rPr>
          <w:rFonts w:cs="Arial"/>
          <w:sz w:val="20"/>
        </w:rPr>
        <w:t xml:space="preserve">must recalculate the NMOC mass emission rate annually as required under 40 CFR 63.1959(b).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w:t>
      </w:r>
      <w:r>
        <w:rPr>
          <w:rFonts w:cs="Arial"/>
          <w:b/>
          <w:sz w:val="20"/>
        </w:rPr>
        <w:t>2</w:t>
      </w:r>
      <w:r w:rsidRPr="00302204">
        <w:rPr>
          <w:rFonts w:cs="Arial"/>
          <w:b/>
          <w:sz w:val="20"/>
        </w:rPr>
        <w:t>)(</w:t>
      </w:r>
      <w:proofErr w:type="spellStart"/>
      <w:r w:rsidRPr="00302204">
        <w:rPr>
          <w:rFonts w:cs="Arial"/>
          <w:b/>
          <w:sz w:val="20"/>
        </w:rPr>
        <w:t>i</w:t>
      </w:r>
      <w:proofErr w:type="spellEnd"/>
      <w:r w:rsidRPr="00302204">
        <w:rPr>
          <w:rFonts w:cs="Arial"/>
          <w:b/>
          <w:sz w:val="20"/>
        </w:rPr>
        <w:t>)</w:t>
      </w:r>
      <w:r w:rsidRPr="00916A99">
        <w:rPr>
          <w:rFonts w:cs="Arial"/>
          <w:b/>
          <w:sz w:val="20"/>
        </w:rPr>
        <w:t>)</w:t>
      </w:r>
    </w:p>
    <w:p w14:paraId="3B180A4A" w14:textId="77777777" w:rsidR="009C1949" w:rsidRDefault="009C1949" w:rsidP="009C1949">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244F7FEB" w14:textId="4DE85705" w:rsidR="009C1949" w:rsidRPr="00207882" w:rsidRDefault="009C1949" w:rsidP="00111242">
      <w:pPr>
        <w:pStyle w:val="ListParagraph"/>
        <w:numPr>
          <w:ilvl w:val="0"/>
          <w:numId w:val="56"/>
        </w:numPr>
        <w:spacing w:before="100" w:beforeAutospacing="1" w:after="100" w:afterAutospacing="1"/>
        <w:jc w:val="both"/>
        <w:rPr>
          <w:rFonts w:cs="Arial"/>
          <w:b/>
          <w:sz w:val="20"/>
        </w:rPr>
      </w:pPr>
      <w:r>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w:t>
      </w:r>
      <w:proofErr w:type="spellStart"/>
      <w:r>
        <w:rPr>
          <w:rFonts w:cs="Arial"/>
          <w:sz w:val="20"/>
        </w:rPr>
        <w:t>yr</w:t>
      </w:r>
      <w:proofErr w:type="spellEnd"/>
      <w:r>
        <w:rPr>
          <w:rFonts w:cs="Arial"/>
          <w:sz w:val="20"/>
        </w:rPr>
        <w:t xml:space="preserve"> </w:t>
      </w:r>
      <w:r w:rsidRPr="00305C2A">
        <w:rPr>
          <w:rFonts w:cs="Arial"/>
          <w:sz w:val="20"/>
        </w:rPr>
        <w:t>according to 40 CFR 63.1959(b)(2)(ii) and (iii).</w:t>
      </w:r>
      <w:r>
        <w:rPr>
          <w:rFonts w:cs="Arial"/>
          <w:sz w:val="20"/>
        </w:rPr>
        <w:t>.</w:t>
      </w:r>
      <w:r w:rsidRPr="0025193F">
        <w:rPr>
          <w:rFonts w:cs="Arial"/>
          <w:b/>
          <w:sz w:val="20"/>
        </w:rPr>
        <w:t xml:space="preserve"> </w:t>
      </w:r>
      <w:r>
        <w:rPr>
          <w:rFonts w:cs="Arial"/>
          <w:b/>
          <w:sz w:val="20"/>
        </w:rPr>
        <w:t xml:space="preserve"> </w:t>
      </w:r>
      <w:r w:rsidRPr="0025193F">
        <w:rPr>
          <w:rFonts w:cs="Arial"/>
          <w:b/>
          <w:sz w:val="20"/>
        </w:rPr>
        <w:t>(40</w:t>
      </w:r>
      <w:r w:rsidR="00111242">
        <w:rPr>
          <w:rFonts w:cs="Arial"/>
          <w:b/>
          <w:sz w:val="20"/>
        </w:rPr>
        <w:t> </w:t>
      </w:r>
      <w:r w:rsidRPr="0025193F">
        <w:rPr>
          <w:rFonts w:cs="Arial"/>
          <w:b/>
          <w:sz w:val="20"/>
        </w:rPr>
        <w:t xml:space="preserve">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)(A)</w:t>
      </w:r>
      <w:r w:rsidR="00FC5D79">
        <w:rPr>
          <w:rFonts w:cs="Arial"/>
          <w:b/>
          <w:sz w:val="20"/>
        </w:rPr>
        <w:t>)</w:t>
      </w:r>
      <w:r w:rsidRPr="00207882">
        <w:rPr>
          <w:rFonts w:cs="Arial"/>
          <w:sz w:val="20"/>
        </w:rPr>
        <w:t xml:space="preserve"> </w:t>
      </w:r>
    </w:p>
    <w:p w14:paraId="18EB1558" w14:textId="77777777" w:rsidR="009C1949" w:rsidRPr="009F77BE" w:rsidRDefault="009C1949" w:rsidP="00111242">
      <w:pPr>
        <w:pStyle w:val="ListParagraph"/>
        <w:numPr>
          <w:ilvl w:val="0"/>
          <w:numId w:val="56"/>
        </w:numPr>
        <w:spacing w:before="100" w:beforeAutospacing="1" w:after="100" w:afterAutospacing="1"/>
        <w:jc w:val="both"/>
        <w:rPr>
          <w:rFonts w:cs="Arial"/>
          <w:b/>
          <w:sz w:val="20"/>
        </w:rPr>
      </w:pPr>
      <w:bookmarkStart w:id="130" w:name="_Hlk125371331"/>
      <w:r w:rsidRPr="0025193F">
        <w:rPr>
          <w:rFonts w:cs="Arial"/>
          <w:sz w:val="20"/>
        </w:rPr>
        <w:t>D</w:t>
      </w:r>
      <w:r w:rsidRPr="00207882">
        <w:rPr>
          <w:rFonts w:cs="Arial"/>
          <w:sz w:val="20"/>
        </w:rPr>
        <w:t xml:space="preserve">etermine </w:t>
      </w:r>
      <w:r>
        <w:rPr>
          <w:rFonts w:cs="Arial"/>
          <w:sz w:val="20"/>
        </w:rPr>
        <w:t>a</w:t>
      </w:r>
      <w:r w:rsidRPr="00207882">
        <w:rPr>
          <w:rFonts w:cs="Arial"/>
          <w:sz w:val="20"/>
        </w:rPr>
        <w:t xml:space="preserve"> site-specific NMOC </w:t>
      </w:r>
      <w:r>
        <w:rPr>
          <w:rFonts w:cs="Arial"/>
          <w:sz w:val="20"/>
        </w:rPr>
        <w:t xml:space="preserve">concentration and recalculate the NMOC emission rate </w:t>
      </w:r>
      <w:r w:rsidRPr="00207882">
        <w:rPr>
          <w:rFonts w:cs="Arial"/>
          <w:sz w:val="20"/>
        </w:rPr>
        <w:t xml:space="preserve">using </w:t>
      </w:r>
      <w:r w:rsidRPr="00207882">
        <w:rPr>
          <w:rFonts w:cs="Arial"/>
          <w:b/>
          <w:sz w:val="20"/>
        </w:rPr>
        <w:t xml:space="preserve">Tier </w:t>
      </w:r>
      <w:r>
        <w:rPr>
          <w:rFonts w:cs="Arial"/>
          <w:b/>
          <w:sz w:val="20"/>
        </w:rPr>
        <w:t>2</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3</w:t>
      </w:r>
      <w:r w:rsidRPr="00207882">
        <w:rPr>
          <w:rFonts w:cs="Arial"/>
          <w:sz w:val="20"/>
        </w:rPr>
        <w:t>))</w:t>
      </w:r>
      <w:bookmarkEnd w:id="130"/>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)(B))</w:t>
      </w:r>
      <w:r w:rsidRPr="0025193F">
        <w:rPr>
          <w:rFonts w:cs="Arial"/>
          <w:sz w:val="20"/>
        </w:rPr>
        <w:t>, or</w:t>
      </w:r>
    </w:p>
    <w:p w14:paraId="0D9E8293" w14:textId="77777777" w:rsidR="009C1949" w:rsidRPr="00207882" w:rsidRDefault="009C1949" w:rsidP="00111242">
      <w:pPr>
        <w:pStyle w:val="ListParagraph"/>
        <w:numPr>
          <w:ilvl w:val="0"/>
          <w:numId w:val="56"/>
        </w:numPr>
        <w:jc w:val="both"/>
        <w:rPr>
          <w:rFonts w:cs="Arial"/>
          <w:b/>
          <w:sz w:val="20"/>
        </w:rPr>
      </w:pPr>
      <w:r w:rsidRPr="0025193F">
        <w:rPr>
          <w:rFonts w:cs="Arial"/>
          <w:sz w:val="20"/>
        </w:rPr>
        <w:lastRenderedPageBreak/>
        <w:t>D</w:t>
      </w:r>
      <w:r w:rsidRPr="00207882">
        <w:rPr>
          <w:rFonts w:cs="Arial"/>
          <w:sz w:val="20"/>
        </w:rPr>
        <w:t xml:space="preserve">etermine the site-specific methane generation rate constant and recalculate the NMOC emission rate using the procedure specified in </w:t>
      </w:r>
      <w:r w:rsidRPr="00207882">
        <w:rPr>
          <w:rFonts w:cs="Arial"/>
          <w:b/>
          <w:sz w:val="20"/>
        </w:rPr>
        <w:t xml:space="preserve">Tier </w:t>
      </w:r>
      <w:r>
        <w:rPr>
          <w:rFonts w:cs="Arial"/>
          <w:b/>
          <w:sz w:val="20"/>
        </w:rPr>
        <w:t>3</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4</w:t>
      </w:r>
      <w:r w:rsidRPr="00207882">
        <w:rPr>
          <w:rFonts w:cs="Arial"/>
          <w:sz w:val="20"/>
        </w:rPr>
        <w:t>))</w:t>
      </w:r>
      <w:r>
        <w:rPr>
          <w:rFonts w:cs="Arial"/>
          <w:sz w:val="20"/>
        </w:rPr>
        <w:t>.</w:t>
      </w:r>
      <w:r w:rsidRPr="007B5189">
        <w:rPr>
          <w:rFonts w:cs="Arial"/>
          <w:b/>
          <w:sz w:val="20"/>
        </w:rPr>
        <w:t xml:space="preserve"> </w:t>
      </w:r>
      <w:r>
        <w:rPr>
          <w:rFonts w:cs="Arial"/>
          <w:b/>
          <w:sz w:val="20"/>
        </w:rPr>
        <w:t xml:space="preserve"> </w:t>
      </w:r>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w:t>
      </w:r>
      <w:r>
        <w:rPr>
          <w:rFonts w:cs="Arial"/>
          <w:b/>
          <w:sz w:val="20"/>
        </w:rPr>
        <w:t>C</w:t>
      </w:r>
      <w:r w:rsidRPr="0025193F">
        <w:rPr>
          <w:rFonts w:cs="Arial"/>
          <w:b/>
          <w:sz w:val="20"/>
        </w:rPr>
        <w:t>))</w:t>
      </w:r>
    </w:p>
    <w:p w14:paraId="1503FE52" w14:textId="77777777" w:rsidR="009C1949" w:rsidRPr="00E55CCA" w:rsidRDefault="009C1949" w:rsidP="009C1949">
      <w:pPr>
        <w:rPr>
          <w:rFonts w:cs="Arial"/>
          <w:bCs/>
          <w:sz w:val="20"/>
        </w:rPr>
      </w:pPr>
    </w:p>
    <w:p w14:paraId="55405D1D" w14:textId="77777777" w:rsidR="009C1949" w:rsidRPr="0034158D" w:rsidRDefault="009C1949" w:rsidP="009C1949">
      <w:pPr>
        <w:spacing w:before="100" w:beforeAutospacing="1" w:after="120"/>
        <w:rPr>
          <w:rFonts w:cs="Arial"/>
          <w:sz w:val="20"/>
        </w:rPr>
      </w:pPr>
      <w:r>
        <w:rPr>
          <w:rFonts w:cs="Arial"/>
          <w:b/>
          <w:sz w:val="20"/>
          <w:u w:val="single"/>
        </w:rPr>
        <w:t>Tier 2</w:t>
      </w:r>
    </w:p>
    <w:p w14:paraId="21410CC2" w14:textId="77777777" w:rsidR="009C1949" w:rsidRPr="00916A99" w:rsidRDefault="009C1949" w:rsidP="009C1949">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40 CFR 63.1959</w:t>
      </w:r>
      <w:r w:rsidRPr="00916A99">
        <w:rPr>
          <w:rFonts w:cs="Arial"/>
          <w:sz w:val="20"/>
        </w:rPr>
        <w:t xml:space="preserve">(a)(1).  </w:t>
      </w:r>
      <w:r w:rsidRPr="00916A99">
        <w:rPr>
          <w:rFonts w:cs="Arial"/>
          <w:b/>
          <w:sz w:val="20"/>
        </w:rPr>
        <w:t>(</w:t>
      </w:r>
      <w:r w:rsidRPr="0007786D">
        <w:rPr>
          <w:rFonts w:cs="Arial"/>
          <w:b/>
          <w:sz w:val="20"/>
        </w:rPr>
        <w:t xml:space="preserve">40 CFR </w:t>
      </w:r>
      <w:r>
        <w:rPr>
          <w:rFonts w:cs="Arial"/>
          <w:b/>
          <w:sz w:val="20"/>
        </w:rPr>
        <w:t>63.1959</w:t>
      </w:r>
      <w:r w:rsidRPr="0007786D">
        <w:rPr>
          <w:rFonts w:cs="Arial"/>
          <w:b/>
          <w:sz w:val="20"/>
        </w:rPr>
        <w:t>(a)(3)(ii)</w:t>
      </w:r>
      <w:r w:rsidRPr="00916A99">
        <w:rPr>
          <w:rFonts w:cs="Arial"/>
          <w:b/>
          <w:sz w:val="20"/>
        </w:rPr>
        <w:t>)</w:t>
      </w:r>
    </w:p>
    <w:p w14:paraId="5793458B" w14:textId="77777777" w:rsidR="009C1949" w:rsidRPr="00916A99" w:rsidRDefault="009C1949" w:rsidP="009C1949">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63.1981(c)</w:t>
      </w:r>
      <w:r w:rsidRPr="00916A99">
        <w:rPr>
          <w:rFonts w:cs="Arial"/>
          <w:sz w:val="20"/>
        </w:rPr>
        <w:t xml:space="preserve"> and </w:t>
      </w:r>
      <w:r>
        <w:rPr>
          <w:rFonts w:cs="Arial"/>
          <w:sz w:val="20"/>
        </w:rPr>
        <w:t xml:space="preserve">must recalculate the NMOC mass emission rate annually as required under 40 CFR 63.1959(b).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(a)(3)(iii)</w:t>
      </w:r>
      <w:r w:rsidRPr="00916A99">
        <w:rPr>
          <w:rFonts w:cs="Arial"/>
          <w:b/>
          <w:sz w:val="20"/>
        </w:rPr>
        <w:t>)</w:t>
      </w:r>
    </w:p>
    <w:p w14:paraId="47DFC1E2" w14:textId="77777777" w:rsidR="009C1949" w:rsidRDefault="009C1949" w:rsidP="009C1949">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6E1DD384" w14:textId="655F4224" w:rsidR="009C1949" w:rsidRPr="00207882" w:rsidRDefault="009C1949" w:rsidP="00020C68">
      <w:pPr>
        <w:pStyle w:val="ListParagraph"/>
        <w:numPr>
          <w:ilvl w:val="0"/>
          <w:numId w:val="54"/>
        </w:numPr>
        <w:spacing w:before="100" w:beforeAutospacing="1" w:after="100" w:afterAutospacing="1"/>
        <w:jc w:val="both"/>
        <w:rPr>
          <w:rFonts w:cs="Arial"/>
          <w:b/>
          <w:sz w:val="20"/>
        </w:rPr>
      </w:pPr>
      <w:bookmarkStart w:id="131" w:name="_Hlk125375174"/>
      <w:r w:rsidRPr="00C41A44">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w:t>
      </w:r>
      <w:proofErr w:type="spellStart"/>
      <w:r w:rsidRPr="00C41A44">
        <w:rPr>
          <w:rFonts w:cs="Arial"/>
          <w:sz w:val="20"/>
        </w:rPr>
        <w:t>yr</w:t>
      </w:r>
      <w:proofErr w:type="spellEnd"/>
      <w:r>
        <w:rPr>
          <w:rFonts w:cs="Arial"/>
          <w:sz w:val="20"/>
        </w:rPr>
        <w:t xml:space="preserve"> </w:t>
      </w:r>
      <w:r w:rsidRPr="00305C2A">
        <w:rPr>
          <w:rFonts w:cs="Arial"/>
          <w:sz w:val="20"/>
        </w:rPr>
        <w:t>according to 40 CFR 63.1959(b)(2)(ii) and (iii).</w:t>
      </w:r>
      <w:r w:rsidRPr="00C41A44">
        <w:rPr>
          <w:rFonts w:cs="Arial"/>
          <w:b/>
          <w:sz w:val="20"/>
        </w:rPr>
        <w:t xml:space="preserve">  (40</w:t>
      </w:r>
      <w:r>
        <w:rPr>
          <w:rFonts w:cs="Arial"/>
          <w:b/>
          <w:sz w:val="20"/>
        </w:rPr>
        <w:t> </w:t>
      </w:r>
      <w:r w:rsidRPr="00C41A44">
        <w:rPr>
          <w:rFonts w:cs="Arial"/>
          <w:b/>
          <w:sz w:val="20"/>
        </w:rPr>
        <w:t>CFR 63.1959(a)(</w:t>
      </w:r>
      <w:r>
        <w:rPr>
          <w:rFonts w:cs="Arial"/>
          <w:b/>
          <w:sz w:val="20"/>
        </w:rPr>
        <w:t>3</w:t>
      </w:r>
      <w:r w:rsidRPr="00C41A44">
        <w:rPr>
          <w:rFonts w:cs="Arial"/>
          <w:b/>
          <w:sz w:val="20"/>
        </w:rPr>
        <w:t>)(i</w:t>
      </w:r>
      <w:r>
        <w:rPr>
          <w:rFonts w:cs="Arial"/>
          <w:b/>
          <w:sz w:val="20"/>
        </w:rPr>
        <w:t>v</w:t>
      </w:r>
      <w:r w:rsidRPr="00C41A44">
        <w:rPr>
          <w:rFonts w:cs="Arial"/>
          <w:b/>
          <w:sz w:val="20"/>
        </w:rPr>
        <w:t>)(A)</w:t>
      </w:r>
      <w:r w:rsidR="00FC5D79">
        <w:rPr>
          <w:rFonts w:cs="Arial"/>
          <w:b/>
          <w:sz w:val="20"/>
        </w:rPr>
        <w:t>)</w:t>
      </w:r>
      <w:r w:rsidRPr="00207882">
        <w:rPr>
          <w:rFonts w:cs="Arial"/>
          <w:sz w:val="20"/>
        </w:rPr>
        <w:t xml:space="preserve"> or</w:t>
      </w:r>
      <w:bookmarkEnd w:id="131"/>
      <w:r w:rsidRPr="00207882">
        <w:rPr>
          <w:rFonts w:cs="Arial"/>
          <w:sz w:val="20"/>
        </w:rPr>
        <w:t xml:space="preserve"> </w:t>
      </w:r>
    </w:p>
    <w:p w14:paraId="094855AF" w14:textId="77777777" w:rsidR="009C1949" w:rsidRPr="00207882" w:rsidRDefault="009C1949" w:rsidP="00020C68">
      <w:pPr>
        <w:pStyle w:val="ListParagraph"/>
        <w:numPr>
          <w:ilvl w:val="0"/>
          <w:numId w:val="54"/>
        </w:numPr>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w:t>
      </w:r>
      <w:r>
        <w:rPr>
          <w:rFonts w:cs="Arial"/>
          <w:sz w:val="20"/>
        </w:rPr>
        <w:t>63.1959</w:t>
      </w:r>
      <w:r w:rsidRPr="00207882">
        <w:rPr>
          <w:rFonts w:cs="Arial"/>
          <w:sz w:val="20"/>
        </w:rPr>
        <w:t>(a)(4))</w:t>
      </w:r>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(a)(3)(iv)(B))</w:t>
      </w:r>
    </w:p>
    <w:p w14:paraId="370BCF40" w14:textId="3562FD1F" w:rsidR="009C1949" w:rsidRDefault="009C1949">
      <w:pPr>
        <w:rPr>
          <w:rFonts w:cs="Arial"/>
          <w:bCs/>
          <w:sz w:val="20"/>
        </w:rPr>
      </w:pPr>
    </w:p>
    <w:p w14:paraId="5B1A9853" w14:textId="77777777" w:rsidR="009C1949" w:rsidRPr="0034158D" w:rsidRDefault="009C1949" w:rsidP="009C1949">
      <w:pPr>
        <w:spacing w:before="100" w:beforeAutospacing="1" w:after="100" w:afterAutospacing="1"/>
        <w:rPr>
          <w:rFonts w:cs="Arial"/>
          <w:sz w:val="20"/>
        </w:rPr>
      </w:pPr>
      <w:r w:rsidRPr="00161059">
        <w:rPr>
          <w:rFonts w:cs="Arial"/>
          <w:b/>
          <w:sz w:val="20"/>
          <w:u w:val="single"/>
        </w:rPr>
        <w:t>Tier 3</w:t>
      </w:r>
    </w:p>
    <w:p w14:paraId="26528C55" w14:textId="77777777" w:rsidR="009C1949" w:rsidRDefault="009C1949" w:rsidP="009C1949">
      <w:pPr>
        <w:spacing w:after="120"/>
        <w:jc w:val="both"/>
        <w:rPr>
          <w:rFonts w:cs="Arial"/>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w:t>
      </w:r>
      <w:proofErr w:type="spellStart"/>
      <w:r w:rsidRPr="000A7B2E">
        <w:rPr>
          <w:sz w:val="20"/>
        </w:rPr>
        <w:t>i</w:t>
      </w:r>
      <w:proofErr w:type="spellEnd"/>
      <w:r w:rsidRPr="000A7B2E">
        <w:rPr>
          <w:sz w:val="20"/>
        </w:rPr>
        <w:t xml:space="preserve">))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47DE6D19" w14:textId="77777777" w:rsidR="009C1949" w:rsidRPr="00D237A7" w:rsidRDefault="009C1949" w:rsidP="009C1949">
      <w:pPr>
        <w:spacing w:after="120"/>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50 Mg</w:t>
      </w:r>
      <w:r w:rsidRPr="00D237A7">
        <w:rPr>
          <w:rFonts w:cs="Arial"/>
          <w:sz w:val="20"/>
        </w:rPr>
        <w:t xml:space="preserve"> per year, the permittee </w:t>
      </w:r>
      <w:r>
        <w:rPr>
          <w:rFonts w:cs="Arial"/>
          <w:sz w:val="20"/>
        </w:rPr>
        <w:t>must s</w:t>
      </w:r>
      <w:r w:rsidRPr="00C41A44">
        <w:rPr>
          <w:rFonts w:cs="Arial"/>
          <w:sz w:val="20"/>
        </w:rPr>
        <w:t>ubmit a gas collection and control system design plan within 1 year as specified in 40 CFR 63.1981(d) and install and operate a gas collection and control system within 30 months of the first annual report in which the NMOC emission rate equals or exceeds 50 Mg/</w:t>
      </w:r>
      <w:proofErr w:type="spellStart"/>
      <w:r w:rsidRPr="00C41A44">
        <w:rPr>
          <w:rFonts w:cs="Arial"/>
          <w:sz w:val="20"/>
        </w:rPr>
        <w:t>yr</w:t>
      </w:r>
      <w:proofErr w:type="spellEnd"/>
      <w:r>
        <w:rPr>
          <w:rFonts w:cs="Arial"/>
          <w:sz w:val="20"/>
        </w:rPr>
        <w:t xml:space="preserve"> </w:t>
      </w:r>
      <w:r w:rsidRPr="00305C2A">
        <w:rPr>
          <w:rFonts w:cs="Arial"/>
          <w:sz w:val="20"/>
        </w:rPr>
        <w:t>according to 40 CFR 63.1959(b)(2)(ii) and (iii).</w:t>
      </w:r>
      <w:r w:rsidRPr="00C41A44">
        <w:rPr>
          <w:rFonts w:cs="Arial"/>
          <w:sz w:val="20"/>
        </w:rPr>
        <w:t>.</w:t>
      </w:r>
      <w:r w:rsidRPr="00C41A44">
        <w:rPr>
          <w:rFonts w:cs="Arial"/>
          <w:b/>
          <w:sz w:val="20"/>
        </w:rPr>
        <w:t xml:space="preserve"> </w:t>
      </w:r>
      <w:r>
        <w:rPr>
          <w:rFonts w:cs="Arial"/>
          <w:b/>
          <w:sz w:val="20"/>
        </w:rPr>
        <w:t xml:space="preserve"> </w:t>
      </w:r>
      <w:r w:rsidRPr="00D237A7">
        <w:rPr>
          <w:rFonts w:cs="Arial"/>
          <w:b/>
          <w:sz w:val="20"/>
        </w:rPr>
        <w:t>(</w:t>
      </w:r>
      <w:r w:rsidRPr="00B0776F">
        <w:rPr>
          <w:rFonts w:cs="Arial"/>
          <w:b/>
          <w:sz w:val="20"/>
        </w:rPr>
        <w:t xml:space="preserve">40 CFR </w:t>
      </w:r>
      <w:r>
        <w:rPr>
          <w:rFonts w:cs="Arial"/>
          <w:b/>
          <w:sz w:val="20"/>
        </w:rPr>
        <w:t>63.1959</w:t>
      </w:r>
      <w:r w:rsidRPr="00B0776F">
        <w:rPr>
          <w:rFonts w:cs="Arial"/>
          <w:b/>
          <w:sz w:val="20"/>
        </w:rPr>
        <w:t>(a)(4)(</w:t>
      </w:r>
      <w:proofErr w:type="spellStart"/>
      <w:r w:rsidRPr="00B0776F">
        <w:rPr>
          <w:rFonts w:cs="Arial"/>
          <w:b/>
          <w:sz w:val="20"/>
        </w:rPr>
        <w:t>i</w:t>
      </w:r>
      <w:proofErr w:type="spellEnd"/>
      <w:r w:rsidRPr="00B0776F">
        <w:rPr>
          <w:rFonts w:cs="Arial"/>
          <w:b/>
          <w:sz w:val="20"/>
        </w:rPr>
        <w:t>)(A)</w:t>
      </w:r>
      <w:r w:rsidRPr="00D237A7">
        <w:rPr>
          <w:rFonts w:cs="Arial"/>
          <w:b/>
          <w:sz w:val="20"/>
        </w:rPr>
        <w:t>)</w:t>
      </w:r>
    </w:p>
    <w:p w14:paraId="3B0C3837" w14:textId="77777777" w:rsidR="009C1949" w:rsidRDefault="009C1949" w:rsidP="009C1949">
      <w:pPr>
        <w:jc w:val="both"/>
        <w:rPr>
          <w:rFonts w:cs="Arial"/>
          <w:b/>
          <w:sz w:val="20"/>
        </w:rPr>
      </w:pPr>
      <w:r w:rsidRPr="00D237A7">
        <w:rPr>
          <w:rFonts w:cs="Arial"/>
          <w:sz w:val="20"/>
        </w:rPr>
        <w:t xml:space="preserve">If the NMOC mass emission rate is less than </w:t>
      </w:r>
      <w:r>
        <w:rPr>
          <w:rFonts w:cs="Arial"/>
          <w:sz w:val="20"/>
        </w:rPr>
        <w:t>50 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using </w:t>
      </w:r>
      <w:r w:rsidRPr="00D237A7">
        <w:rPr>
          <w:rFonts w:cs="Arial"/>
          <w:b/>
          <w:sz w:val="20"/>
        </w:rPr>
        <w:t>Equation 1</w:t>
      </w:r>
      <w:r w:rsidRPr="00D237A7">
        <w:rPr>
          <w:rFonts w:cs="Arial"/>
          <w:sz w:val="20"/>
        </w:rPr>
        <w:t xml:space="preserve"> or </w:t>
      </w:r>
      <w:r w:rsidRPr="00D237A7">
        <w:rPr>
          <w:rFonts w:cs="Arial"/>
          <w:b/>
          <w:sz w:val="20"/>
        </w:rPr>
        <w:t>Equation 2</w:t>
      </w:r>
      <w:r w:rsidRPr="00CC76F0">
        <w:rPr>
          <w:rFonts w:cs="Arial"/>
          <w:sz w:val="20"/>
        </w:rPr>
        <w:t xml:space="preserve"> </w:t>
      </w:r>
      <w:r w:rsidRPr="00916A99">
        <w:rPr>
          <w:rFonts w:cs="Arial"/>
          <w:sz w:val="20"/>
        </w:rPr>
        <w:t xml:space="preserve">in </w:t>
      </w:r>
      <w:r w:rsidRPr="00916A99">
        <w:rPr>
          <w:rFonts w:cs="Arial"/>
          <w:b/>
          <w:sz w:val="20"/>
        </w:rPr>
        <w:t xml:space="preserve">Appendix </w:t>
      </w:r>
      <w:r>
        <w:rPr>
          <w:rFonts w:cs="Arial"/>
          <w:b/>
          <w:sz w:val="20"/>
        </w:rPr>
        <w:t>7</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63.1981(c).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 xml:space="preserve">40 CFR </w:t>
      </w:r>
      <w:r>
        <w:rPr>
          <w:rFonts w:cs="Arial"/>
          <w:b/>
          <w:sz w:val="20"/>
        </w:rPr>
        <w:t>63.1959</w:t>
      </w:r>
      <w:r w:rsidRPr="002D7B97">
        <w:rPr>
          <w:rFonts w:cs="Arial"/>
          <w:b/>
          <w:sz w:val="20"/>
        </w:rPr>
        <w:t>(a)(4)(ii)</w:t>
      </w:r>
      <w:r w:rsidRPr="00D237A7">
        <w:rPr>
          <w:rFonts w:cs="Arial"/>
          <w:b/>
          <w:sz w:val="20"/>
        </w:rPr>
        <w:t>)</w:t>
      </w:r>
    </w:p>
    <w:p w14:paraId="39C3B727" w14:textId="77777777" w:rsidR="00C60E84" w:rsidRPr="00FC1F2C" w:rsidRDefault="00C60E84" w:rsidP="004F09CF">
      <w:pPr>
        <w:pStyle w:val="Heading2"/>
        <w:numPr>
          <w:ilvl w:val="0"/>
          <w:numId w:val="0"/>
        </w:numPr>
        <w:jc w:val="both"/>
        <w:rPr>
          <w:b w:val="0"/>
          <w:sz w:val="22"/>
          <w:szCs w:val="22"/>
        </w:rPr>
      </w:pPr>
      <w:bookmarkStart w:id="132" w:name="_Toc159914039"/>
      <w:r w:rsidRPr="00461D22">
        <w:rPr>
          <w:sz w:val="22"/>
          <w:szCs w:val="22"/>
        </w:rPr>
        <w:t>Appendix 8.  Reporting</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32"/>
    </w:p>
    <w:p w14:paraId="2456133C" w14:textId="77777777" w:rsidR="00C60E84" w:rsidRPr="00B77C68" w:rsidRDefault="00C60E84" w:rsidP="004F09CF">
      <w:pPr>
        <w:jc w:val="both"/>
        <w:rPr>
          <w:sz w:val="20"/>
        </w:rPr>
      </w:pPr>
    </w:p>
    <w:p w14:paraId="152CA3E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C98130E" w14:textId="77777777" w:rsidR="00C60E84" w:rsidRPr="0080590E" w:rsidRDefault="00C60E84" w:rsidP="004F09CF">
      <w:pPr>
        <w:jc w:val="both"/>
        <w:rPr>
          <w:sz w:val="20"/>
        </w:rPr>
      </w:pPr>
    </w:p>
    <w:p w14:paraId="1A23300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52F6D84F" w14:textId="3FE15960" w:rsidR="00924622" w:rsidRDefault="00924622">
      <w:pPr>
        <w:rPr>
          <w:sz w:val="20"/>
        </w:rPr>
      </w:pPr>
      <w:r>
        <w:rPr>
          <w:sz w:val="20"/>
        </w:rPr>
        <w:br w:type="page"/>
      </w:r>
    </w:p>
    <w:p w14:paraId="432E8B7F" w14:textId="77777777" w:rsidR="00C60E84" w:rsidRPr="00B77C68" w:rsidRDefault="00C60E84" w:rsidP="004F09CF">
      <w:pPr>
        <w:jc w:val="both"/>
        <w:rPr>
          <w:sz w:val="20"/>
        </w:rPr>
      </w:pPr>
    </w:p>
    <w:p w14:paraId="101F1581" w14:textId="77777777" w:rsidR="00C60E84" w:rsidRPr="00FC1F2C" w:rsidRDefault="00C60E84" w:rsidP="004F09CF">
      <w:pPr>
        <w:jc w:val="both"/>
        <w:rPr>
          <w:sz w:val="20"/>
        </w:rPr>
      </w:pPr>
      <w:r w:rsidRPr="00B77C68">
        <w:rPr>
          <w:b/>
          <w:sz w:val="20"/>
        </w:rPr>
        <w:t>B.  Other Reporting</w:t>
      </w:r>
    </w:p>
    <w:p w14:paraId="1388A3A6" w14:textId="77777777" w:rsidR="00C60E84" w:rsidRPr="00B77C68" w:rsidRDefault="00C60E84" w:rsidP="004F09CF">
      <w:pPr>
        <w:jc w:val="both"/>
        <w:rPr>
          <w:sz w:val="20"/>
        </w:rPr>
      </w:pPr>
    </w:p>
    <w:p w14:paraId="78E16BE7"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4"/>
      <w:bookmarkEnd w:id="95"/>
      <w:bookmarkEnd w:id="96"/>
      <w:bookmarkEnd w:id="97"/>
      <w:bookmarkEnd w:id="98"/>
      <w:bookmarkEnd w:id="99"/>
      <w:bookmarkEnd w:id="100"/>
      <w:bookmarkEnd w:id="101"/>
    </w:p>
    <w:sectPr w:rsidR="00DC3CDB" w:rsidSect="00723C92">
      <w:headerReference w:type="even" r:id="rId14"/>
      <w:headerReference w:type="default" r:id="rId15"/>
      <w:footerReference w:type="even" r:id="rId16"/>
      <w:footerReference w:type="defaul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EE86" w14:textId="77777777" w:rsidR="009149B9" w:rsidRDefault="009149B9">
      <w:r>
        <w:separator/>
      </w:r>
    </w:p>
    <w:p w14:paraId="3FC77800" w14:textId="77777777" w:rsidR="009149B9" w:rsidRDefault="009149B9"/>
  </w:endnote>
  <w:endnote w:type="continuationSeparator" w:id="0">
    <w:p w14:paraId="365A15BE" w14:textId="77777777" w:rsidR="009149B9" w:rsidRDefault="009149B9">
      <w:r>
        <w:continuationSeparator/>
      </w:r>
    </w:p>
    <w:p w14:paraId="3900F8CF" w14:textId="77777777" w:rsidR="009149B9" w:rsidRDefault="00914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76F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FB2F4" w14:textId="77777777" w:rsidR="00F11B78" w:rsidRDefault="00F11B78" w:rsidP="00BD6C4A">
    <w:pPr>
      <w:pStyle w:val="Footer"/>
      <w:ind w:right="360"/>
    </w:pPr>
  </w:p>
  <w:p w14:paraId="3C711095"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6F75" w14:textId="73D412A4" w:rsidR="00F11B78" w:rsidRDefault="00F11B78" w:rsidP="00C67C9B">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B453" w14:textId="77777777" w:rsidR="009149B9" w:rsidRDefault="009149B9">
      <w:r>
        <w:separator/>
      </w:r>
    </w:p>
    <w:p w14:paraId="1EC1A261" w14:textId="77777777" w:rsidR="009149B9" w:rsidRDefault="009149B9"/>
  </w:footnote>
  <w:footnote w:type="continuationSeparator" w:id="0">
    <w:p w14:paraId="7B3A923F" w14:textId="77777777" w:rsidR="009149B9" w:rsidRDefault="009149B9">
      <w:r>
        <w:continuationSeparator/>
      </w:r>
    </w:p>
    <w:p w14:paraId="11098223" w14:textId="77777777" w:rsidR="009149B9" w:rsidRDefault="009149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7B2C" w14:textId="77777777" w:rsidR="00F11B78" w:rsidRDefault="00F11B78">
    <w:pPr>
      <w:pStyle w:val="Header"/>
    </w:pPr>
  </w:p>
  <w:p w14:paraId="668A545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8E30" w14:textId="41E7E5D9" w:rsidR="00F11B78" w:rsidRPr="00E414B8" w:rsidRDefault="00F11B78" w:rsidP="0053709D">
    <w:pPr>
      <w:rPr>
        <w:rFonts w:cs="Arial"/>
        <w:sz w:val="20"/>
      </w:rPr>
    </w:pPr>
    <w:r>
      <w:rPr>
        <w:b/>
        <w:sz w:val="24"/>
        <w:szCs w:val="24"/>
      </w:rPr>
      <w:tab/>
    </w:r>
    <w:r w:rsidR="00C67C9B">
      <w:rPr>
        <w:b/>
        <w:sz w:val="24"/>
        <w:szCs w:val="24"/>
      </w:rPr>
      <w:tab/>
    </w:r>
    <w:r w:rsidR="00C67C9B">
      <w:rPr>
        <w:b/>
        <w:sz w:val="24"/>
        <w:szCs w:val="24"/>
      </w:rPr>
      <w:tab/>
    </w:r>
    <w:r w:rsidR="00AE0873">
      <w:rPr>
        <w:b/>
        <w:sz w:val="24"/>
        <w:szCs w:val="24"/>
      </w:rPr>
      <w:tab/>
    </w:r>
    <w:r w:rsidR="00637380">
      <w:rPr>
        <w:b/>
        <w:sz w:val="24"/>
        <w:szCs w:val="24"/>
      </w:rPr>
      <w:tab/>
    </w:r>
    <w:r w:rsidR="00637380">
      <w:rPr>
        <w:b/>
        <w:sz w:val="24"/>
        <w:szCs w:val="24"/>
      </w:rPr>
      <w:tab/>
    </w:r>
    <w:r w:rsidR="00637380">
      <w:rPr>
        <w:b/>
        <w:sz w:val="24"/>
        <w:szCs w:val="24"/>
      </w:rPr>
      <w:tab/>
    </w:r>
    <w:r w:rsidR="00637380">
      <w:rPr>
        <w:b/>
        <w:sz w:val="24"/>
        <w:szCs w:val="24"/>
      </w:rPr>
      <w:tab/>
    </w:r>
    <w:r w:rsidR="001E6B53">
      <w:rPr>
        <w:b/>
        <w:sz w:val="24"/>
        <w:szCs w:val="24"/>
      </w:rPr>
      <w:tab/>
    </w:r>
    <w:r w:rsidRPr="00E414B8">
      <w:rPr>
        <w:rFonts w:cs="Arial"/>
        <w:sz w:val="20"/>
      </w:rPr>
      <w:t>ROP No:  MI-ROP-</w:t>
    </w:r>
    <w:bookmarkStart w:id="133" w:name="bSRN4"/>
    <w:bookmarkEnd w:id="133"/>
    <w:r w:rsidR="009149B9">
      <w:rPr>
        <w:rFonts w:cs="Arial"/>
        <w:sz w:val="20"/>
      </w:rPr>
      <w:t>N6024</w:t>
    </w:r>
    <w:r w:rsidRPr="00E414B8">
      <w:rPr>
        <w:rFonts w:cs="Arial"/>
        <w:sz w:val="20"/>
      </w:rPr>
      <w:t>-</w:t>
    </w:r>
    <w:bookmarkStart w:id="134" w:name="bIssueYear3"/>
    <w:bookmarkEnd w:id="134"/>
    <w:r w:rsidR="00C67C9B">
      <w:rPr>
        <w:rFonts w:cs="Arial"/>
        <w:sz w:val="20"/>
      </w:rPr>
      <w:t>20</w:t>
    </w:r>
    <w:r w:rsidR="00637380">
      <w:rPr>
        <w:rFonts w:cs="Arial"/>
        <w:sz w:val="20"/>
      </w:rPr>
      <w:t>24</w:t>
    </w:r>
  </w:p>
  <w:p w14:paraId="7DCBAD1D" w14:textId="78699A62" w:rsidR="00F11B78" w:rsidRPr="005C1928" w:rsidRDefault="00F11B78" w:rsidP="00637380">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35" w:name="bExpireDate2"/>
    <w:bookmarkEnd w:id="135"/>
    <w:r w:rsidR="00637380">
      <w:rPr>
        <w:rFonts w:cs="Arial"/>
        <w:sz w:val="20"/>
      </w:rPr>
      <w:t>February 27, 2029</w:t>
    </w:r>
  </w:p>
  <w:p w14:paraId="3735F358"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AD61AE"/>
    <w:multiLevelType w:val="multilevel"/>
    <w:tmpl w:val="BFD4A540"/>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styleLink w:val="ROPShellNumTables1"/>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F65FA6"/>
    <w:multiLevelType w:val="multilevel"/>
    <w:tmpl w:val="81144F7C"/>
    <w:numStyleLink w:val="ROPShellNumTables1"/>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1D33689"/>
    <w:multiLevelType w:val="hybridMultilevel"/>
    <w:tmpl w:val="133086C8"/>
    <w:lvl w:ilvl="0" w:tplc="3CBA25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0F4D30"/>
    <w:multiLevelType w:val="hybridMultilevel"/>
    <w:tmpl w:val="C46855B8"/>
    <w:lvl w:ilvl="0" w:tplc="E80A8A26">
      <w:start w:val="1"/>
      <w:numFmt w:val="decimal"/>
      <w:lvlText w:val="%1."/>
      <w:lvlJc w:val="left"/>
      <w:pPr>
        <w:ind w:left="780" w:hanging="360"/>
      </w:pPr>
      <w:rPr>
        <w:b w:val="0"/>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3AFA35E5"/>
    <w:multiLevelType w:val="hybridMultilevel"/>
    <w:tmpl w:val="97EE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A26AD0"/>
    <w:multiLevelType w:val="hybridMultilevel"/>
    <w:tmpl w:val="0672893A"/>
    <w:lvl w:ilvl="0" w:tplc="0BEE2152">
      <w:start w:val="1"/>
      <w:numFmt w:val="decimal"/>
      <w:lvlText w:val="%1."/>
      <w:lvlJc w:val="left"/>
      <w:pPr>
        <w:ind w:left="360" w:hanging="360"/>
      </w:pPr>
      <w:rPr>
        <w:b w:val="0"/>
        <w:bCs w:val="0"/>
      </w:rPr>
    </w:lvl>
    <w:lvl w:ilvl="1" w:tplc="9BAA5E2A">
      <w:start w:val="1"/>
      <w:numFmt w:val="lowerLetter"/>
      <w:lvlText w:val="%2."/>
      <w:lvlJc w:val="left"/>
      <w:pPr>
        <w:ind w:left="1080" w:hanging="360"/>
      </w:pPr>
    </w:lvl>
    <w:lvl w:ilvl="2" w:tplc="F11ECB10">
      <w:start w:val="1"/>
      <w:numFmt w:val="lowerRoman"/>
      <w:lvlText w:val="%3."/>
      <w:lvlJc w:val="right"/>
      <w:pPr>
        <w:ind w:left="1800" w:hanging="180"/>
      </w:pPr>
    </w:lvl>
    <w:lvl w:ilvl="3" w:tplc="BD505222">
      <w:start w:val="1"/>
      <w:numFmt w:val="decimal"/>
      <w:lvlText w:val="%4."/>
      <w:lvlJc w:val="left"/>
      <w:pPr>
        <w:ind w:left="2520" w:hanging="360"/>
      </w:pPr>
    </w:lvl>
    <w:lvl w:ilvl="4" w:tplc="428072C0">
      <w:start w:val="1"/>
      <w:numFmt w:val="lowerLetter"/>
      <w:lvlText w:val="%5."/>
      <w:lvlJc w:val="left"/>
      <w:pPr>
        <w:ind w:left="3240" w:hanging="360"/>
      </w:pPr>
    </w:lvl>
    <w:lvl w:ilvl="5" w:tplc="BA723CDE">
      <w:start w:val="1"/>
      <w:numFmt w:val="lowerRoman"/>
      <w:lvlText w:val="%6."/>
      <w:lvlJc w:val="right"/>
      <w:pPr>
        <w:ind w:left="3960" w:hanging="180"/>
      </w:pPr>
    </w:lvl>
    <w:lvl w:ilvl="6" w:tplc="64B60CE6">
      <w:start w:val="1"/>
      <w:numFmt w:val="decimal"/>
      <w:lvlText w:val="%7."/>
      <w:lvlJc w:val="left"/>
      <w:pPr>
        <w:ind w:left="4680" w:hanging="360"/>
      </w:pPr>
    </w:lvl>
    <w:lvl w:ilvl="7" w:tplc="4778396E">
      <w:start w:val="1"/>
      <w:numFmt w:val="lowerLetter"/>
      <w:lvlText w:val="%8."/>
      <w:lvlJc w:val="left"/>
      <w:pPr>
        <w:ind w:left="5400" w:hanging="360"/>
      </w:pPr>
    </w:lvl>
    <w:lvl w:ilvl="8" w:tplc="9A96D79C">
      <w:start w:val="1"/>
      <w:numFmt w:val="lowerRoman"/>
      <w:lvlText w:val="%9."/>
      <w:lvlJc w:val="right"/>
      <w:pPr>
        <w:ind w:left="6120" w:hanging="180"/>
      </w:p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C3B4028"/>
    <w:multiLevelType w:val="hybridMultilevel"/>
    <w:tmpl w:val="C46855B8"/>
    <w:lvl w:ilvl="0" w:tplc="FFFFFFFF">
      <w:start w:val="1"/>
      <w:numFmt w:val="decimal"/>
      <w:lvlText w:val="%1."/>
      <w:lvlJc w:val="left"/>
      <w:pPr>
        <w:ind w:left="780" w:hanging="360"/>
      </w:pPr>
      <w:rPr>
        <w:b w:val="0"/>
        <w:bCs/>
      </w:r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3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22B101D"/>
    <w:multiLevelType w:val="hybridMultilevel"/>
    <w:tmpl w:val="B456DA38"/>
    <w:lvl w:ilvl="0" w:tplc="F9E0C670">
      <w:start w:val="3"/>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4BB5A4C"/>
    <w:multiLevelType w:val="multilevel"/>
    <w:tmpl w:val="445AA4D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61104BC"/>
    <w:multiLevelType w:val="hybridMultilevel"/>
    <w:tmpl w:val="3760B8F8"/>
    <w:lvl w:ilvl="0" w:tplc="E0581258">
      <w:start w:val="19"/>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9F66C19"/>
    <w:multiLevelType w:val="multilevel"/>
    <w:tmpl w:val="BFD4A540"/>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40A2A90"/>
    <w:multiLevelType w:val="hybridMultilevel"/>
    <w:tmpl w:val="E80242D2"/>
    <w:lvl w:ilvl="0" w:tplc="5CB604EE">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90C482C"/>
    <w:multiLevelType w:val="hybridMultilevel"/>
    <w:tmpl w:val="2D1A9274"/>
    <w:lvl w:ilvl="0" w:tplc="0F5C959A">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224BB1"/>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0A702AA"/>
    <w:multiLevelType w:val="multilevel"/>
    <w:tmpl w:val="37DAF8DC"/>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5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F652094"/>
    <w:multiLevelType w:val="multilevel"/>
    <w:tmpl w:val="445AA4D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7458095">
    <w:abstractNumId w:val="3"/>
  </w:num>
  <w:num w:numId="2" w16cid:durableId="739981568">
    <w:abstractNumId w:val="53"/>
  </w:num>
  <w:num w:numId="3" w16cid:durableId="1181774601">
    <w:abstractNumId w:val="14"/>
  </w:num>
  <w:num w:numId="4" w16cid:durableId="495074749">
    <w:abstractNumId w:val="32"/>
  </w:num>
  <w:num w:numId="5" w16cid:durableId="995063196">
    <w:abstractNumId w:val="2"/>
  </w:num>
  <w:num w:numId="6" w16cid:durableId="1372225000">
    <w:abstractNumId w:val="55"/>
  </w:num>
  <w:num w:numId="7" w16cid:durableId="313070562">
    <w:abstractNumId w:val="30"/>
  </w:num>
  <w:num w:numId="8" w16cid:durableId="2097288165">
    <w:abstractNumId w:val="44"/>
  </w:num>
  <w:num w:numId="9" w16cid:durableId="2133747636">
    <w:abstractNumId w:val="11"/>
  </w:num>
  <w:num w:numId="10" w16cid:durableId="1963657492">
    <w:abstractNumId w:val="26"/>
  </w:num>
  <w:num w:numId="11" w16cid:durableId="1799764846">
    <w:abstractNumId w:val="34"/>
  </w:num>
  <w:num w:numId="12" w16cid:durableId="1845171358">
    <w:abstractNumId w:val="52"/>
  </w:num>
  <w:num w:numId="13" w16cid:durableId="698091659">
    <w:abstractNumId w:val="43"/>
  </w:num>
  <w:num w:numId="14" w16cid:durableId="599262958">
    <w:abstractNumId w:val="6"/>
  </w:num>
  <w:num w:numId="15" w16cid:durableId="1876118585">
    <w:abstractNumId w:val="49"/>
  </w:num>
  <w:num w:numId="16" w16cid:durableId="737243623">
    <w:abstractNumId w:val="18"/>
  </w:num>
  <w:num w:numId="17" w16cid:durableId="1073623154">
    <w:abstractNumId w:val="40"/>
  </w:num>
  <w:num w:numId="18" w16cid:durableId="1626345433">
    <w:abstractNumId w:val="39"/>
  </w:num>
  <w:num w:numId="19" w16cid:durableId="268467843">
    <w:abstractNumId w:val="9"/>
  </w:num>
  <w:num w:numId="20" w16cid:durableId="682823412">
    <w:abstractNumId w:val="23"/>
  </w:num>
  <w:num w:numId="21" w16cid:durableId="741607996">
    <w:abstractNumId w:val="27"/>
  </w:num>
  <w:num w:numId="22" w16cid:durableId="1574853435">
    <w:abstractNumId w:val="0"/>
  </w:num>
  <w:num w:numId="23" w16cid:durableId="69280381">
    <w:abstractNumId w:val="31"/>
  </w:num>
  <w:num w:numId="24" w16cid:durableId="1415204040">
    <w:abstractNumId w:val="28"/>
  </w:num>
  <w:num w:numId="25" w16cid:durableId="1687515324">
    <w:abstractNumId w:val="8"/>
  </w:num>
  <w:num w:numId="26" w16cid:durableId="948204035">
    <w:abstractNumId w:val="4"/>
  </w:num>
  <w:num w:numId="27" w16cid:durableId="1873956794">
    <w:abstractNumId w:val="16"/>
  </w:num>
  <w:num w:numId="28" w16cid:durableId="1422481858">
    <w:abstractNumId w:val="37"/>
  </w:num>
  <w:num w:numId="29" w16cid:durableId="811407954">
    <w:abstractNumId w:val="46"/>
  </w:num>
  <w:num w:numId="30" w16cid:durableId="1854176137">
    <w:abstractNumId w:val="24"/>
  </w:num>
  <w:num w:numId="31" w16cid:durableId="384641493">
    <w:abstractNumId w:val="13"/>
  </w:num>
  <w:num w:numId="32" w16cid:durableId="272250130">
    <w:abstractNumId w:val="15"/>
  </w:num>
  <w:num w:numId="33" w16cid:durableId="1042367639">
    <w:abstractNumId w:val="20"/>
  </w:num>
  <w:num w:numId="34" w16cid:durableId="628047818">
    <w:abstractNumId w:val="42"/>
  </w:num>
  <w:num w:numId="35" w16cid:durableId="1543518152">
    <w:abstractNumId w:val="51"/>
  </w:num>
  <w:num w:numId="36" w16cid:durableId="575480593">
    <w:abstractNumId w:val="5"/>
  </w:num>
  <w:num w:numId="37" w16cid:durableId="92171761">
    <w:abstractNumId w:val="10"/>
  </w:num>
  <w:num w:numId="38" w16cid:durableId="404304156">
    <w:abstractNumId w:val="47"/>
  </w:num>
  <w:num w:numId="39" w16cid:durableId="1281185127">
    <w:abstractNumId w:val="12"/>
  </w:num>
  <w:num w:numId="40" w16cid:durableId="1868370439">
    <w:abstractNumId w:val="7"/>
  </w:num>
  <w:num w:numId="41" w16cid:durableId="1257984449">
    <w:abstractNumId w:val="56"/>
  </w:num>
  <w:num w:numId="42" w16cid:durableId="683942126">
    <w:abstractNumId w:val="35"/>
  </w:num>
  <w:num w:numId="43" w16cid:durableId="346955109">
    <w:abstractNumId w:val="45"/>
  </w:num>
  <w:num w:numId="44" w16cid:durableId="1366252767">
    <w:abstractNumId w:val="19"/>
  </w:num>
  <w:num w:numId="45" w16cid:durableId="436632770">
    <w:abstractNumId w:val="54"/>
  </w:num>
  <w:num w:numId="46" w16cid:durableId="5270676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17924905">
    <w:abstractNumId w:val="1"/>
  </w:num>
  <w:num w:numId="48" w16cid:durableId="620956443">
    <w:abstractNumId w:val="38"/>
  </w:num>
  <w:num w:numId="49" w16cid:durableId="1169716839">
    <w:abstractNumId w:val="17"/>
    <w:lvlOverride w:ilvl="0">
      <w:lvl w:ilvl="0">
        <w:start w:val="1"/>
        <w:numFmt w:val="decimal"/>
        <w:lvlRestart w:val="0"/>
        <w:isLgl/>
        <w:lvlText w:val="%1."/>
        <w:lvlJc w:val="left"/>
        <w:pPr>
          <w:tabs>
            <w:tab w:val="num" w:pos="360"/>
          </w:tabs>
          <w:ind w:left="360" w:hanging="360"/>
        </w:pPr>
        <w:rPr>
          <w:rFonts w:ascii="Arial" w:hAnsi="Arial" w:hint="default"/>
          <w:b w:val="0"/>
          <w:bCs/>
          <w:sz w:val="20"/>
          <w:szCs w:val="20"/>
        </w:rPr>
      </w:lvl>
    </w:lvlOverride>
  </w:num>
  <w:num w:numId="50" w16cid:durableId="301616436">
    <w:abstractNumId w:val="25"/>
  </w:num>
  <w:num w:numId="51" w16cid:durableId="2082943958">
    <w:abstractNumId w:val="33"/>
  </w:num>
  <w:num w:numId="52" w16cid:durableId="1272781269">
    <w:abstractNumId w:val="22"/>
  </w:num>
  <w:num w:numId="53" w16cid:durableId="1051658708">
    <w:abstractNumId w:val="21"/>
  </w:num>
  <w:num w:numId="54" w16cid:durableId="848258547">
    <w:abstractNumId w:val="48"/>
  </w:num>
  <w:num w:numId="55" w16cid:durableId="1427389082">
    <w:abstractNumId w:val="41"/>
  </w:num>
  <w:num w:numId="56" w16cid:durableId="22826399">
    <w:abstractNumId w:val="29"/>
  </w:num>
  <w:num w:numId="57" w16cid:durableId="187376315">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47317722">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44Sbcszzq5ntrH+Cil4vIiJUcOTsiiyRksVIlc1kEDmL2LoIgY4ZkLuiP8TrLqrVuhqNwdGcIVTKJB2Ex3Wikw==" w:salt="BBm7LsNDWLW/OziwyMRIH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B9"/>
    <w:rsid w:val="000000B9"/>
    <w:rsid w:val="000067DD"/>
    <w:rsid w:val="00006871"/>
    <w:rsid w:val="000069B5"/>
    <w:rsid w:val="00006A4E"/>
    <w:rsid w:val="00006F92"/>
    <w:rsid w:val="000112F8"/>
    <w:rsid w:val="00012E33"/>
    <w:rsid w:val="00013C82"/>
    <w:rsid w:val="00014082"/>
    <w:rsid w:val="00017E74"/>
    <w:rsid w:val="00020C68"/>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2D1A"/>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E7ACC"/>
    <w:rsid w:val="000E7E3C"/>
    <w:rsid w:val="000F036D"/>
    <w:rsid w:val="000F14DA"/>
    <w:rsid w:val="000F23D6"/>
    <w:rsid w:val="000F2439"/>
    <w:rsid w:val="000F256D"/>
    <w:rsid w:val="000F3188"/>
    <w:rsid w:val="000F32FF"/>
    <w:rsid w:val="000F479C"/>
    <w:rsid w:val="000F4B60"/>
    <w:rsid w:val="000F67EE"/>
    <w:rsid w:val="0010097A"/>
    <w:rsid w:val="00101186"/>
    <w:rsid w:val="00102715"/>
    <w:rsid w:val="00103446"/>
    <w:rsid w:val="0010367F"/>
    <w:rsid w:val="001041B1"/>
    <w:rsid w:val="00104849"/>
    <w:rsid w:val="00105176"/>
    <w:rsid w:val="001055B3"/>
    <w:rsid w:val="00107D12"/>
    <w:rsid w:val="0011124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6B53"/>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8BA"/>
    <w:rsid w:val="00241B5D"/>
    <w:rsid w:val="002425DC"/>
    <w:rsid w:val="00244FD5"/>
    <w:rsid w:val="002465A7"/>
    <w:rsid w:val="00251830"/>
    <w:rsid w:val="00252EB9"/>
    <w:rsid w:val="00254B38"/>
    <w:rsid w:val="00255675"/>
    <w:rsid w:val="0025601A"/>
    <w:rsid w:val="00256C88"/>
    <w:rsid w:val="002578B5"/>
    <w:rsid w:val="0026033F"/>
    <w:rsid w:val="00261485"/>
    <w:rsid w:val="002635B0"/>
    <w:rsid w:val="00266EA4"/>
    <w:rsid w:val="00267C45"/>
    <w:rsid w:val="00270B7C"/>
    <w:rsid w:val="00272560"/>
    <w:rsid w:val="002745AE"/>
    <w:rsid w:val="00274AE8"/>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3FF0"/>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4B75"/>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1340"/>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096"/>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088A"/>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6F07"/>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380"/>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76D"/>
    <w:rsid w:val="00656AC0"/>
    <w:rsid w:val="006615E2"/>
    <w:rsid w:val="00665417"/>
    <w:rsid w:val="00665478"/>
    <w:rsid w:val="0066595D"/>
    <w:rsid w:val="0067176C"/>
    <w:rsid w:val="00671FED"/>
    <w:rsid w:val="00672E09"/>
    <w:rsid w:val="00673358"/>
    <w:rsid w:val="00673BC8"/>
    <w:rsid w:val="006746BD"/>
    <w:rsid w:val="00674FBC"/>
    <w:rsid w:val="00675797"/>
    <w:rsid w:val="00680067"/>
    <w:rsid w:val="00680676"/>
    <w:rsid w:val="0068205D"/>
    <w:rsid w:val="0068362D"/>
    <w:rsid w:val="00684018"/>
    <w:rsid w:val="006874EB"/>
    <w:rsid w:val="00690C5A"/>
    <w:rsid w:val="00690F0D"/>
    <w:rsid w:val="00691891"/>
    <w:rsid w:val="00693960"/>
    <w:rsid w:val="00694226"/>
    <w:rsid w:val="006945A7"/>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8CB"/>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05DF"/>
    <w:rsid w:val="007B116E"/>
    <w:rsid w:val="007B50A9"/>
    <w:rsid w:val="007B7BB2"/>
    <w:rsid w:val="007C452F"/>
    <w:rsid w:val="007C57A5"/>
    <w:rsid w:val="007C6C51"/>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6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AD0"/>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16CE"/>
    <w:rsid w:val="008A6361"/>
    <w:rsid w:val="008B175D"/>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8F7354"/>
    <w:rsid w:val="009017A2"/>
    <w:rsid w:val="00903257"/>
    <w:rsid w:val="00903829"/>
    <w:rsid w:val="00906093"/>
    <w:rsid w:val="009069B9"/>
    <w:rsid w:val="00906ACF"/>
    <w:rsid w:val="00906EB9"/>
    <w:rsid w:val="00911146"/>
    <w:rsid w:val="009149B9"/>
    <w:rsid w:val="00914F6A"/>
    <w:rsid w:val="009172B1"/>
    <w:rsid w:val="009174E7"/>
    <w:rsid w:val="009222BA"/>
    <w:rsid w:val="009233B2"/>
    <w:rsid w:val="0092462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6B6"/>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1949"/>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2599"/>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A65"/>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89E"/>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0873"/>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5655F"/>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627"/>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67C9B"/>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1C2"/>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02C7"/>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F0078"/>
    <w:rsid w:val="00DF0348"/>
    <w:rsid w:val="00DF18D2"/>
    <w:rsid w:val="00DF42B7"/>
    <w:rsid w:val="00DF47A8"/>
    <w:rsid w:val="00DF5FD6"/>
    <w:rsid w:val="00DF65F0"/>
    <w:rsid w:val="00DF6609"/>
    <w:rsid w:val="00DF71E4"/>
    <w:rsid w:val="00DF7564"/>
    <w:rsid w:val="00E02068"/>
    <w:rsid w:val="00E023A3"/>
    <w:rsid w:val="00E03236"/>
    <w:rsid w:val="00E06733"/>
    <w:rsid w:val="00E06D78"/>
    <w:rsid w:val="00E07623"/>
    <w:rsid w:val="00E10E00"/>
    <w:rsid w:val="00E12C93"/>
    <w:rsid w:val="00E12DE3"/>
    <w:rsid w:val="00E12F2B"/>
    <w:rsid w:val="00E14632"/>
    <w:rsid w:val="00E154FB"/>
    <w:rsid w:val="00E16194"/>
    <w:rsid w:val="00E165F6"/>
    <w:rsid w:val="00E174A2"/>
    <w:rsid w:val="00E20681"/>
    <w:rsid w:val="00E24CD5"/>
    <w:rsid w:val="00E27FD2"/>
    <w:rsid w:val="00E31F00"/>
    <w:rsid w:val="00E33412"/>
    <w:rsid w:val="00E3386C"/>
    <w:rsid w:val="00E342EC"/>
    <w:rsid w:val="00E414B8"/>
    <w:rsid w:val="00E4393D"/>
    <w:rsid w:val="00E45E0A"/>
    <w:rsid w:val="00E50FF1"/>
    <w:rsid w:val="00E52AB7"/>
    <w:rsid w:val="00E53654"/>
    <w:rsid w:val="00E55356"/>
    <w:rsid w:val="00E57258"/>
    <w:rsid w:val="00E60FF9"/>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C7BA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72F9"/>
    <w:rsid w:val="00F00341"/>
    <w:rsid w:val="00F00CCC"/>
    <w:rsid w:val="00F04327"/>
    <w:rsid w:val="00F049D4"/>
    <w:rsid w:val="00F04B01"/>
    <w:rsid w:val="00F05449"/>
    <w:rsid w:val="00F056D0"/>
    <w:rsid w:val="00F11B78"/>
    <w:rsid w:val="00F1304F"/>
    <w:rsid w:val="00F15F33"/>
    <w:rsid w:val="00F164F1"/>
    <w:rsid w:val="00F16767"/>
    <w:rsid w:val="00F16F5D"/>
    <w:rsid w:val="00F17EEA"/>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3249"/>
    <w:rsid w:val="00F954AB"/>
    <w:rsid w:val="00F978DA"/>
    <w:rsid w:val="00FA0205"/>
    <w:rsid w:val="00FA25C4"/>
    <w:rsid w:val="00FB4DB7"/>
    <w:rsid w:val="00FB52DF"/>
    <w:rsid w:val="00FB53C0"/>
    <w:rsid w:val="00FB59FD"/>
    <w:rsid w:val="00FB6540"/>
    <w:rsid w:val="00FB6B54"/>
    <w:rsid w:val="00FB6DD1"/>
    <w:rsid w:val="00FB7DFA"/>
    <w:rsid w:val="00FC1F2C"/>
    <w:rsid w:val="00FC2052"/>
    <w:rsid w:val="00FC3D76"/>
    <w:rsid w:val="00FC5CD1"/>
    <w:rsid w:val="00FC5D79"/>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613B72"/>
  <w15:chartTrackingRefBased/>
  <w15:docId w15:val="{422B2E75-5B35-4C38-A7EA-F142DAE6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627"/>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675797"/>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C67C9B"/>
    <w:rPr>
      <w:rFonts w:ascii="Arial" w:hAnsi="Arial"/>
      <w:b/>
      <w:sz w:val="28"/>
    </w:rPr>
  </w:style>
  <w:style w:type="paragraph" w:styleId="NoSpacing">
    <w:name w:val="No Spacing"/>
    <w:uiPriority w:val="1"/>
    <w:qFormat/>
    <w:rsid w:val="00C67C9B"/>
    <w:rPr>
      <w:rFonts w:ascii="Arial" w:hAnsi="Arial"/>
      <w:sz w:val="22"/>
    </w:rPr>
  </w:style>
  <w:style w:type="character" w:customStyle="1" w:styleId="ListParagraphChar">
    <w:name w:val="List Paragraph Char"/>
    <w:link w:val="ListParagraph"/>
    <w:uiPriority w:val="34"/>
    <w:locked/>
    <w:rsid w:val="00C67C9B"/>
    <w:rPr>
      <w:rFonts w:ascii="Arial" w:hAnsi="Arial"/>
      <w:sz w:val="22"/>
    </w:rPr>
  </w:style>
  <w:style w:type="character" w:customStyle="1" w:styleId="normaltextrun">
    <w:name w:val="normaltextrun"/>
    <w:basedOn w:val="DefaultParagraphFont"/>
    <w:rsid w:val="00C67C9B"/>
  </w:style>
  <w:style w:type="numbering" w:customStyle="1" w:styleId="ROPShellNumTables1">
    <w:name w:val="ROPShellNumTables1"/>
    <w:basedOn w:val="NoList"/>
    <w:rsid w:val="00E02068"/>
    <w:pPr>
      <w:numPr>
        <w:numId w:val="1"/>
      </w:numPr>
    </w:pPr>
  </w:style>
  <w:style w:type="paragraph" w:styleId="Revision">
    <w:name w:val="Revision"/>
    <w:hidden/>
    <w:uiPriority w:val="99"/>
    <w:semiHidden/>
    <w:rsid w:val="00675797"/>
    <w:rPr>
      <w:rFonts w:ascii="Arial" w:hAnsi="Arial"/>
      <w:sz w:val="22"/>
    </w:rPr>
  </w:style>
  <w:style w:type="character" w:styleId="UnresolvedMention">
    <w:name w:val="Unresolved Mention"/>
    <w:basedOn w:val="DefaultParagraphFont"/>
    <w:uiPriority w:val="99"/>
    <w:semiHidden/>
    <w:unhideWhenUsed/>
    <w:rsid w:val="0001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1583">
      <w:bodyDiv w:val="1"/>
      <w:marLeft w:val="0"/>
      <w:marRight w:val="0"/>
      <w:marTop w:val="0"/>
      <w:marBottom w:val="0"/>
      <w:divBdr>
        <w:top w:val="none" w:sz="0" w:space="0" w:color="auto"/>
        <w:left w:val="none" w:sz="0" w:space="0" w:color="auto"/>
        <w:bottom w:val="none" w:sz="0" w:space="0" w:color="auto"/>
        <w:right w:val="none" w:sz="0" w:space="0" w:color="auto"/>
      </w:divBdr>
    </w:div>
    <w:div w:id="16070056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6072027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2%7CKarlM%40michigan.gov%7Cb23e2869661f4206f5ad08dc0d36e2fa%7Cd5fb7087377742ad966a892ef47225d1%7C0%7C0%7C638399776598883174%7CUnknown%7CTWFpbGZsb3d8eyJWIjoiMC4wLjAwMDAiLCJQIjoiV2luMzIiLCJBTiI6Ik1haWwiLCJXVCI6Mn0%3D%7C3000%7C%7C%7C&amp;sdata=sI7S0UqkG59BWGyjHbsqGwCBiVk85%2BluEbO5nA3a8fA%3D&amp;reserved=0" TargetMode="External"/><Relationship Id="rId13" Type="http://schemas.openxmlformats.org/officeDocument/2006/relationships/hyperlink" Target="https://www.epa.gov/electronic-reporting-air-emissions/compliance-and-emissions-data-reporting-interface-cedr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dx.ep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64</TotalTime>
  <Pages>37</Pages>
  <Words>16203</Words>
  <Characters>90075</Characters>
  <Application>Microsoft Office Word</Application>
  <DocSecurity>0</DocSecurity>
  <Lines>750</Lines>
  <Paragraphs>212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106066</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11</cp:revision>
  <cp:lastPrinted>2002-09-24T20:30:00Z</cp:lastPrinted>
  <dcterms:created xsi:type="dcterms:W3CDTF">2023-11-16T12:37:00Z</dcterms:created>
  <dcterms:modified xsi:type="dcterms:W3CDTF">2024-02-27T13:21:00Z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