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248F" w14:textId="77777777" w:rsidR="00AF4326" w:rsidRDefault="00AF4326">
      <w:pPr>
        <w:pStyle w:val="Header"/>
        <w:tabs>
          <w:tab w:val="clear" w:pos="4320"/>
          <w:tab w:val="clear" w:pos="8640"/>
        </w:tabs>
        <w:rPr>
          <w:rFonts w:ascii="Arial" w:hAnsi="Arial"/>
          <w:sz w:val="18"/>
        </w:rPr>
      </w:pPr>
    </w:p>
    <w:p w14:paraId="20D4597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E4A0CC9" w14:textId="77777777" w:rsidTr="00240431">
        <w:tc>
          <w:tcPr>
            <w:tcW w:w="2250" w:type="dxa"/>
          </w:tcPr>
          <w:p w14:paraId="0D790A11" w14:textId="77777777" w:rsidR="00AA0D6E" w:rsidRDefault="00AA0D6E" w:rsidP="00AA0D6E">
            <w:pPr>
              <w:jc w:val="center"/>
              <w:rPr>
                <w:rFonts w:ascii="Arial" w:hAnsi="Arial"/>
                <w:sz w:val="16"/>
              </w:rPr>
            </w:pPr>
          </w:p>
        </w:tc>
        <w:tc>
          <w:tcPr>
            <w:tcW w:w="5670" w:type="dxa"/>
          </w:tcPr>
          <w:p w14:paraId="7783EDD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B492043" w14:textId="77777777" w:rsidR="00AA0D6E" w:rsidRDefault="00AA0D6E" w:rsidP="00AA0D6E">
            <w:pPr>
              <w:jc w:val="center"/>
              <w:rPr>
                <w:rFonts w:ascii="Arial" w:hAnsi="Arial"/>
                <w:sz w:val="16"/>
              </w:rPr>
            </w:pPr>
            <w:r>
              <w:rPr>
                <w:rFonts w:ascii="Arial" w:hAnsi="Arial"/>
              </w:rPr>
              <w:t>Air Quality Division</w:t>
            </w:r>
          </w:p>
        </w:tc>
        <w:tc>
          <w:tcPr>
            <w:tcW w:w="2430" w:type="dxa"/>
          </w:tcPr>
          <w:p w14:paraId="5F67703F" w14:textId="77777777" w:rsidR="00AA0D6E" w:rsidRDefault="00AA0D6E" w:rsidP="00AA0D6E">
            <w:pPr>
              <w:jc w:val="center"/>
              <w:rPr>
                <w:rFonts w:ascii="Arial" w:hAnsi="Arial"/>
                <w:b/>
                <w:sz w:val="24"/>
              </w:rPr>
            </w:pPr>
          </w:p>
        </w:tc>
      </w:tr>
      <w:tr w:rsidR="00AA0D6E" w14:paraId="0045967B" w14:textId="77777777" w:rsidTr="00240431">
        <w:trPr>
          <w:cantSplit/>
          <w:trHeight w:val="146"/>
        </w:trPr>
        <w:tc>
          <w:tcPr>
            <w:tcW w:w="2250" w:type="dxa"/>
          </w:tcPr>
          <w:p w14:paraId="19D94414"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3F156A9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3A5F21A"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86443E0" w14:textId="77777777" w:rsidTr="00240431">
        <w:trPr>
          <w:cantSplit/>
          <w:trHeight w:val="145"/>
        </w:trPr>
        <w:tc>
          <w:tcPr>
            <w:tcW w:w="2250" w:type="dxa"/>
          </w:tcPr>
          <w:p w14:paraId="08AAA7A8" w14:textId="616EF53E" w:rsidR="00AA0D6E" w:rsidRPr="00910FEA" w:rsidRDefault="00474DBE" w:rsidP="00AA0D6E">
            <w:pPr>
              <w:pStyle w:val="Header"/>
              <w:jc w:val="center"/>
              <w:rPr>
                <w:rFonts w:ascii="Arial" w:hAnsi="Arial"/>
                <w:sz w:val="22"/>
                <w:szCs w:val="22"/>
              </w:rPr>
            </w:pPr>
            <w:r>
              <w:rPr>
                <w:rFonts w:ascii="Arial" w:hAnsi="Arial"/>
                <w:sz w:val="22"/>
              </w:rPr>
              <w:t>M4734</w:t>
            </w:r>
          </w:p>
        </w:tc>
        <w:tc>
          <w:tcPr>
            <w:tcW w:w="5670" w:type="dxa"/>
          </w:tcPr>
          <w:p w14:paraId="15EE89A3"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B22FD81" w14:textId="308B8654" w:rsidR="00AA0D6E" w:rsidRPr="00910FEA" w:rsidRDefault="00474DBE" w:rsidP="00AA0D6E">
            <w:pPr>
              <w:pStyle w:val="Header"/>
              <w:jc w:val="center"/>
              <w:rPr>
                <w:rFonts w:ascii="Arial" w:hAnsi="Arial"/>
                <w:sz w:val="22"/>
                <w:szCs w:val="22"/>
              </w:rPr>
            </w:pPr>
            <w:r>
              <w:rPr>
                <w:rFonts w:ascii="Arial" w:hAnsi="Arial"/>
                <w:sz w:val="22"/>
                <w:szCs w:val="22"/>
              </w:rPr>
              <w:t>MI-ROP-M4734-20</w:t>
            </w:r>
            <w:r w:rsidR="00F31EF2">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8A6866">
              <w:rPr>
                <w:rFonts w:ascii="Arial" w:hAnsi="Arial"/>
                <w:sz w:val="22"/>
                <w:szCs w:val="22"/>
              </w:rPr>
            </w:r>
            <w:r w:rsidR="008A6866">
              <w:rPr>
                <w:rFonts w:ascii="Arial" w:hAnsi="Arial"/>
                <w:sz w:val="22"/>
                <w:szCs w:val="22"/>
              </w:rPr>
              <w:fldChar w:fldCharType="separate"/>
            </w:r>
            <w:r w:rsidR="00AA0D6E" w:rsidRPr="00910FEA">
              <w:rPr>
                <w:rFonts w:ascii="Arial" w:hAnsi="Arial"/>
                <w:sz w:val="22"/>
                <w:szCs w:val="22"/>
              </w:rPr>
              <w:fldChar w:fldCharType="end"/>
            </w:r>
            <w:bookmarkEnd w:id="0"/>
          </w:p>
        </w:tc>
      </w:tr>
    </w:tbl>
    <w:p w14:paraId="098CA9F1" w14:textId="77777777" w:rsidR="00AF4326" w:rsidRDefault="00AF4326">
      <w:pPr>
        <w:rPr>
          <w:rFonts w:ascii="Arial" w:hAnsi="Arial"/>
          <w:color w:val="000000"/>
          <w:sz w:val="14"/>
        </w:rPr>
      </w:pPr>
    </w:p>
    <w:p w14:paraId="7460338D" w14:textId="77777777" w:rsidR="00AF4326" w:rsidRDefault="00AF4326">
      <w:pPr>
        <w:jc w:val="center"/>
        <w:rPr>
          <w:rFonts w:ascii="Arial" w:hAnsi="Arial"/>
          <w:sz w:val="22"/>
        </w:rPr>
      </w:pPr>
    </w:p>
    <w:p w14:paraId="676C4D44" w14:textId="77777777" w:rsidR="00474DBE" w:rsidRPr="002A0FD9" w:rsidRDefault="00474DBE" w:rsidP="00474DBE">
      <w:pPr>
        <w:jc w:val="center"/>
        <w:rPr>
          <w:rFonts w:ascii="Arial" w:hAnsi="Arial"/>
          <w:b/>
          <w:sz w:val="22"/>
          <w:szCs w:val="22"/>
        </w:rPr>
      </w:pPr>
      <w:bookmarkStart w:id="1" w:name="bCompanyName"/>
      <w:r w:rsidRPr="002A0FD9">
        <w:rPr>
          <w:rFonts w:ascii="Arial" w:hAnsi="Arial"/>
          <w:b/>
          <w:sz w:val="22"/>
          <w:szCs w:val="22"/>
        </w:rPr>
        <w:t xml:space="preserve">Ford Motor Company </w:t>
      </w:r>
    </w:p>
    <w:p w14:paraId="40DD0710" w14:textId="77777777" w:rsidR="00474DBE" w:rsidRPr="002A0FD9" w:rsidRDefault="00474DBE" w:rsidP="00474DBE">
      <w:pPr>
        <w:jc w:val="center"/>
        <w:rPr>
          <w:rFonts w:ascii="Arial" w:hAnsi="Arial"/>
          <w:b/>
          <w:sz w:val="22"/>
          <w:szCs w:val="22"/>
        </w:rPr>
      </w:pPr>
      <w:r w:rsidRPr="002A0FD9">
        <w:rPr>
          <w:rFonts w:ascii="Arial" w:hAnsi="Arial"/>
          <w:b/>
          <w:sz w:val="22"/>
          <w:szCs w:val="22"/>
        </w:rPr>
        <w:t>Automatic Transmission New Product Center</w:t>
      </w:r>
    </w:p>
    <w:bookmarkEnd w:id="1"/>
    <w:p w14:paraId="78677D0D" w14:textId="77777777" w:rsidR="00AF4326" w:rsidRDefault="00AF4326">
      <w:pPr>
        <w:rPr>
          <w:rFonts w:ascii="Arial" w:hAnsi="Arial"/>
          <w:sz w:val="22"/>
        </w:rPr>
      </w:pPr>
    </w:p>
    <w:p w14:paraId="35354AEB" w14:textId="77777777" w:rsidR="00AF4326" w:rsidRDefault="00AF4326">
      <w:pPr>
        <w:jc w:val="center"/>
        <w:rPr>
          <w:rFonts w:ascii="Arial" w:hAnsi="Arial"/>
          <w:sz w:val="22"/>
        </w:rPr>
      </w:pPr>
    </w:p>
    <w:p w14:paraId="5887E220" w14:textId="6BB0DD8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474DBE">
        <w:rPr>
          <w:rFonts w:ascii="Arial" w:hAnsi="Arial"/>
          <w:sz w:val="22"/>
        </w:rPr>
        <w:t>M4734</w:t>
      </w:r>
    </w:p>
    <w:p w14:paraId="6FFACDC6" w14:textId="77777777" w:rsidR="00AF4326" w:rsidRDefault="00AF4326">
      <w:pPr>
        <w:jc w:val="center"/>
        <w:rPr>
          <w:rFonts w:ascii="Arial" w:hAnsi="Arial"/>
          <w:sz w:val="22"/>
        </w:rPr>
      </w:pPr>
    </w:p>
    <w:p w14:paraId="03B5113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461BD80" w14:textId="77777777" w:rsidR="006240B1" w:rsidRDefault="006240B1">
      <w:pPr>
        <w:jc w:val="center"/>
        <w:outlineLvl w:val="0"/>
        <w:rPr>
          <w:rFonts w:ascii="Arial" w:hAnsi="Arial"/>
          <w:sz w:val="22"/>
        </w:rPr>
      </w:pPr>
    </w:p>
    <w:p w14:paraId="5E68EFF1" w14:textId="77777777" w:rsidR="00474DBE" w:rsidRDefault="00474DBE" w:rsidP="00474DBE">
      <w:pPr>
        <w:jc w:val="center"/>
        <w:rPr>
          <w:rFonts w:ascii="Arial" w:hAnsi="Arial"/>
          <w:sz w:val="22"/>
        </w:rPr>
      </w:pPr>
      <w:r w:rsidRPr="00631EFA">
        <w:rPr>
          <w:rFonts w:ascii="Arial" w:hAnsi="Arial"/>
          <w:sz w:val="22"/>
        </w:rPr>
        <w:t>35500 Plymouth Road, Livonia, Wayne County, Michigan 48150</w:t>
      </w:r>
    </w:p>
    <w:p w14:paraId="21BA9939" w14:textId="77777777" w:rsidR="00AF4326" w:rsidRDefault="00AF4326">
      <w:pPr>
        <w:jc w:val="center"/>
        <w:rPr>
          <w:rFonts w:ascii="Arial" w:hAnsi="Arial"/>
          <w:sz w:val="22"/>
        </w:rPr>
      </w:pPr>
    </w:p>
    <w:p w14:paraId="0E94D582" w14:textId="69A6BF3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474DBE">
        <w:rPr>
          <w:rFonts w:ascii="Arial" w:hAnsi="Arial"/>
          <w:sz w:val="22"/>
        </w:rPr>
        <w:t>MI-ROP-M4734-2</w:t>
      </w:r>
      <w:r w:rsidR="00F31EF2">
        <w:rPr>
          <w:rFonts w:ascii="Arial" w:hAnsi="Arial"/>
          <w:sz w:val="22"/>
        </w:rPr>
        <w:t>024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ECF9FBC" w14:textId="77777777" w:rsidR="00AF4326" w:rsidRDefault="00AF4326">
      <w:pPr>
        <w:ind w:left="3150"/>
        <w:rPr>
          <w:rFonts w:ascii="Arial" w:hAnsi="Arial"/>
          <w:sz w:val="22"/>
        </w:rPr>
      </w:pPr>
    </w:p>
    <w:p w14:paraId="7E2FE262" w14:textId="229BB73A"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32561D">
        <w:rPr>
          <w:rFonts w:ascii="Arial" w:hAnsi="Arial"/>
          <w:sz w:val="22"/>
        </w:rPr>
        <w:t>April 2</w:t>
      </w:r>
      <w:r w:rsidR="00144052">
        <w:rPr>
          <w:rFonts w:ascii="Arial" w:hAnsi="Arial"/>
          <w:sz w:val="22"/>
        </w:rPr>
        <w:t>2</w:t>
      </w:r>
      <w:r w:rsidR="0032561D">
        <w:rPr>
          <w:rFonts w:ascii="Arial" w:hAnsi="Arial"/>
          <w:sz w:val="22"/>
        </w:rPr>
        <w:t>, 2024</w:t>
      </w:r>
    </w:p>
    <w:p w14:paraId="1BA6B596" w14:textId="77777777" w:rsidR="00DB5924" w:rsidRPr="007129B8" w:rsidRDefault="00DB5924">
      <w:pPr>
        <w:pStyle w:val="BodyText"/>
      </w:pPr>
    </w:p>
    <w:p w14:paraId="6590F57C" w14:textId="77777777" w:rsidR="00644884" w:rsidRDefault="00644884" w:rsidP="00DB5924">
      <w:pPr>
        <w:jc w:val="both"/>
        <w:rPr>
          <w:rFonts w:ascii="Arial" w:hAnsi="Arial"/>
          <w:sz w:val="22"/>
        </w:rPr>
      </w:pPr>
    </w:p>
    <w:p w14:paraId="05268685" w14:textId="77777777" w:rsidR="00644884" w:rsidRDefault="00644884" w:rsidP="00DB5924">
      <w:pPr>
        <w:jc w:val="both"/>
        <w:rPr>
          <w:rFonts w:ascii="Arial" w:hAnsi="Arial"/>
          <w:sz w:val="22"/>
        </w:rPr>
      </w:pPr>
    </w:p>
    <w:p w14:paraId="32034215" w14:textId="77777777" w:rsidR="00644884" w:rsidRDefault="00644884" w:rsidP="00DB5924">
      <w:pPr>
        <w:jc w:val="both"/>
        <w:rPr>
          <w:rFonts w:ascii="Arial" w:hAnsi="Arial"/>
          <w:sz w:val="22"/>
        </w:rPr>
      </w:pPr>
    </w:p>
    <w:p w14:paraId="420AE816"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7766045" w14:textId="77777777" w:rsidR="00AF4326" w:rsidRDefault="00AF4326">
      <w:pPr>
        <w:rPr>
          <w:rFonts w:ascii="Arial" w:hAnsi="Arial"/>
          <w:sz w:val="22"/>
        </w:rPr>
      </w:pPr>
    </w:p>
    <w:p w14:paraId="53580D75" w14:textId="77777777" w:rsidR="00AF4326" w:rsidRDefault="00AF4326">
      <w:pPr>
        <w:rPr>
          <w:rFonts w:ascii="Arial" w:hAnsi="Arial"/>
          <w:sz w:val="22"/>
        </w:rPr>
      </w:pPr>
    </w:p>
    <w:p w14:paraId="74092BE6" w14:textId="77777777" w:rsidR="00AF4326" w:rsidRDefault="00AF4326">
      <w:pPr>
        <w:rPr>
          <w:rFonts w:ascii="Arial" w:hAnsi="Arial"/>
          <w:sz w:val="22"/>
        </w:rPr>
      </w:pPr>
    </w:p>
    <w:p w14:paraId="1EE61410" w14:textId="77777777" w:rsidR="00AF4326" w:rsidRDefault="00AF4326">
      <w:pPr>
        <w:rPr>
          <w:rFonts w:ascii="Arial" w:hAnsi="Arial"/>
          <w:sz w:val="22"/>
        </w:rPr>
      </w:pPr>
    </w:p>
    <w:p w14:paraId="7B9C66E0" w14:textId="77777777" w:rsidR="00AF4326" w:rsidRDefault="00AF4326">
      <w:pPr>
        <w:rPr>
          <w:rFonts w:ascii="Arial" w:hAnsi="Arial"/>
          <w:sz w:val="22"/>
        </w:rPr>
      </w:pPr>
    </w:p>
    <w:p w14:paraId="3A23A100" w14:textId="77777777" w:rsidR="00AF4326" w:rsidRDefault="00AF4326">
      <w:pPr>
        <w:rPr>
          <w:rFonts w:ascii="Arial" w:hAnsi="Arial"/>
          <w:sz w:val="22"/>
        </w:rPr>
      </w:pPr>
    </w:p>
    <w:p w14:paraId="03E46022" w14:textId="77777777" w:rsidR="00DB5924" w:rsidRDefault="00DB5924">
      <w:pPr>
        <w:rPr>
          <w:rFonts w:ascii="Arial" w:hAnsi="Arial"/>
          <w:sz w:val="22"/>
        </w:rPr>
      </w:pPr>
    </w:p>
    <w:p w14:paraId="6B48B7BD" w14:textId="77777777" w:rsidR="00DB5924" w:rsidRDefault="00DB5924">
      <w:pPr>
        <w:rPr>
          <w:rFonts w:ascii="Arial" w:hAnsi="Arial"/>
          <w:sz w:val="22"/>
        </w:rPr>
      </w:pPr>
    </w:p>
    <w:p w14:paraId="5FBDC120" w14:textId="77777777" w:rsidR="00DB5924" w:rsidRDefault="00DB5924">
      <w:pPr>
        <w:rPr>
          <w:rFonts w:ascii="Arial" w:hAnsi="Arial"/>
          <w:sz w:val="22"/>
        </w:rPr>
      </w:pPr>
    </w:p>
    <w:p w14:paraId="0DA6BF05" w14:textId="77777777" w:rsidR="00DB5924" w:rsidRDefault="00DB5924">
      <w:pPr>
        <w:rPr>
          <w:rFonts w:ascii="Arial" w:hAnsi="Arial"/>
          <w:sz w:val="22"/>
        </w:rPr>
      </w:pPr>
    </w:p>
    <w:p w14:paraId="50FAE6DA" w14:textId="77777777" w:rsidR="00DB5924" w:rsidRDefault="00DB5924">
      <w:pPr>
        <w:rPr>
          <w:rFonts w:ascii="Arial" w:hAnsi="Arial"/>
          <w:sz w:val="22"/>
        </w:rPr>
      </w:pPr>
    </w:p>
    <w:p w14:paraId="44771056" w14:textId="77777777" w:rsidR="00DB5924" w:rsidRDefault="00DB5924">
      <w:pPr>
        <w:rPr>
          <w:rFonts w:ascii="Arial" w:hAnsi="Arial"/>
          <w:sz w:val="22"/>
        </w:rPr>
      </w:pPr>
    </w:p>
    <w:p w14:paraId="26BA9699" w14:textId="77777777" w:rsidR="00DB5924" w:rsidRDefault="00DB5924">
      <w:pPr>
        <w:rPr>
          <w:rFonts w:ascii="Arial" w:hAnsi="Arial"/>
          <w:sz w:val="22"/>
        </w:rPr>
      </w:pPr>
    </w:p>
    <w:p w14:paraId="5F303FE0" w14:textId="77777777" w:rsidR="00DB5924" w:rsidRDefault="00DB5924">
      <w:pPr>
        <w:rPr>
          <w:rFonts w:ascii="Arial" w:hAnsi="Arial"/>
          <w:sz w:val="22"/>
        </w:rPr>
      </w:pPr>
    </w:p>
    <w:p w14:paraId="590F5B7A" w14:textId="77777777" w:rsidR="00AF4326" w:rsidRDefault="00AF4326">
      <w:pPr>
        <w:rPr>
          <w:rFonts w:ascii="Arial" w:hAnsi="Arial"/>
          <w:sz w:val="22"/>
        </w:rPr>
      </w:pPr>
    </w:p>
    <w:p w14:paraId="3D352EC3" w14:textId="77777777" w:rsidR="00AF4326" w:rsidRDefault="00AF4326">
      <w:pPr>
        <w:rPr>
          <w:rFonts w:ascii="Arial" w:hAnsi="Arial"/>
          <w:sz w:val="22"/>
        </w:rPr>
      </w:pPr>
    </w:p>
    <w:p w14:paraId="3C4FC7B5" w14:textId="77777777" w:rsidR="00AF4326" w:rsidRDefault="00AF4326">
      <w:pPr>
        <w:rPr>
          <w:rFonts w:ascii="Arial" w:hAnsi="Arial"/>
          <w:sz w:val="22"/>
        </w:rPr>
      </w:pPr>
    </w:p>
    <w:p w14:paraId="5BAD2E90" w14:textId="77777777" w:rsidR="00644884" w:rsidRDefault="00644884">
      <w:pPr>
        <w:rPr>
          <w:rFonts w:ascii="Arial" w:hAnsi="Arial"/>
          <w:sz w:val="22"/>
        </w:rPr>
      </w:pPr>
    </w:p>
    <w:p w14:paraId="1DE032EA" w14:textId="77777777" w:rsidR="00AF4326" w:rsidRDefault="00644884" w:rsidP="00644884">
      <w:pPr>
        <w:rPr>
          <w:rFonts w:ascii="Arial" w:hAnsi="Arial"/>
          <w:sz w:val="22"/>
        </w:rPr>
      </w:pPr>
      <w:r>
        <w:rPr>
          <w:rFonts w:ascii="Arial" w:hAnsi="Arial"/>
          <w:sz w:val="22"/>
        </w:rPr>
        <w:br w:type="page"/>
      </w:r>
    </w:p>
    <w:p w14:paraId="3D0E045D" w14:textId="77777777" w:rsidR="00AF4326" w:rsidRDefault="00AF4326">
      <w:pPr>
        <w:jc w:val="center"/>
        <w:outlineLvl w:val="0"/>
        <w:rPr>
          <w:rFonts w:ascii="Arial" w:hAnsi="Arial"/>
          <w:b/>
          <w:sz w:val="22"/>
        </w:rPr>
      </w:pPr>
      <w:r>
        <w:rPr>
          <w:rFonts w:ascii="Arial" w:hAnsi="Arial"/>
          <w:b/>
          <w:sz w:val="22"/>
        </w:rPr>
        <w:lastRenderedPageBreak/>
        <w:t>TABLE OF CONTENTS</w:t>
      </w:r>
    </w:p>
    <w:p w14:paraId="09CA002C" w14:textId="67C3DE85" w:rsidR="008A6866" w:rsidRDefault="00AF4326">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"1-8" </w:instrText>
      </w:r>
      <w:r>
        <w:fldChar w:fldCharType="separate"/>
      </w:r>
      <w:r w:rsidR="008A6866">
        <w:rPr>
          <w:noProof/>
        </w:rPr>
        <w:t>APRIL 22, 2024 - STAFF REPORT</w:t>
      </w:r>
      <w:r w:rsidR="008A6866">
        <w:rPr>
          <w:noProof/>
        </w:rPr>
        <w:tab/>
      </w:r>
      <w:r w:rsidR="008A6866">
        <w:rPr>
          <w:noProof/>
        </w:rPr>
        <w:fldChar w:fldCharType="begin"/>
      </w:r>
      <w:r w:rsidR="008A6866">
        <w:rPr>
          <w:noProof/>
        </w:rPr>
        <w:instrText xml:space="preserve"> PAGEREF _Toc171504242 \h </w:instrText>
      </w:r>
      <w:r w:rsidR="008A6866">
        <w:rPr>
          <w:noProof/>
        </w:rPr>
      </w:r>
      <w:r w:rsidR="008A6866">
        <w:rPr>
          <w:noProof/>
        </w:rPr>
        <w:fldChar w:fldCharType="separate"/>
      </w:r>
      <w:r w:rsidR="008A6866">
        <w:rPr>
          <w:noProof/>
        </w:rPr>
        <w:t>3</w:t>
      </w:r>
      <w:r w:rsidR="008A6866">
        <w:rPr>
          <w:noProof/>
        </w:rPr>
        <w:fldChar w:fldCharType="end"/>
      </w:r>
    </w:p>
    <w:p w14:paraId="25754325" w14:textId="52F363B8" w:rsidR="008A6866" w:rsidRDefault="008A6866">
      <w:pPr>
        <w:pStyle w:val="TOC1"/>
        <w:rPr>
          <w:rFonts w:asciiTheme="minorHAnsi" w:eastAsiaTheme="minorEastAsia" w:hAnsiTheme="minorHAnsi" w:cstheme="minorBidi"/>
          <w:b w:val="0"/>
          <w:noProof/>
          <w:kern w:val="2"/>
          <w:sz w:val="24"/>
          <w:szCs w:val="24"/>
          <w14:ligatures w14:val="standardContextual"/>
        </w:rPr>
      </w:pPr>
      <w:r>
        <w:rPr>
          <w:noProof/>
        </w:rPr>
        <w:t>May 23, 2024 - STAFF REPORT ADDENDUM</w:t>
      </w:r>
      <w:r>
        <w:rPr>
          <w:noProof/>
        </w:rPr>
        <w:tab/>
      </w:r>
      <w:r>
        <w:rPr>
          <w:noProof/>
        </w:rPr>
        <w:fldChar w:fldCharType="begin"/>
      </w:r>
      <w:r>
        <w:rPr>
          <w:noProof/>
        </w:rPr>
        <w:instrText xml:space="preserve"> PAGEREF _Toc171504243 \h </w:instrText>
      </w:r>
      <w:r>
        <w:rPr>
          <w:noProof/>
        </w:rPr>
      </w:r>
      <w:r>
        <w:rPr>
          <w:noProof/>
        </w:rPr>
        <w:fldChar w:fldCharType="separate"/>
      </w:r>
      <w:r>
        <w:rPr>
          <w:noProof/>
        </w:rPr>
        <w:t>11</w:t>
      </w:r>
      <w:r>
        <w:rPr>
          <w:noProof/>
        </w:rPr>
        <w:fldChar w:fldCharType="end"/>
      </w:r>
    </w:p>
    <w:p w14:paraId="31AB204F" w14:textId="1E9DADE6"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608E3F1F" w14:textId="77777777" w:rsidTr="004577DE">
        <w:tc>
          <w:tcPr>
            <w:tcW w:w="2250" w:type="dxa"/>
          </w:tcPr>
          <w:p w14:paraId="0D033F3C" w14:textId="77777777" w:rsidR="004577DE" w:rsidRDefault="004577DE" w:rsidP="004577DE">
            <w:pPr>
              <w:ind w:right="252"/>
              <w:jc w:val="center"/>
              <w:rPr>
                <w:rFonts w:ascii="Arial" w:hAnsi="Arial"/>
                <w:sz w:val="16"/>
              </w:rPr>
            </w:pPr>
          </w:p>
        </w:tc>
        <w:tc>
          <w:tcPr>
            <w:tcW w:w="5940" w:type="dxa"/>
          </w:tcPr>
          <w:p w14:paraId="509D8DAE"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7511E7B" w14:textId="77777777" w:rsidR="004577DE" w:rsidRDefault="004577DE" w:rsidP="00C65371">
            <w:pPr>
              <w:jc w:val="center"/>
              <w:rPr>
                <w:rFonts w:ascii="Arial" w:hAnsi="Arial"/>
                <w:sz w:val="16"/>
              </w:rPr>
            </w:pPr>
            <w:r>
              <w:rPr>
                <w:rFonts w:ascii="Arial" w:hAnsi="Arial"/>
              </w:rPr>
              <w:t>Air Quality Division</w:t>
            </w:r>
          </w:p>
        </w:tc>
        <w:tc>
          <w:tcPr>
            <w:tcW w:w="2374" w:type="dxa"/>
          </w:tcPr>
          <w:p w14:paraId="0E0B3F76" w14:textId="77777777" w:rsidR="004577DE" w:rsidRDefault="004577DE" w:rsidP="00C65371">
            <w:pPr>
              <w:ind w:left="-73"/>
              <w:jc w:val="center"/>
              <w:rPr>
                <w:rFonts w:ascii="Arial" w:hAnsi="Arial"/>
                <w:sz w:val="16"/>
              </w:rPr>
            </w:pPr>
          </w:p>
        </w:tc>
      </w:tr>
      <w:tr w:rsidR="004577DE" w:rsidRPr="00DB5924" w14:paraId="233B7FEB" w14:textId="77777777" w:rsidTr="004577DE">
        <w:trPr>
          <w:cantSplit/>
          <w:trHeight w:val="333"/>
        </w:trPr>
        <w:tc>
          <w:tcPr>
            <w:tcW w:w="2250" w:type="dxa"/>
          </w:tcPr>
          <w:p w14:paraId="4C187D60"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28EA20A"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4EB557E"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14A050E" w14:textId="77777777" w:rsidTr="004577DE">
        <w:trPr>
          <w:cantSplit/>
          <w:trHeight w:val="428"/>
        </w:trPr>
        <w:tc>
          <w:tcPr>
            <w:tcW w:w="2250" w:type="dxa"/>
            <w:tcBorders>
              <w:bottom w:val="nil"/>
            </w:tcBorders>
          </w:tcPr>
          <w:p w14:paraId="3CA7163D" w14:textId="6442D77A" w:rsidR="004577DE" w:rsidRPr="00910FEA" w:rsidRDefault="00474DBE" w:rsidP="00C65371">
            <w:pPr>
              <w:pStyle w:val="Header"/>
              <w:jc w:val="center"/>
              <w:rPr>
                <w:rFonts w:ascii="Arial" w:hAnsi="Arial"/>
                <w:sz w:val="22"/>
                <w:szCs w:val="22"/>
              </w:rPr>
            </w:pPr>
            <w:r>
              <w:rPr>
                <w:rFonts w:ascii="Arial" w:hAnsi="Arial"/>
                <w:sz w:val="22"/>
                <w:szCs w:val="22"/>
              </w:rPr>
              <w:t>M4734</w:t>
            </w:r>
          </w:p>
        </w:tc>
        <w:tc>
          <w:tcPr>
            <w:tcW w:w="5940" w:type="dxa"/>
            <w:tcBorders>
              <w:bottom w:val="nil"/>
            </w:tcBorders>
          </w:tcPr>
          <w:p w14:paraId="1AECF502" w14:textId="2E5064C3" w:rsidR="004577DE" w:rsidRPr="0057400E" w:rsidRDefault="0032561D" w:rsidP="00C65371">
            <w:pPr>
              <w:pStyle w:val="Heading1"/>
              <w:spacing w:before="120"/>
              <w:rPr>
                <w:sz w:val="22"/>
                <w:szCs w:val="22"/>
              </w:rPr>
            </w:pPr>
            <w:bookmarkStart w:id="2" w:name="_Toc183429900"/>
            <w:bookmarkStart w:id="3" w:name="_Toc183430200"/>
            <w:bookmarkStart w:id="4" w:name="_Toc323287074"/>
            <w:bookmarkStart w:id="5" w:name="_Toc69376577"/>
            <w:bookmarkStart w:id="6" w:name="_Toc171504242"/>
            <w:r>
              <w:rPr>
                <w:sz w:val="22"/>
                <w:szCs w:val="22"/>
              </w:rPr>
              <w:t>APRIL 2</w:t>
            </w:r>
            <w:r w:rsidR="00144052">
              <w:rPr>
                <w:sz w:val="22"/>
                <w:szCs w:val="22"/>
              </w:rPr>
              <w:t>2</w:t>
            </w:r>
            <w:r>
              <w:rPr>
                <w:sz w:val="22"/>
                <w:szCs w:val="22"/>
              </w:rPr>
              <w:t>, 2024</w:t>
            </w:r>
            <w:r w:rsidRPr="00983014">
              <w:rPr>
                <w:sz w:val="22"/>
                <w:szCs w:val="22"/>
              </w:rPr>
              <w:t xml:space="preserve"> </w:t>
            </w:r>
            <w:r w:rsidR="004577DE">
              <w:rPr>
                <w:sz w:val="22"/>
                <w:szCs w:val="22"/>
              </w:rPr>
              <w:t>- S</w:t>
            </w:r>
            <w:r w:rsidR="004577DE" w:rsidRPr="0057400E">
              <w:rPr>
                <w:sz w:val="22"/>
                <w:szCs w:val="22"/>
              </w:rPr>
              <w:t>TAFF REPORT</w:t>
            </w:r>
            <w:bookmarkEnd w:id="2"/>
            <w:bookmarkEnd w:id="3"/>
            <w:bookmarkEnd w:id="4"/>
            <w:bookmarkEnd w:id="5"/>
            <w:bookmarkEnd w:id="6"/>
          </w:p>
        </w:tc>
        <w:tc>
          <w:tcPr>
            <w:tcW w:w="2374" w:type="dxa"/>
            <w:tcBorders>
              <w:bottom w:val="nil"/>
            </w:tcBorders>
          </w:tcPr>
          <w:p w14:paraId="0F801FA0" w14:textId="3C180E7F" w:rsidR="004577DE" w:rsidRPr="00910FEA" w:rsidRDefault="00474DBE" w:rsidP="00C65371">
            <w:pPr>
              <w:pStyle w:val="Header"/>
              <w:jc w:val="center"/>
              <w:rPr>
                <w:rFonts w:ascii="Arial" w:hAnsi="Arial"/>
                <w:b/>
                <w:sz w:val="22"/>
                <w:szCs w:val="22"/>
              </w:rPr>
            </w:pPr>
            <w:r>
              <w:rPr>
                <w:rFonts w:ascii="Arial" w:hAnsi="Arial"/>
                <w:sz w:val="22"/>
                <w:szCs w:val="22"/>
              </w:rPr>
              <w:t>MI-ROP-M4734-20</w:t>
            </w:r>
            <w:r w:rsidR="00F31EF2">
              <w:rPr>
                <w:rFonts w:ascii="Arial" w:hAnsi="Arial"/>
                <w:sz w:val="22"/>
                <w:szCs w:val="22"/>
              </w:rPr>
              <w:t>24</w:t>
            </w:r>
          </w:p>
        </w:tc>
      </w:tr>
    </w:tbl>
    <w:p w14:paraId="4FB0D250" w14:textId="77777777" w:rsidR="0024506D" w:rsidRDefault="0024506D" w:rsidP="00EE5339">
      <w:pPr>
        <w:pStyle w:val="Header"/>
        <w:tabs>
          <w:tab w:val="clear" w:pos="4320"/>
          <w:tab w:val="clear" w:pos="8640"/>
        </w:tabs>
        <w:rPr>
          <w:rFonts w:ascii="Arial" w:hAnsi="Arial"/>
          <w:sz w:val="22"/>
        </w:rPr>
      </w:pPr>
    </w:p>
    <w:p w14:paraId="18AB9174" w14:textId="77777777"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14:paraId="08F7D833" w14:textId="77777777" w:rsidR="00AF4326" w:rsidRPr="00290754" w:rsidRDefault="00AF4326">
      <w:pPr>
        <w:jc w:val="both"/>
        <w:rPr>
          <w:rFonts w:ascii="Arial" w:hAnsi="Arial" w:cs="Arial"/>
          <w:sz w:val="22"/>
          <w:szCs w:val="22"/>
        </w:rPr>
      </w:pPr>
    </w:p>
    <w:p w14:paraId="272DD3D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4242171" w14:textId="77777777" w:rsidR="00DB5924" w:rsidRPr="00290754" w:rsidRDefault="00DB5924" w:rsidP="00167B85">
      <w:pPr>
        <w:jc w:val="both"/>
        <w:rPr>
          <w:rFonts w:ascii="Arial" w:hAnsi="Arial" w:cs="Arial"/>
          <w:sz w:val="22"/>
          <w:szCs w:val="22"/>
        </w:rPr>
      </w:pPr>
    </w:p>
    <w:p w14:paraId="1923B31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99A0DF7" w14:textId="77777777" w:rsidR="00DB5924" w:rsidRPr="00290754" w:rsidRDefault="00DB5924" w:rsidP="00DB5924">
      <w:pPr>
        <w:rPr>
          <w:rFonts w:ascii="Arial" w:hAnsi="Arial" w:cs="Arial"/>
          <w:sz w:val="22"/>
          <w:szCs w:val="22"/>
        </w:rPr>
      </w:pPr>
    </w:p>
    <w:p w14:paraId="76166E54" w14:textId="77777777"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14:paraId="55939628"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8522113" w14:textId="77777777" w:rsidTr="00474DBE">
        <w:tc>
          <w:tcPr>
            <w:tcW w:w="5040" w:type="dxa"/>
          </w:tcPr>
          <w:p w14:paraId="19F4704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950FACF" w14:textId="77777777" w:rsidR="00474DBE" w:rsidRPr="00875130" w:rsidRDefault="00474DBE" w:rsidP="00474DBE">
            <w:pPr>
              <w:rPr>
                <w:rFonts w:ascii="Arial" w:hAnsi="Arial" w:cs="Arial"/>
                <w:sz w:val="22"/>
                <w:szCs w:val="22"/>
              </w:rPr>
            </w:pPr>
            <w:r w:rsidRPr="00875130">
              <w:rPr>
                <w:rFonts w:ascii="Arial" w:hAnsi="Arial" w:cs="Arial"/>
                <w:sz w:val="22"/>
                <w:szCs w:val="22"/>
              </w:rPr>
              <w:t xml:space="preserve">Ford Motor Company </w:t>
            </w:r>
          </w:p>
          <w:p w14:paraId="62B2C963" w14:textId="77777777" w:rsidR="00474DBE" w:rsidRPr="00875130" w:rsidRDefault="00474DBE" w:rsidP="00474DBE">
            <w:pPr>
              <w:rPr>
                <w:rFonts w:ascii="Arial" w:hAnsi="Arial" w:cs="Arial"/>
                <w:sz w:val="22"/>
                <w:szCs w:val="22"/>
              </w:rPr>
            </w:pPr>
            <w:r w:rsidRPr="00875130">
              <w:rPr>
                <w:rFonts w:ascii="Arial" w:hAnsi="Arial" w:cs="Arial"/>
                <w:sz w:val="22"/>
                <w:szCs w:val="22"/>
              </w:rPr>
              <w:t>Automatic Transmission New Product Center</w:t>
            </w:r>
          </w:p>
          <w:p w14:paraId="7FE4D445" w14:textId="77777777" w:rsidR="00474DBE" w:rsidRPr="00875130" w:rsidRDefault="00474DBE" w:rsidP="00474DBE">
            <w:pPr>
              <w:rPr>
                <w:rFonts w:ascii="Arial" w:hAnsi="Arial" w:cs="Arial"/>
                <w:sz w:val="22"/>
                <w:szCs w:val="22"/>
              </w:rPr>
            </w:pPr>
            <w:r w:rsidRPr="00875130">
              <w:rPr>
                <w:rFonts w:ascii="Arial" w:hAnsi="Arial" w:cs="Arial"/>
                <w:sz w:val="22"/>
                <w:szCs w:val="22"/>
              </w:rPr>
              <w:t>35500 Plymouth Road</w:t>
            </w:r>
          </w:p>
          <w:p w14:paraId="54DE899D" w14:textId="08B05E32" w:rsidR="00AF4326" w:rsidRPr="00290754" w:rsidRDefault="00474DBE" w:rsidP="00474DBE">
            <w:pPr>
              <w:rPr>
                <w:rFonts w:ascii="Arial" w:hAnsi="Arial" w:cs="Arial"/>
                <w:sz w:val="22"/>
                <w:szCs w:val="22"/>
              </w:rPr>
            </w:pPr>
            <w:r w:rsidRPr="00875130">
              <w:rPr>
                <w:rFonts w:ascii="Arial" w:hAnsi="Arial" w:cs="Arial"/>
                <w:sz w:val="22"/>
                <w:szCs w:val="22"/>
              </w:rPr>
              <w:t>Livonia, Michigan 48150</w:t>
            </w:r>
            <w:r w:rsidR="00AF4326" w:rsidRPr="00290754">
              <w:rPr>
                <w:rFonts w:ascii="Arial" w:hAnsi="Arial" w:cs="Arial"/>
                <w:sz w:val="22"/>
                <w:szCs w:val="22"/>
              </w:rPr>
              <w:t xml:space="preserve"> </w:t>
            </w:r>
          </w:p>
        </w:tc>
      </w:tr>
      <w:tr w:rsidR="00AF4326" w:rsidRPr="00290754" w14:paraId="41F0ABBE" w14:textId="77777777" w:rsidTr="00474DBE">
        <w:trPr>
          <w:trHeight w:val="273"/>
        </w:trPr>
        <w:tc>
          <w:tcPr>
            <w:tcW w:w="5040" w:type="dxa"/>
          </w:tcPr>
          <w:p w14:paraId="01CBDC5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4D030E6" w14:textId="7249D110" w:rsidR="00AF4326" w:rsidRPr="00290754" w:rsidRDefault="00474DBE">
            <w:pPr>
              <w:rPr>
                <w:rFonts w:ascii="Arial" w:hAnsi="Arial" w:cs="Arial"/>
                <w:sz w:val="22"/>
                <w:szCs w:val="22"/>
              </w:rPr>
            </w:pPr>
            <w:r>
              <w:rPr>
                <w:rFonts w:ascii="Arial" w:hAnsi="Arial" w:cs="Arial"/>
                <w:sz w:val="22"/>
                <w:szCs w:val="22"/>
              </w:rPr>
              <w:t>M4734</w:t>
            </w:r>
          </w:p>
        </w:tc>
      </w:tr>
      <w:tr w:rsidR="00AF4326" w:rsidRPr="00290754" w14:paraId="50B77B38" w14:textId="77777777" w:rsidTr="00474DBE">
        <w:tc>
          <w:tcPr>
            <w:tcW w:w="5040" w:type="dxa"/>
          </w:tcPr>
          <w:p w14:paraId="48F96DB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3F3880F" w14:textId="42B7612B" w:rsidR="00AF4326" w:rsidRPr="00290754" w:rsidRDefault="00474DBE">
            <w:pPr>
              <w:rPr>
                <w:rFonts w:ascii="Arial" w:hAnsi="Arial" w:cs="Arial"/>
                <w:sz w:val="22"/>
                <w:szCs w:val="22"/>
              </w:rPr>
            </w:pPr>
            <w:r>
              <w:rPr>
                <w:rFonts w:ascii="Arial" w:hAnsi="Arial" w:cs="Arial"/>
                <w:sz w:val="22"/>
                <w:szCs w:val="22"/>
              </w:rPr>
              <w:t>541712</w:t>
            </w:r>
          </w:p>
        </w:tc>
      </w:tr>
      <w:tr w:rsidR="00AF4326" w:rsidRPr="00290754" w14:paraId="439D319F" w14:textId="77777777" w:rsidTr="00474DBE">
        <w:tc>
          <w:tcPr>
            <w:tcW w:w="5040" w:type="dxa"/>
          </w:tcPr>
          <w:p w14:paraId="29FEF00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44B30D5" w14:textId="73FA3018" w:rsidR="00AF4326" w:rsidRPr="00290754" w:rsidRDefault="00474DBE">
            <w:pPr>
              <w:rPr>
                <w:rFonts w:ascii="Arial" w:hAnsi="Arial" w:cs="Arial"/>
                <w:sz w:val="22"/>
                <w:szCs w:val="22"/>
              </w:rPr>
            </w:pPr>
            <w:r>
              <w:rPr>
                <w:rFonts w:ascii="Arial" w:hAnsi="Arial" w:cs="Arial"/>
                <w:sz w:val="22"/>
                <w:szCs w:val="22"/>
              </w:rPr>
              <w:t>1</w:t>
            </w:r>
          </w:p>
        </w:tc>
      </w:tr>
      <w:tr w:rsidR="00647809" w:rsidRPr="00290754" w14:paraId="58ABFBF6" w14:textId="77777777" w:rsidTr="00474DBE">
        <w:tc>
          <w:tcPr>
            <w:tcW w:w="5040" w:type="dxa"/>
          </w:tcPr>
          <w:p w14:paraId="00857D3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C21D318" w14:textId="15C4B3B8" w:rsidR="00647809" w:rsidRDefault="00F31EF2">
            <w:pPr>
              <w:rPr>
                <w:rFonts w:ascii="Arial" w:hAnsi="Arial" w:cs="Arial"/>
                <w:sz w:val="22"/>
                <w:szCs w:val="22"/>
              </w:rPr>
            </w:pPr>
            <w:r>
              <w:rPr>
                <w:rFonts w:ascii="Arial" w:hAnsi="Arial" w:cs="Arial"/>
                <w:sz w:val="22"/>
                <w:szCs w:val="22"/>
              </w:rPr>
              <w:t>Renewal</w:t>
            </w:r>
          </w:p>
        </w:tc>
      </w:tr>
      <w:tr w:rsidR="00AF4326" w:rsidRPr="00290754" w14:paraId="52D8A174" w14:textId="77777777" w:rsidTr="00474DBE">
        <w:tc>
          <w:tcPr>
            <w:tcW w:w="5040" w:type="dxa"/>
          </w:tcPr>
          <w:p w14:paraId="58EDF33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B980A87" w14:textId="27551B96" w:rsidR="00AF4326" w:rsidRPr="00290754" w:rsidRDefault="00474DBE">
            <w:pPr>
              <w:rPr>
                <w:rFonts w:ascii="Arial" w:hAnsi="Arial" w:cs="Arial"/>
                <w:sz w:val="22"/>
                <w:szCs w:val="22"/>
              </w:rPr>
            </w:pPr>
            <w:r>
              <w:rPr>
                <w:rFonts w:ascii="Arial" w:hAnsi="Arial" w:cs="Arial"/>
                <w:sz w:val="22"/>
                <w:szCs w:val="22"/>
              </w:rPr>
              <w:t>201600058</w:t>
            </w:r>
          </w:p>
        </w:tc>
      </w:tr>
      <w:tr w:rsidR="00474DBE" w:rsidRPr="00290754" w14:paraId="0A65EFAD" w14:textId="77777777" w:rsidTr="00474DBE">
        <w:tc>
          <w:tcPr>
            <w:tcW w:w="5040" w:type="dxa"/>
          </w:tcPr>
          <w:p w14:paraId="5BB6B2C2" w14:textId="77777777" w:rsidR="00474DBE" w:rsidRPr="00290754" w:rsidRDefault="00474DBE" w:rsidP="00474DBE">
            <w:pPr>
              <w:rPr>
                <w:rFonts w:ascii="Arial" w:hAnsi="Arial" w:cs="Arial"/>
                <w:sz w:val="22"/>
                <w:szCs w:val="22"/>
              </w:rPr>
            </w:pPr>
            <w:r w:rsidRPr="00290754">
              <w:rPr>
                <w:rFonts w:ascii="Arial" w:hAnsi="Arial" w:cs="Arial"/>
                <w:sz w:val="22"/>
                <w:szCs w:val="22"/>
              </w:rPr>
              <w:t>Responsible Official:</w:t>
            </w:r>
          </w:p>
        </w:tc>
        <w:tc>
          <w:tcPr>
            <w:tcW w:w="5220" w:type="dxa"/>
          </w:tcPr>
          <w:p w14:paraId="2FBE0EFF" w14:textId="77777777" w:rsidR="00474DBE" w:rsidRPr="00906548" w:rsidRDefault="00474DBE" w:rsidP="00474DBE">
            <w:pPr>
              <w:rPr>
                <w:rFonts w:ascii="Arial" w:hAnsi="Arial" w:cs="Arial"/>
                <w:sz w:val="22"/>
                <w:szCs w:val="22"/>
              </w:rPr>
            </w:pPr>
            <w:r w:rsidRPr="00906548">
              <w:rPr>
                <w:rFonts w:ascii="Arial" w:hAnsi="Arial" w:cs="Arial"/>
                <w:sz w:val="22"/>
                <w:szCs w:val="22"/>
              </w:rPr>
              <w:t>Kristina M. Karschnia, Chief New Model Programs Prototype</w:t>
            </w:r>
          </w:p>
          <w:p w14:paraId="684DC405" w14:textId="29522774" w:rsidR="00474DBE" w:rsidRPr="00290754" w:rsidRDefault="00474DBE" w:rsidP="00474DBE">
            <w:pPr>
              <w:rPr>
                <w:rFonts w:ascii="Arial" w:hAnsi="Arial" w:cs="Arial"/>
                <w:sz w:val="22"/>
                <w:szCs w:val="22"/>
              </w:rPr>
            </w:pPr>
            <w:r w:rsidRPr="00906548">
              <w:rPr>
                <w:rFonts w:ascii="Arial" w:hAnsi="Arial" w:cs="Arial"/>
                <w:sz w:val="22"/>
                <w:szCs w:val="22"/>
              </w:rPr>
              <w:t>313 805 5031</w:t>
            </w:r>
          </w:p>
        </w:tc>
      </w:tr>
      <w:tr w:rsidR="00474DBE" w:rsidRPr="00290754" w14:paraId="1D6DBE88" w14:textId="77777777" w:rsidTr="00474DBE">
        <w:tc>
          <w:tcPr>
            <w:tcW w:w="5040" w:type="dxa"/>
          </w:tcPr>
          <w:p w14:paraId="03A87CFE" w14:textId="1185EC3D" w:rsidR="00474DBE" w:rsidRPr="00290754" w:rsidRDefault="00474DBE" w:rsidP="00474DBE">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xml:space="preserve"> – District Inspector:</w:t>
            </w:r>
          </w:p>
        </w:tc>
        <w:tc>
          <w:tcPr>
            <w:tcW w:w="5220" w:type="dxa"/>
          </w:tcPr>
          <w:p w14:paraId="2E58C36A" w14:textId="77777777" w:rsidR="00474DBE" w:rsidRDefault="00474DBE" w:rsidP="00474DBE">
            <w:pPr>
              <w:rPr>
                <w:rFonts w:ascii="Arial" w:hAnsi="Arial" w:cs="Arial"/>
                <w:sz w:val="22"/>
                <w:szCs w:val="22"/>
              </w:rPr>
            </w:pPr>
            <w:r>
              <w:rPr>
                <w:rFonts w:ascii="Arial" w:hAnsi="Arial" w:cs="Arial"/>
                <w:sz w:val="22"/>
                <w:szCs w:val="22"/>
              </w:rPr>
              <w:t>Samuel Liveson, Senior Environmental Engineer</w:t>
            </w:r>
          </w:p>
          <w:p w14:paraId="4DA3BBF0" w14:textId="1E4D9286" w:rsidR="00474DBE" w:rsidRPr="00290754" w:rsidRDefault="00474DBE" w:rsidP="00474DBE">
            <w:pPr>
              <w:rPr>
                <w:rFonts w:ascii="Arial" w:hAnsi="Arial" w:cs="Arial"/>
                <w:sz w:val="22"/>
                <w:szCs w:val="22"/>
              </w:rPr>
            </w:pPr>
            <w:r>
              <w:rPr>
                <w:rFonts w:ascii="Arial" w:hAnsi="Arial" w:cs="Arial"/>
                <w:sz w:val="22"/>
                <w:szCs w:val="22"/>
              </w:rPr>
              <w:t>313-405-1357</w:t>
            </w:r>
          </w:p>
        </w:tc>
      </w:tr>
      <w:tr w:rsidR="00474DBE" w:rsidRPr="00290754" w14:paraId="4134CFD9" w14:textId="77777777" w:rsidTr="00474DBE">
        <w:tc>
          <w:tcPr>
            <w:tcW w:w="5040" w:type="dxa"/>
          </w:tcPr>
          <w:p w14:paraId="43CDB138" w14:textId="70754AD4" w:rsidR="00474DBE" w:rsidRPr="00290754" w:rsidRDefault="00474DBE" w:rsidP="00474DBE">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xml:space="preserve"> – ROP Writer</w:t>
            </w:r>
            <w:r w:rsidRPr="00290754">
              <w:rPr>
                <w:rFonts w:ascii="Arial" w:hAnsi="Arial" w:cs="Arial"/>
                <w:sz w:val="22"/>
                <w:szCs w:val="22"/>
              </w:rPr>
              <w:t>:</w:t>
            </w:r>
          </w:p>
        </w:tc>
        <w:tc>
          <w:tcPr>
            <w:tcW w:w="5220" w:type="dxa"/>
          </w:tcPr>
          <w:p w14:paraId="089AC9C4" w14:textId="77777777" w:rsidR="00474DBE" w:rsidRDefault="00474DBE" w:rsidP="00474DBE">
            <w:pPr>
              <w:rPr>
                <w:rFonts w:ascii="Arial" w:hAnsi="Arial" w:cs="Arial"/>
                <w:sz w:val="22"/>
                <w:szCs w:val="22"/>
              </w:rPr>
            </w:pPr>
            <w:r>
              <w:rPr>
                <w:rFonts w:ascii="Arial" w:hAnsi="Arial" w:cs="Arial"/>
                <w:sz w:val="22"/>
                <w:szCs w:val="22"/>
              </w:rPr>
              <w:t xml:space="preserve">Sebastian Kallumkal, Environmental Quality Specialist </w:t>
            </w:r>
          </w:p>
          <w:p w14:paraId="45149214" w14:textId="353B1043" w:rsidR="00474DBE" w:rsidRDefault="00474DBE" w:rsidP="00474DBE">
            <w:pPr>
              <w:rPr>
                <w:rFonts w:ascii="Arial" w:hAnsi="Arial" w:cs="Arial"/>
                <w:sz w:val="22"/>
                <w:szCs w:val="22"/>
              </w:rPr>
            </w:pPr>
            <w:r>
              <w:rPr>
                <w:rFonts w:ascii="Arial" w:hAnsi="Arial" w:cs="Arial"/>
                <w:sz w:val="22"/>
                <w:szCs w:val="22"/>
              </w:rPr>
              <w:t>586-201- 0175</w:t>
            </w:r>
          </w:p>
        </w:tc>
      </w:tr>
      <w:tr w:rsidR="00474DBE" w:rsidRPr="00290754" w14:paraId="7F262FAE" w14:textId="77777777" w:rsidTr="00474DBE">
        <w:tc>
          <w:tcPr>
            <w:tcW w:w="5040" w:type="dxa"/>
          </w:tcPr>
          <w:p w14:paraId="163320CE" w14:textId="77777777" w:rsidR="00474DBE" w:rsidRPr="00290754" w:rsidRDefault="00474DBE" w:rsidP="00474DBE">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427E378F" w14:textId="2573A177" w:rsidR="00474DBE" w:rsidRPr="00290754" w:rsidRDefault="00474DBE" w:rsidP="00474DBE">
            <w:pPr>
              <w:rPr>
                <w:rFonts w:ascii="Arial" w:hAnsi="Arial" w:cs="Arial"/>
                <w:sz w:val="22"/>
                <w:szCs w:val="22"/>
              </w:rPr>
            </w:pPr>
            <w:r>
              <w:rPr>
                <w:rFonts w:ascii="Arial" w:hAnsi="Arial" w:cs="Arial"/>
                <w:sz w:val="22"/>
                <w:szCs w:val="22"/>
              </w:rPr>
              <w:t>March 9, 2016</w:t>
            </w:r>
          </w:p>
        </w:tc>
      </w:tr>
      <w:tr w:rsidR="00474DBE" w:rsidRPr="00290754" w14:paraId="719755C8" w14:textId="77777777" w:rsidTr="00474DBE">
        <w:trPr>
          <w:trHeight w:val="165"/>
        </w:trPr>
        <w:tc>
          <w:tcPr>
            <w:tcW w:w="5040" w:type="dxa"/>
          </w:tcPr>
          <w:p w14:paraId="77001208" w14:textId="77777777" w:rsidR="00474DBE" w:rsidRPr="00290754" w:rsidRDefault="00474DBE" w:rsidP="00474DBE">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8C0A56E" w14:textId="036A7BE7" w:rsidR="00474DBE" w:rsidRPr="00290754" w:rsidRDefault="00474DBE" w:rsidP="00474DBE">
            <w:pPr>
              <w:rPr>
                <w:rFonts w:ascii="Arial" w:hAnsi="Arial" w:cs="Arial"/>
                <w:sz w:val="22"/>
                <w:szCs w:val="22"/>
              </w:rPr>
            </w:pPr>
            <w:r>
              <w:rPr>
                <w:rFonts w:ascii="Arial" w:hAnsi="Arial" w:cs="Arial"/>
                <w:sz w:val="22"/>
                <w:szCs w:val="22"/>
              </w:rPr>
              <w:t xml:space="preserve">March </w:t>
            </w:r>
            <w:r w:rsidR="00A572F0">
              <w:rPr>
                <w:rFonts w:ascii="Arial" w:hAnsi="Arial" w:cs="Arial"/>
                <w:sz w:val="22"/>
                <w:szCs w:val="22"/>
              </w:rPr>
              <w:t>9</w:t>
            </w:r>
            <w:r>
              <w:rPr>
                <w:rFonts w:ascii="Arial" w:hAnsi="Arial" w:cs="Arial"/>
                <w:sz w:val="22"/>
                <w:szCs w:val="22"/>
              </w:rPr>
              <w:t>, 2016</w:t>
            </w:r>
          </w:p>
        </w:tc>
      </w:tr>
      <w:tr w:rsidR="00474DBE" w:rsidRPr="00290754" w14:paraId="480D2DE6" w14:textId="77777777" w:rsidTr="00474DBE">
        <w:trPr>
          <w:trHeight w:val="165"/>
        </w:trPr>
        <w:tc>
          <w:tcPr>
            <w:tcW w:w="5040" w:type="dxa"/>
          </w:tcPr>
          <w:p w14:paraId="55C2DE47" w14:textId="77777777" w:rsidR="00474DBE" w:rsidRPr="00290754" w:rsidRDefault="00474DBE" w:rsidP="00474DBE">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2FD6371D" w14:textId="4F09B339" w:rsidR="00474DBE" w:rsidRPr="00290754" w:rsidRDefault="00F31EF2" w:rsidP="00474DBE">
            <w:pPr>
              <w:rPr>
                <w:rFonts w:ascii="Arial" w:hAnsi="Arial" w:cs="Arial"/>
                <w:sz w:val="22"/>
                <w:szCs w:val="22"/>
              </w:rPr>
            </w:pPr>
            <w:r>
              <w:rPr>
                <w:rFonts w:ascii="Arial" w:hAnsi="Arial" w:cs="Arial"/>
                <w:sz w:val="22"/>
                <w:szCs w:val="22"/>
              </w:rPr>
              <w:t>Yes</w:t>
            </w:r>
          </w:p>
        </w:tc>
      </w:tr>
      <w:tr w:rsidR="00474DBE" w:rsidRPr="00290754" w14:paraId="07184FE6" w14:textId="77777777" w:rsidTr="00474DBE">
        <w:trPr>
          <w:trHeight w:val="165"/>
        </w:trPr>
        <w:tc>
          <w:tcPr>
            <w:tcW w:w="5040" w:type="dxa"/>
          </w:tcPr>
          <w:p w14:paraId="3CA6ACA4" w14:textId="77777777" w:rsidR="00474DBE" w:rsidRPr="00290754" w:rsidRDefault="00474DBE" w:rsidP="00474DBE">
            <w:pPr>
              <w:rPr>
                <w:rFonts w:ascii="Arial" w:hAnsi="Arial" w:cs="Arial"/>
                <w:sz w:val="22"/>
                <w:szCs w:val="22"/>
              </w:rPr>
            </w:pPr>
            <w:r w:rsidRPr="00290754">
              <w:rPr>
                <w:rFonts w:ascii="Arial" w:hAnsi="Arial" w:cs="Arial"/>
                <w:sz w:val="22"/>
                <w:szCs w:val="22"/>
              </w:rPr>
              <w:t>Date Public Comment Begins:</w:t>
            </w:r>
          </w:p>
        </w:tc>
        <w:tc>
          <w:tcPr>
            <w:tcW w:w="5220" w:type="dxa"/>
          </w:tcPr>
          <w:p w14:paraId="6139F27B" w14:textId="08EEAB54" w:rsidR="00474DBE" w:rsidRPr="00290754" w:rsidRDefault="0032561D" w:rsidP="00474DBE">
            <w:pPr>
              <w:rPr>
                <w:rFonts w:ascii="Arial" w:hAnsi="Arial" w:cs="Arial"/>
                <w:sz w:val="22"/>
                <w:szCs w:val="22"/>
              </w:rPr>
            </w:pPr>
            <w:r>
              <w:rPr>
                <w:rFonts w:ascii="Arial" w:hAnsi="Arial" w:cs="Arial"/>
                <w:sz w:val="22"/>
                <w:szCs w:val="22"/>
              </w:rPr>
              <w:t>April 2</w:t>
            </w:r>
            <w:r w:rsidR="00144052">
              <w:rPr>
                <w:rFonts w:ascii="Arial" w:hAnsi="Arial" w:cs="Arial"/>
                <w:sz w:val="22"/>
                <w:szCs w:val="22"/>
              </w:rPr>
              <w:t>2</w:t>
            </w:r>
            <w:r>
              <w:rPr>
                <w:rFonts w:ascii="Arial" w:hAnsi="Arial" w:cs="Arial"/>
                <w:sz w:val="22"/>
                <w:szCs w:val="22"/>
              </w:rPr>
              <w:t>, 2024</w:t>
            </w:r>
          </w:p>
        </w:tc>
      </w:tr>
      <w:tr w:rsidR="00474DBE" w:rsidRPr="00290754" w14:paraId="5A6BB7B3" w14:textId="77777777" w:rsidTr="00474DBE">
        <w:tc>
          <w:tcPr>
            <w:tcW w:w="5040" w:type="dxa"/>
          </w:tcPr>
          <w:p w14:paraId="4ABDDDA8" w14:textId="77777777" w:rsidR="00474DBE" w:rsidRPr="00290754" w:rsidRDefault="00474DBE" w:rsidP="00474DBE">
            <w:pPr>
              <w:rPr>
                <w:rFonts w:ascii="Arial" w:hAnsi="Arial" w:cs="Arial"/>
                <w:sz w:val="22"/>
                <w:szCs w:val="22"/>
              </w:rPr>
            </w:pPr>
            <w:r w:rsidRPr="00290754">
              <w:rPr>
                <w:rFonts w:ascii="Arial" w:hAnsi="Arial" w:cs="Arial"/>
                <w:sz w:val="22"/>
                <w:szCs w:val="22"/>
              </w:rPr>
              <w:t>Deadline for Public Comment:</w:t>
            </w:r>
          </w:p>
        </w:tc>
        <w:tc>
          <w:tcPr>
            <w:tcW w:w="5220" w:type="dxa"/>
          </w:tcPr>
          <w:p w14:paraId="70ED4B39" w14:textId="0287F6AE" w:rsidR="00474DBE" w:rsidRPr="00290754" w:rsidRDefault="0032561D" w:rsidP="00474DBE">
            <w:pPr>
              <w:rPr>
                <w:rFonts w:ascii="Arial" w:hAnsi="Arial" w:cs="Arial"/>
                <w:sz w:val="22"/>
                <w:szCs w:val="22"/>
              </w:rPr>
            </w:pPr>
            <w:r>
              <w:rPr>
                <w:rFonts w:ascii="Arial" w:hAnsi="Arial" w:cs="Arial"/>
                <w:sz w:val="22"/>
                <w:szCs w:val="22"/>
              </w:rPr>
              <w:t>May 2</w:t>
            </w:r>
            <w:r w:rsidR="00144052">
              <w:rPr>
                <w:rFonts w:ascii="Arial" w:hAnsi="Arial" w:cs="Arial"/>
                <w:sz w:val="22"/>
                <w:szCs w:val="22"/>
              </w:rPr>
              <w:t>2</w:t>
            </w:r>
            <w:r>
              <w:rPr>
                <w:rFonts w:ascii="Arial" w:hAnsi="Arial" w:cs="Arial"/>
                <w:sz w:val="22"/>
                <w:szCs w:val="22"/>
              </w:rPr>
              <w:t>, 2024</w:t>
            </w:r>
          </w:p>
        </w:tc>
      </w:tr>
    </w:tbl>
    <w:p w14:paraId="717340BD" w14:textId="77777777" w:rsidR="00AF4326" w:rsidRPr="00CB60BD" w:rsidRDefault="00AF4326">
      <w:pPr>
        <w:rPr>
          <w:rFonts w:ascii="Arial" w:hAnsi="Arial" w:cs="Arial"/>
          <w:sz w:val="22"/>
          <w:szCs w:val="22"/>
        </w:rPr>
      </w:pPr>
    </w:p>
    <w:p w14:paraId="6D879662" w14:textId="77777777" w:rsidR="00AF4326" w:rsidRPr="00290754" w:rsidRDefault="00AF4326">
      <w:pPr>
        <w:rPr>
          <w:rFonts w:ascii="Arial" w:hAnsi="Arial" w:cs="Arial"/>
          <w:b/>
          <w:sz w:val="22"/>
          <w:szCs w:val="22"/>
          <w:u w:val="single"/>
        </w:rPr>
      </w:pPr>
      <w:bookmarkStart w:id="11" w:name="_Toc480946818"/>
      <w:bookmarkStart w:id="1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1"/>
      <w:bookmarkEnd w:id="12"/>
    </w:p>
    <w:p w14:paraId="5768FE77" w14:textId="77777777" w:rsidR="00474DBE" w:rsidRPr="00290754" w:rsidRDefault="00474DBE" w:rsidP="00474DBE">
      <w:pPr>
        <w:rPr>
          <w:rFonts w:ascii="Arial" w:hAnsi="Arial" w:cs="Arial"/>
          <w:sz w:val="22"/>
          <w:szCs w:val="22"/>
        </w:rPr>
      </w:pPr>
    </w:p>
    <w:p w14:paraId="71F710F1" w14:textId="77777777" w:rsidR="00474DBE" w:rsidRPr="00200930" w:rsidRDefault="00474DBE" w:rsidP="00474DBE">
      <w:pPr>
        <w:jc w:val="both"/>
        <w:rPr>
          <w:rFonts w:ascii="Arial" w:hAnsi="Arial" w:cs="Arial"/>
          <w:sz w:val="22"/>
          <w:szCs w:val="22"/>
        </w:rPr>
      </w:pPr>
      <w:r w:rsidRPr="00200930">
        <w:rPr>
          <w:rFonts w:ascii="Arial" w:hAnsi="Arial" w:cs="Arial"/>
          <w:sz w:val="22"/>
          <w:szCs w:val="22"/>
        </w:rPr>
        <w:t>The Ford Motor Company Transmission New Product Center (Ford ATNPC) is located in the City of Livonia and is bordered by Levan Road on the west, Plymouth Road to the south, the CSX railroad to the north, and a commercial/light industrial zoned complex to the east.  The nearest residential area is approximately 640 feet to the east.</w:t>
      </w:r>
    </w:p>
    <w:p w14:paraId="2E51D51A" w14:textId="77777777" w:rsidR="00474DBE" w:rsidRPr="00652F06" w:rsidRDefault="00474DBE" w:rsidP="00474DBE">
      <w:pPr>
        <w:jc w:val="both"/>
        <w:rPr>
          <w:rFonts w:ascii="Arial" w:hAnsi="Arial" w:cs="Arial"/>
          <w:sz w:val="22"/>
          <w:szCs w:val="22"/>
        </w:rPr>
      </w:pPr>
    </w:p>
    <w:p w14:paraId="1469217C" w14:textId="74953AC9" w:rsidR="00474DBE" w:rsidRPr="00200930" w:rsidRDefault="00474DBE" w:rsidP="00474DBE">
      <w:pPr>
        <w:jc w:val="both"/>
        <w:rPr>
          <w:rFonts w:ascii="Arial" w:hAnsi="Arial" w:cs="Arial"/>
          <w:sz w:val="22"/>
          <w:szCs w:val="22"/>
        </w:rPr>
      </w:pPr>
      <w:r w:rsidRPr="00652F06">
        <w:rPr>
          <w:rFonts w:ascii="Arial" w:hAnsi="Arial" w:cs="Arial"/>
          <w:sz w:val="22"/>
          <w:szCs w:val="22"/>
        </w:rPr>
        <w:t>Ford ATNPC currently has 4</w:t>
      </w:r>
      <w:r>
        <w:rPr>
          <w:rFonts w:ascii="Arial" w:hAnsi="Arial" w:cs="Arial"/>
          <w:sz w:val="22"/>
          <w:szCs w:val="22"/>
        </w:rPr>
        <w:t>1</w:t>
      </w:r>
      <w:r w:rsidRPr="00652F06">
        <w:rPr>
          <w:rFonts w:ascii="Arial" w:hAnsi="Arial" w:cs="Arial"/>
          <w:sz w:val="22"/>
          <w:szCs w:val="22"/>
        </w:rPr>
        <w:t xml:space="preserve"> </w:t>
      </w:r>
      <w:r w:rsidR="004B0AE4" w:rsidRPr="00D56811">
        <w:rPr>
          <w:rFonts w:ascii="Arial" w:hAnsi="Arial" w:cs="Arial"/>
          <w:sz w:val="22"/>
          <w:szCs w:val="22"/>
        </w:rPr>
        <w:t xml:space="preserve">fuel-burning </w:t>
      </w:r>
      <w:r w:rsidRPr="00652F06">
        <w:rPr>
          <w:rFonts w:ascii="Arial" w:hAnsi="Arial" w:cs="Arial"/>
          <w:sz w:val="22"/>
          <w:szCs w:val="22"/>
        </w:rPr>
        <w:t xml:space="preserve">dynamometer test cells.  Ford ATNPC utilizes various fuels in internal automobile and light duty truck </w:t>
      </w:r>
      <w:r w:rsidRPr="00200930">
        <w:rPr>
          <w:rFonts w:ascii="Arial" w:hAnsi="Arial" w:cs="Arial"/>
          <w:sz w:val="22"/>
          <w:szCs w:val="22"/>
        </w:rPr>
        <w:t xml:space="preserve">engines to test engine and transmission performance as well as individual engine and transmission components.  Ford ATNPC also manufactures, assembles, and tests prototype transmissions and transmission components.  </w:t>
      </w:r>
    </w:p>
    <w:p w14:paraId="20366020" w14:textId="77777777" w:rsidR="00474DBE" w:rsidRPr="00200930" w:rsidRDefault="00474DBE" w:rsidP="00474DBE">
      <w:pPr>
        <w:jc w:val="both"/>
        <w:rPr>
          <w:rFonts w:ascii="Arial" w:hAnsi="Arial" w:cs="Arial"/>
          <w:sz w:val="22"/>
          <w:szCs w:val="22"/>
        </w:rPr>
      </w:pPr>
    </w:p>
    <w:p w14:paraId="61126970" w14:textId="77777777" w:rsidR="00474DBE" w:rsidRPr="00200930" w:rsidRDefault="00474DBE" w:rsidP="00474DBE">
      <w:pPr>
        <w:jc w:val="both"/>
        <w:rPr>
          <w:rFonts w:ascii="Arial" w:hAnsi="Arial" w:cs="Arial"/>
          <w:sz w:val="22"/>
          <w:szCs w:val="22"/>
        </w:rPr>
      </w:pPr>
      <w:r w:rsidRPr="00200930">
        <w:rPr>
          <w:rFonts w:ascii="Arial" w:hAnsi="Arial" w:cs="Arial"/>
          <w:sz w:val="22"/>
          <w:szCs w:val="22"/>
        </w:rPr>
        <w:t>Ford ATNPC is composed of four main areas: Phase1, Phase 2, Phase 3, Phase 3A.</w:t>
      </w:r>
    </w:p>
    <w:p w14:paraId="1A63E846" w14:textId="77777777" w:rsidR="00474DBE" w:rsidRPr="00200930" w:rsidRDefault="00474DBE" w:rsidP="00474DBE">
      <w:pPr>
        <w:jc w:val="both"/>
        <w:rPr>
          <w:rFonts w:ascii="Arial" w:hAnsi="Arial" w:cs="Arial"/>
          <w:sz w:val="22"/>
          <w:szCs w:val="22"/>
        </w:rPr>
      </w:pPr>
    </w:p>
    <w:p w14:paraId="05D27F34" w14:textId="271FFBD3" w:rsidR="00474DBE" w:rsidRPr="00200930" w:rsidRDefault="00474DBE" w:rsidP="00474DBE">
      <w:pPr>
        <w:jc w:val="both"/>
        <w:rPr>
          <w:rFonts w:ascii="Arial" w:hAnsi="Arial" w:cs="Arial"/>
          <w:sz w:val="22"/>
          <w:szCs w:val="22"/>
        </w:rPr>
      </w:pPr>
      <w:r w:rsidRPr="00200930">
        <w:rPr>
          <w:rFonts w:ascii="Arial" w:hAnsi="Arial" w:cs="Arial"/>
          <w:sz w:val="22"/>
          <w:szCs w:val="22"/>
        </w:rPr>
        <w:t xml:space="preserve">Phase 1 includes Ford ATNPC's prototype operations (machining, assembly, testing). </w:t>
      </w:r>
      <w:r w:rsidR="00A572F0">
        <w:rPr>
          <w:rFonts w:ascii="Arial" w:hAnsi="Arial" w:cs="Arial"/>
          <w:sz w:val="22"/>
          <w:szCs w:val="22"/>
        </w:rPr>
        <w:t xml:space="preserve"> </w:t>
      </w:r>
      <w:r w:rsidRPr="00200930">
        <w:rPr>
          <w:rFonts w:ascii="Arial" w:hAnsi="Arial" w:cs="Arial"/>
          <w:sz w:val="22"/>
          <w:szCs w:val="22"/>
        </w:rPr>
        <w:t>Emissions from Phase 1 are released to the general in-plant environment, or if released to outside ambient air, are controlled by an appropriately designed fabric filter.</w:t>
      </w:r>
    </w:p>
    <w:p w14:paraId="7766A316" w14:textId="77777777" w:rsidR="00474DBE" w:rsidRPr="00D56811" w:rsidRDefault="00474DBE" w:rsidP="00474DBE">
      <w:pPr>
        <w:jc w:val="both"/>
        <w:rPr>
          <w:rFonts w:ascii="Arial" w:hAnsi="Arial" w:cs="Arial"/>
          <w:sz w:val="22"/>
          <w:szCs w:val="22"/>
        </w:rPr>
      </w:pPr>
    </w:p>
    <w:p w14:paraId="378B81D9" w14:textId="66134B99" w:rsidR="00474DBE" w:rsidRPr="00D56811" w:rsidRDefault="00474DBE" w:rsidP="00474DBE">
      <w:pPr>
        <w:jc w:val="both"/>
        <w:rPr>
          <w:rFonts w:ascii="Arial" w:hAnsi="Arial" w:cs="Arial"/>
          <w:sz w:val="22"/>
          <w:szCs w:val="22"/>
        </w:rPr>
      </w:pPr>
      <w:r w:rsidRPr="00D56811">
        <w:rPr>
          <w:rFonts w:ascii="Arial" w:hAnsi="Arial" w:cs="Arial"/>
          <w:sz w:val="22"/>
          <w:szCs w:val="22"/>
        </w:rPr>
        <w:t xml:space="preserve">Phase 2 is comprised of 16 </w:t>
      </w:r>
      <w:r w:rsidR="004B0AE4" w:rsidRPr="00850618">
        <w:rPr>
          <w:rFonts w:ascii="Arial" w:hAnsi="Arial" w:cs="Arial"/>
          <w:sz w:val="22"/>
          <w:szCs w:val="22"/>
        </w:rPr>
        <w:t xml:space="preserve">fuel burning </w:t>
      </w:r>
      <w:r w:rsidRPr="00D56811">
        <w:rPr>
          <w:rFonts w:ascii="Arial" w:hAnsi="Arial" w:cs="Arial"/>
          <w:sz w:val="22"/>
          <w:szCs w:val="22"/>
        </w:rPr>
        <w:t>dynamometer test cells.  The emissions from these test cells are uncontrolled; depending on the specific test being performed, the cells may be equipped with a catalytic converter to test catalyst aging.  Phase 2 also includes several chassis rolls where fully assembled vehicles are tested for the purposes of vehicle certification required under Title II of the Clean Air Act (the chassis equipment is currently regulated as a mobile source of emissions, therefore, conditions for these test cells have been removed from the ROP).</w:t>
      </w:r>
    </w:p>
    <w:p w14:paraId="7E01293C" w14:textId="77777777" w:rsidR="00474DBE" w:rsidRPr="00D56811" w:rsidRDefault="00474DBE" w:rsidP="00474DBE">
      <w:pPr>
        <w:jc w:val="both"/>
        <w:rPr>
          <w:rFonts w:ascii="Arial" w:hAnsi="Arial" w:cs="Arial"/>
          <w:sz w:val="22"/>
          <w:szCs w:val="22"/>
        </w:rPr>
      </w:pPr>
      <w:r w:rsidRPr="00D56811">
        <w:rPr>
          <w:rFonts w:ascii="Arial" w:hAnsi="Arial" w:cs="Arial"/>
          <w:sz w:val="22"/>
          <w:szCs w:val="22"/>
        </w:rPr>
        <w:t xml:space="preserve"> </w:t>
      </w:r>
    </w:p>
    <w:p w14:paraId="0D97E6F9" w14:textId="729EA6C7" w:rsidR="00474DBE" w:rsidRPr="00D56811" w:rsidRDefault="00474DBE" w:rsidP="00474DBE">
      <w:pPr>
        <w:jc w:val="both"/>
        <w:rPr>
          <w:rFonts w:ascii="Arial" w:hAnsi="Arial" w:cs="Arial"/>
          <w:sz w:val="22"/>
          <w:szCs w:val="22"/>
        </w:rPr>
      </w:pPr>
      <w:r w:rsidRPr="00D56811">
        <w:rPr>
          <w:rFonts w:ascii="Arial" w:hAnsi="Arial" w:cs="Arial"/>
          <w:sz w:val="22"/>
          <w:szCs w:val="22"/>
        </w:rPr>
        <w:t xml:space="preserve">Phase 3 consists of 20 engine-driven and engine-only </w:t>
      </w:r>
      <w:r w:rsidR="004B0AE4" w:rsidRPr="00D56811">
        <w:rPr>
          <w:rFonts w:ascii="Arial" w:hAnsi="Arial" w:cs="Arial"/>
          <w:sz w:val="22"/>
          <w:szCs w:val="22"/>
        </w:rPr>
        <w:t xml:space="preserve">fuel burning </w:t>
      </w:r>
      <w:r w:rsidRPr="00D56811">
        <w:rPr>
          <w:rFonts w:ascii="Arial" w:hAnsi="Arial" w:cs="Arial"/>
          <w:sz w:val="22"/>
          <w:szCs w:val="22"/>
        </w:rPr>
        <w:t xml:space="preserve">dynamometer test cells that are divided into Banks A, B, and C (sometimes referred to as 5, 6, and 7).  Each bank exhausts emissions to a common header and then to one of three, 3 stage regenerative thermal oxidizers (RTOs).  The RTOs are used as control for CO and VOC emissions and were installed in July 2006 to replace the aging catalytic oxidizers. </w:t>
      </w:r>
      <w:r w:rsidR="00A572F0" w:rsidRPr="00D56811">
        <w:rPr>
          <w:rFonts w:ascii="Arial" w:hAnsi="Arial" w:cs="Arial"/>
          <w:sz w:val="22"/>
          <w:szCs w:val="22"/>
        </w:rPr>
        <w:t xml:space="preserve"> </w:t>
      </w:r>
      <w:r w:rsidRPr="00D56811">
        <w:rPr>
          <w:rFonts w:ascii="Arial" w:hAnsi="Arial" w:cs="Arial"/>
          <w:sz w:val="22"/>
          <w:szCs w:val="22"/>
        </w:rPr>
        <w:t>The catalytic oxidizers were permanently shut down in 2011.</w:t>
      </w:r>
    </w:p>
    <w:p w14:paraId="1784A1D2" w14:textId="77777777" w:rsidR="00474DBE" w:rsidRPr="00D56811" w:rsidRDefault="00474DBE" w:rsidP="00474DBE">
      <w:pPr>
        <w:jc w:val="both"/>
        <w:rPr>
          <w:rFonts w:ascii="Arial" w:hAnsi="Arial" w:cs="Arial"/>
          <w:sz w:val="22"/>
          <w:szCs w:val="22"/>
        </w:rPr>
      </w:pPr>
    </w:p>
    <w:p w14:paraId="5640B414" w14:textId="4112452D" w:rsidR="00474DBE" w:rsidRPr="00560BB8" w:rsidRDefault="00474DBE" w:rsidP="00474DBE">
      <w:pPr>
        <w:jc w:val="both"/>
        <w:rPr>
          <w:rFonts w:ascii="Arial" w:hAnsi="Arial" w:cs="Arial"/>
          <w:sz w:val="22"/>
          <w:szCs w:val="22"/>
          <w:u w:val="single"/>
        </w:rPr>
      </w:pPr>
      <w:r w:rsidRPr="00D56811">
        <w:rPr>
          <w:rFonts w:ascii="Arial" w:hAnsi="Arial" w:cs="Arial"/>
          <w:sz w:val="22"/>
          <w:szCs w:val="22"/>
        </w:rPr>
        <w:t xml:space="preserve">Phase 3A consists of five engine-driven and engine-only </w:t>
      </w:r>
      <w:r w:rsidR="004B0AE4" w:rsidRPr="00D56811">
        <w:rPr>
          <w:rFonts w:ascii="Arial" w:hAnsi="Arial" w:cs="Arial"/>
          <w:sz w:val="22"/>
          <w:szCs w:val="22"/>
        </w:rPr>
        <w:t xml:space="preserve">fuel burning </w:t>
      </w:r>
      <w:r w:rsidRPr="00D56811">
        <w:rPr>
          <w:rFonts w:ascii="Arial" w:hAnsi="Arial" w:cs="Arial"/>
          <w:sz w:val="22"/>
          <w:szCs w:val="22"/>
        </w:rPr>
        <w:t xml:space="preserve">dynamometer test cells; these test cells are housed in the same building as Phase 3.  Two were installed in August 2016 and the remaining three on February 7, 2019.  The emissions from these test cells are also exhausted to the three </w:t>
      </w:r>
      <w:r w:rsidRPr="007E5737">
        <w:rPr>
          <w:rFonts w:ascii="Arial" w:hAnsi="Arial" w:cs="Arial"/>
          <w:sz w:val="22"/>
          <w:szCs w:val="22"/>
        </w:rPr>
        <w:t>RTOs.</w:t>
      </w:r>
    </w:p>
    <w:p w14:paraId="0B49455A" w14:textId="77777777" w:rsidR="00474DBE" w:rsidRPr="00560BB8" w:rsidRDefault="00474DBE" w:rsidP="00474DBE">
      <w:pPr>
        <w:jc w:val="both"/>
        <w:rPr>
          <w:rFonts w:ascii="Arial" w:hAnsi="Arial" w:cs="Arial"/>
          <w:sz w:val="22"/>
          <w:szCs w:val="22"/>
          <w:u w:val="single"/>
        </w:rPr>
      </w:pPr>
    </w:p>
    <w:p w14:paraId="14F63842" w14:textId="77777777" w:rsidR="00474DBE" w:rsidRPr="00200930" w:rsidRDefault="00474DBE" w:rsidP="00474DBE">
      <w:pPr>
        <w:jc w:val="both"/>
        <w:rPr>
          <w:rFonts w:ascii="Arial" w:hAnsi="Arial" w:cs="Arial"/>
          <w:sz w:val="22"/>
          <w:szCs w:val="22"/>
        </w:rPr>
      </w:pPr>
      <w:r w:rsidRPr="00200930">
        <w:rPr>
          <w:rFonts w:ascii="Arial" w:hAnsi="Arial" w:cs="Arial"/>
          <w:sz w:val="22"/>
          <w:szCs w:val="22"/>
        </w:rPr>
        <w:t xml:space="preserve">In addition, Ford ATNPC </w:t>
      </w:r>
      <w:r>
        <w:rPr>
          <w:rFonts w:ascii="Arial" w:hAnsi="Arial" w:cs="Arial"/>
          <w:sz w:val="22"/>
          <w:szCs w:val="22"/>
        </w:rPr>
        <w:t xml:space="preserve">has various gasoline and fuel storage tanks and one cold cleaner located in the paint area. </w:t>
      </w:r>
    </w:p>
    <w:p w14:paraId="44D8F60C" w14:textId="77777777" w:rsidR="00474DBE" w:rsidRPr="00200930" w:rsidRDefault="00474DBE" w:rsidP="00474DBE">
      <w:pPr>
        <w:jc w:val="both"/>
        <w:rPr>
          <w:rFonts w:ascii="Arial" w:hAnsi="Arial" w:cs="Arial"/>
          <w:sz w:val="22"/>
          <w:szCs w:val="22"/>
        </w:rPr>
      </w:pPr>
    </w:p>
    <w:p w14:paraId="5263FB6E" w14:textId="58C2B1B6" w:rsidR="00474DBE" w:rsidRPr="00200930" w:rsidRDefault="00474DBE" w:rsidP="00474DBE">
      <w:pPr>
        <w:tabs>
          <w:tab w:val="left" w:pos="1440"/>
        </w:tabs>
        <w:jc w:val="both"/>
        <w:rPr>
          <w:rFonts w:ascii="Arial" w:hAnsi="Arial" w:cs="Arial"/>
          <w:sz w:val="22"/>
          <w:szCs w:val="22"/>
        </w:rPr>
      </w:pPr>
      <w:r w:rsidRPr="00200930">
        <w:rPr>
          <w:rFonts w:ascii="Arial" w:hAnsi="Arial" w:cs="Arial"/>
          <w:sz w:val="22"/>
          <w:szCs w:val="22"/>
        </w:rPr>
        <w:t xml:space="preserve">Emissions from the facility consist of carbon monoxide (CO), nitrogen oxides (NOx), volatile organic compounds (VOCs), and particulate matter (PM). </w:t>
      </w:r>
      <w:r w:rsidR="00A572F0">
        <w:rPr>
          <w:rFonts w:ascii="Arial" w:hAnsi="Arial" w:cs="Arial"/>
          <w:sz w:val="22"/>
          <w:szCs w:val="22"/>
        </w:rPr>
        <w:t xml:space="preserve"> </w:t>
      </w:r>
      <w:r>
        <w:rPr>
          <w:rFonts w:ascii="Arial" w:hAnsi="Arial" w:cs="Arial"/>
          <w:sz w:val="22"/>
          <w:szCs w:val="22"/>
        </w:rPr>
        <w:t>The e</w:t>
      </w:r>
      <w:r w:rsidRPr="00906548">
        <w:rPr>
          <w:rFonts w:ascii="Arial" w:hAnsi="Arial" w:cs="Arial"/>
          <w:sz w:val="22"/>
          <w:szCs w:val="22"/>
        </w:rPr>
        <w:t xml:space="preserve">missions </w:t>
      </w:r>
      <w:r>
        <w:rPr>
          <w:rFonts w:ascii="Arial" w:hAnsi="Arial" w:cs="Arial"/>
          <w:sz w:val="22"/>
          <w:szCs w:val="22"/>
        </w:rPr>
        <w:t xml:space="preserve">mostly </w:t>
      </w:r>
      <w:r w:rsidRPr="00906548">
        <w:rPr>
          <w:rFonts w:ascii="Arial" w:hAnsi="Arial" w:cs="Arial"/>
          <w:sz w:val="22"/>
          <w:szCs w:val="22"/>
        </w:rPr>
        <w:t>result from the combustion of gasoline and diesel fuel in the engine</w:t>
      </w:r>
      <w:r>
        <w:rPr>
          <w:rFonts w:ascii="Arial" w:hAnsi="Arial" w:cs="Arial"/>
          <w:sz w:val="22"/>
          <w:szCs w:val="22"/>
        </w:rPr>
        <w:t>s</w:t>
      </w:r>
      <w:r w:rsidRPr="00906548">
        <w:rPr>
          <w:rFonts w:ascii="Arial" w:hAnsi="Arial" w:cs="Arial"/>
          <w:sz w:val="22"/>
          <w:szCs w:val="22"/>
        </w:rPr>
        <w:t>.</w:t>
      </w:r>
      <w:r w:rsidRPr="00E900AB">
        <w:rPr>
          <w:rFonts w:ascii="Arial" w:hAnsi="Arial" w:cs="Arial"/>
          <w:sz w:val="22"/>
          <w:szCs w:val="22"/>
        </w:rPr>
        <w:t xml:space="preserve"> </w:t>
      </w:r>
      <w:r w:rsidR="0032561D">
        <w:rPr>
          <w:rFonts w:ascii="Arial" w:hAnsi="Arial" w:cs="Arial"/>
          <w:sz w:val="22"/>
          <w:szCs w:val="22"/>
        </w:rPr>
        <w:t xml:space="preserve"> </w:t>
      </w:r>
      <w:r w:rsidRPr="00E900AB">
        <w:rPr>
          <w:rFonts w:ascii="Arial" w:hAnsi="Arial" w:cs="Arial"/>
          <w:sz w:val="22"/>
          <w:szCs w:val="22"/>
        </w:rPr>
        <w:t xml:space="preserve">Ford ATNPC is part of the complex that contains the Ford Livonia Transmission Plant (A8645) which is considered a separate source for Title V purposes. </w:t>
      </w:r>
      <w:r w:rsidR="00A572F0">
        <w:rPr>
          <w:rFonts w:ascii="Arial" w:hAnsi="Arial" w:cs="Arial"/>
          <w:sz w:val="22"/>
          <w:szCs w:val="22"/>
        </w:rPr>
        <w:t xml:space="preserve"> </w:t>
      </w:r>
      <w:r w:rsidRPr="00E900AB">
        <w:rPr>
          <w:rFonts w:ascii="Arial" w:hAnsi="Arial" w:cs="Arial"/>
          <w:sz w:val="22"/>
          <w:szCs w:val="22"/>
        </w:rPr>
        <w:t>These facilities are adjacent to each other and operate under common control, however they have different major group SIC codes (Ford ATNPC: 8731 - Engineering research and development</w:t>
      </w:r>
      <w:r w:rsidRPr="00C32E9B">
        <w:rPr>
          <w:rFonts w:ascii="Arial" w:hAnsi="Arial" w:cs="Arial"/>
          <w:sz w:val="22"/>
          <w:szCs w:val="22"/>
        </w:rPr>
        <w:t xml:space="preserve"> laboratories or services</w:t>
      </w:r>
      <w:r>
        <w:rPr>
          <w:rFonts w:ascii="Arial" w:hAnsi="Arial" w:cs="Arial"/>
          <w:sz w:val="22"/>
          <w:szCs w:val="22"/>
        </w:rPr>
        <w:t xml:space="preserve">, Ford Livonia Transmission Plant: 3714 - </w:t>
      </w:r>
      <w:r w:rsidRPr="00800C7C">
        <w:rPr>
          <w:rFonts w:ascii="Arial" w:hAnsi="Arial" w:cs="Arial"/>
          <w:sz w:val="22"/>
          <w:szCs w:val="22"/>
        </w:rPr>
        <w:t>Motor Vehicle Transmission and Power Train Parts Manufacturing</w:t>
      </w:r>
      <w:r>
        <w:rPr>
          <w:rFonts w:ascii="Arial" w:hAnsi="Arial" w:cs="Arial"/>
          <w:sz w:val="22"/>
          <w:szCs w:val="22"/>
        </w:rPr>
        <w:t xml:space="preserve">).  Although separate stationary sources, </w:t>
      </w:r>
      <w:r w:rsidRPr="000A37D8">
        <w:rPr>
          <w:rFonts w:ascii="Arial" w:hAnsi="Arial" w:cs="Arial"/>
          <w:sz w:val="22"/>
          <w:szCs w:val="22"/>
        </w:rPr>
        <w:t>Hazardous Air Pollutant</w:t>
      </w:r>
      <w:r>
        <w:rPr>
          <w:rFonts w:ascii="Arial" w:hAnsi="Arial" w:cs="Arial"/>
          <w:sz w:val="22"/>
          <w:szCs w:val="22"/>
        </w:rPr>
        <w:t xml:space="preserve"> (HAP)</w:t>
      </w:r>
      <w:r w:rsidRPr="00200930">
        <w:rPr>
          <w:rFonts w:ascii="Arial" w:hAnsi="Arial" w:cs="Arial"/>
          <w:sz w:val="22"/>
          <w:szCs w:val="22"/>
        </w:rPr>
        <w:t xml:space="preserve"> emissions from both facilities are aggregated per the major source definition in the National Emission Standards for Hazardous Air Pollutants (NESHAP) regulations.</w:t>
      </w:r>
    </w:p>
    <w:p w14:paraId="0F8A3613" w14:textId="723ADE24" w:rsidR="00AF4326" w:rsidRPr="00290754" w:rsidRDefault="00AF4326" w:rsidP="007F73D0">
      <w:pPr>
        <w:jc w:val="both"/>
        <w:rPr>
          <w:rFonts w:ascii="Arial" w:hAnsi="Arial" w:cs="Arial"/>
          <w:sz w:val="22"/>
          <w:szCs w:val="22"/>
        </w:rPr>
      </w:pPr>
    </w:p>
    <w:p w14:paraId="44492F19" w14:textId="4B7416B1" w:rsidR="00474DBE" w:rsidRDefault="00474DBE">
      <w:pPr>
        <w:rPr>
          <w:rFonts w:ascii="Arial" w:hAnsi="Arial" w:cs="Arial"/>
          <w:sz w:val="22"/>
          <w:szCs w:val="22"/>
        </w:rPr>
      </w:pPr>
      <w:r>
        <w:rPr>
          <w:rFonts w:ascii="Arial" w:hAnsi="Arial" w:cs="Arial"/>
          <w:sz w:val="22"/>
          <w:szCs w:val="22"/>
        </w:rPr>
        <w:br w:type="page"/>
      </w:r>
    </w:p>
    <w:p w14:paraId="1E437F26" w14:textId="117DC18D" w:rsidR="00AF4326" w:rsidRDefault="00D2168C">
      <w:pPr>
        <w:rPr>
          <w:rFonts w:ascii="Arial" w:hAnsi="Arial" w:cs="Arial"/>
          <w:sz w:val="22"/>
          <w:szCs w:val="22"/>
        </w:rPr>
      </w:pPr>
      <w:r w:rsidRPr="00290754">
        <w:rPr>
          <w:rFonts w:ascii="Arial" w:hAnsi="Arial" w:cs="Arial"/>
          <w:sz w:val="22"/>
          <w:szCs w:val="22"/>
        </w:rPr>
        <w:lastRenderedPageBreak/>
        <w:t xml:space="preserve">The following table lists stationary source emission information as reported </w:t>
      </w:r>
      <w:r>
        <w:rPr>
          <w:rFonts w:ascii="Arial" w:hAnsi="Arial" w:cs="Arial"/>
          <w:sz w:val="22"/>
          <w:szCs w:val="22"/>
        </w:rPr>
        <w:t>to the</w:t>
      </w:r>
      <w:r w:rsidRPr="00290754">
        <w:rPr>
          <w:rFonts w:ascii="Arial" w:hAnsi="Arial" w:cs="Arial"/>
          <w:sz w:val="22"/>
          <w:szCs w:val="22"/>
        </w:rPr>
        <w:t xml:space="preserve"> Michigan Air Emissions Reporting System</w:t>
      </w:r>
      <w:r>
        <w:rPr>
          <w:rFonts w:ascii="Arial" w:hAnsi="Arial" w:cs="Arial"/>
          <w:sz w:val="22"/>
          <w:szCs w:val="22"/>
        </w:rPr>
        <w:t xml:space="preserve"> (MAERS) for the year </w:t>
      </w:r>
      <w:r>
        <w:rPr>
          <w:rFonts w:ascii="Arial" w:hAnsi="Arial" w:cs="Arial"/>
          <w:b/>
          <w:sz w:val="22"/>
          <w:szCs w:val="22"/>
        </w:rPr>
        <w:t>2022</w:t>
      </w:r>
      <w:r w:rsidRPr="00290754">
        <w:rPr>
          <w:rFonts w:ascii="Arial" w:hAnsi="Arial" w:cs="Arial"/>
          <w:sz w:val="22"/>
          <w:szCs w:val="22"/>
        </w:rPr>
        <w:t>.</w:t>
      </w:r>
    </w:p>
    <w:p w14:paraId="3BDB625A" w14:textId="77777777" w:rsidR="00D2168C" w:rsidRPr="00290754" w:rsidRDefault="00D2168C">
      <w:pPr>
        <w:rPr>
          <w:rFonts w:ascii="Arial" w:hAnsi="Arial" w:cs="Arial"/>
          <w:sz w:val="22"/>
          <w:szCs w:val="22"/>
        </w:rPr>
      </w:pPr>
    </w:p>
    <w:p w14:paraId="1E71944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651EF24" w14:textId="77777777" w:rsidR="00F734C6" w:rsidRPr="00290754" w:rsidRDefault="00F734C6" w:rsidP="00F734C6">
      <w:pPr>
        <w:jc w:val="center"/>
        <w:rPr>
          <w:rFonts w:ascii="Arial" w:hAnsi="Arial" w:cs="Arial"/>
          <w:sz w:val="22"/>
          <w:szCs w:val="22"/>
        </w:rPr>
      </w:pPr>
    </w:p>
    <w:tbl>
      <w:tblPr>
        <w:tblW w:w="10301" w:type="dxa"/>
        <w:tblInd w:w="67"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71"/>
        <w:gridCol w:w="5130"/>
      </w:tblGrid>
      <w:tr w:rsidR="00F734C6" w:rsidRPr="00290754" w14:paraId="3A602485" w14:textId="77777777" w:rsidTr="00A572F0">
        <w:trPr>
          <w:tblHeader/>
        </w:trPr>
        <w:tc>
          <w:tcPr>
            <w:tcW w:w="5171" w:type="dxa"/>
            <w:shd w:val="pct10" w:color="auto" w:fill="auto"/>
          </w:tcPr>
          <w:p w14:paraId="104FE3E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3E7457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474DBE" w:rsidRPr="00290754" w14:paraId="781AA701" w14:textId="77777777" w:rsidTr="00A572F0">
        <w:tc>
          <w:tcPr>
            <w:tcW w:w="5171" w:type="dxa"/>
          </w:tcPr>
          <w:p w14:paraId="1565D0B2" w14:textId="77777777" w:rsidR="00474DBE" w:rsidRPr="00290754" w:rsidRDefault="00474DBE" w:rsidP="00474DBE">
            <w:pPr>
              <w:rPr>
                <w:rFonts w:ascii="Arial" w:hAnsi="Arial" w:cs="Arial"/>
                <w:sz w:val="22"/>
                <w:szCs w:val="22"/>
              </w:rPr>
            </w:pPr>
            <w:r w:rsidRPr="00290754">
              <w:rPr>
                <w:rFonts w:ascii="Arial" w:hAnsi="Arial" w:cs="Arial"/>
                <w:sz w:val="22"/>
                <w:szCs w:val="22"/>
              </w:rPr>
              <w:t>Carbon Monoxide (CO)</w:t>
            </w:r>
          </w:p>
        </w:tc>
        <w:tc>
          <w:tcPr>
            <w:tcW w:w="5130" w:type="dxa"/>
          </w:tcPr>
          <w:p w14:paraId="7E03EFFD" w14:textId="5ACC07FE" w:rsidR="00474DBE" w:rsidRPr="00290754" w:rsidRDefault="00474DBE" w:rsidP="00474DBE">
            <w:pPr>
              <w:jc w:val="center"/>
              <w:rPr>
                <w:rFonts w:ascii="Arial" w:hAnsi="Arial" w:cs="Arial"/>
                <w:sz w:val="22"/>
                <w:szCs w:val="22"/>
              </w:rPr>
            </w:pPr>
            <w:r>
              <w:rPr>
                <w:rFonts w:ascii="Arial" w:hAnsi="Arial" w:cs="Arial"/>
                <w:sz w:val="22"/>
                <w:szCs w:val="22"/>
              </w:rPr>
              <w:t>2</w:t>
            </w:r>
            <w:r w:rsidR="00D2168C">
              <w:rPr>
                <w:rFonts w:ascii="Arial" w:hAnsi="Arial" w:cs="Arial"/>
                <w:sz w:val="22"/>
                <w:szCs w:val="22"/>
              </w:rPr>
              <w:t>52.13</w:t>
            </w:r>
          </w:p>
        </w:tc>
      </w:tr>
      <w:tr w:rsidR="00474DBE" w:rsidRPr="00290754" w14:paraId="0A6C592B" w14:textId="77777777" w:rsidTr="00A572F0">
        <w:tc>
          <w:tcPr>
            <w:tcW w:w="5171" w:type="dxa"/>
          </w:tcPr>
          <w:p w14:paraId="254D9A90" w14:textId="77777777" w:rsidR="00474DBE" w:rsidRPr="00290754" w:rsidRDefault="00474DBE" w:rsidP="00474DBE">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D2F4B66" w14:textId="460828D2" w:rsidR="00474DBE" w:rsidRPr="00290754" w:rsidRDefault="00D2168C" w:rsidP="00474DBE">
            <w:pPr>
              <w:jc w:val="center"/>
              <w:rPr>
                <w:rFonts w:ascii="Arial" w:hAnsi="Arial" w:cs="Arial"/>
                <w:sz w:val="22"/>
                <w:szCs w:val="22"/>
              </w:rPr>
            </w:pPr>
            <w:r>
              <w:rPr>
                <w:rFonts w:ascii="Arial" w:hAnsi="Arial" w:cs="Arial"/>
                <w:sz w:val="22"/>
                <w:szCs w:val="22"/>
              </w:rPr>
              <w:t>34.91</w:t>
            </w:r>
          </w:p>
        </w:tc>
      </w:tr>
      <w:tr w:rsidR="00474DBE" w:rsidRPr="00290754" w14:paraId="624A8D90" w14:textId="77777777" w:rsidTr="00A572F0">
        <w:tc>
          <w:tcPr>
            <w:tcW w:w="5171" w:type="dxa"/>
          </w:tcPr>
          <w:p w14:paraId="79A57EED" w14:textId="77777777" w:rsidR="00474DBE" w:rsidRPr="00290754" w:rsidRDefault="00474DBE" w:rsidP="00474DBE">
            <w:pPr>
              <w:rPr>
                <w:rFonts w:ascii="Arial" w:hAnsi="Arial" w:cs="Arial"/>
                <w:sz w:val="22"/>
                <w:szCs w:val="22"/>
              </w:rPr>
            </w:pPr>
            <w:r w:rsidRPr="00290754">
              <w:rPr>
                <w:rFonts w:ascii="Arial" w:hAnsi="Arial" w:cs="Arial"/>
                <w:sz w:val="22"/>
                <w:szCs w:val="22"/>
              </w:rPr>
              <w:t>PM</w:t>
            </w:r>
            <w:r>
              <w:rPr>
                <w:rFonts w:ascii="Arial" w:hAnsi="Arial" w:cs="Arial"/>
                <w:sz w:val="22"/>
                <w:szCs w:val="22"/>
              </w:rPr>
              <w:t>10*</w:t>
            </w:r>
          </w:p>
        </w:tc>
        <w:tc>
          <w:tcPr>
            <w:tcW w:w="5130" w:type="dxa"/>
          </w:tcPr>
          <w:p w14:paraId="5D034A69" w14:textId="3764243C" w:rsidR="00474DBE" w:rsidRPr="00290754" w:rsidRDefault="00D2168C" w:rsidP="00474DBE">
            <w:pPr>
              <w:jc w:val="center"/>
              <w:rPr>
                <w:rFonts w:ascii="Arial" w:hAnsi="Arial" w:cs="Arial"/>
                <w:sz w:val="22"/>
                <w:szCs w:val="22"/>
              </w:rPr>
            </w:pPr>
            <w:r>
              <w:rPr>
                <w:rFonts w:ascii="Arial" w:hAnsi="Arial" w:cs="Arial"/>
                <w:sz w:val="22"/>
                <w:szCs w:val="22"/>
              </w:rPr>
              <w:t>2.29</w:t>
            </w:r>
          </w:p>
        </w:tc>
      </w:tr>
      <w:tr w:rsidR="00474DBE" w:rsidRPr="00290754" w14:paraId="59ECADEB" w14:textId="77777777" w:rsidTr="00A572F0">
        <w:tc>
          <w:tcPr>
            <w:tcW w:w="5171" w:type="dxa"/>
          </w:tcPr>
          <w:p w14:paraId="6125AAF9" w14:textId="77777777" w:rsidR="00474DBE" w:rsidRPr="00290754" w:rsidRDefault="00474DBE" w:rsidP="00474DBE">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D1CEE3E" w14:textId="0C64B6A8" w:rsidR="00474DBE" w:rsidRPr="00290754" w:rsidRDefault="00474DBE" w:rsidP="00474DBE">
            <w:pPr>
              <w:jc w:val="center"/>
              <w:rPr>
                <w:rFonts w:ascii="Arial" w:hAnsi="Arial" w:cs="Arial"/>
                <w:sz w:val="22"/>
                <w:szCs w:val="22"/>
              </w:rPr>
            </w:pPr>
            <w:r>
              <w:rPr>
                <w:rFonts w:ascii="Arial" w:hAnsi="Arial" w:cs="Arial"/>
                <w:sz w:val="22"/>
                <w:szCs w:val="22"/>
              </w:rPr>
              <w:t>0.1</w:t>
            </w:r>
            <w:r w:rsidR="00D2168C">
              <w:rPr>
                <w:rFonts w:ascii="Arial" w:hAnsi="Arial" w:cs="Arial"/>
                <w:sz w:val="22"/>
                <w:szCs w:val="22"/>
              </w:rPr>
              <w:t>4</w:t>
            </w:r>
          </w:p>
        </w:tc>
      </w:tr>
      <w:tr w:rsidR="00474DBE" w:rsidRPr="00290754" w14:paraId="63D9AC56" w14:textId="77777777" w:rsidTr="00A572F0">
        <w:tc>
          <w:tcPr>
            <w:tcW w:w="5171" w:type="dxa"/>
          </w:tcPr>
          <w:p w14:paraId="67D8F1B3" w14:textId="77777777" w:rsidR="00474DBE" w:rsidRPr="00290754" w:rsidRDefault="00474DBE" w:rsidP="00474DBE">
            <w:pPr>
              <w:rPr>
                <w:rFonts w:ascii="Arial" w:hAnsi="Arial" w:cs="Arial"/>
                <w:sz w:val="22"/>
                <w:szCs w:val="22"/>
              </w:rPr>
            </w:pPr>
            <w:r w:rsidRPr="00290754">
              <w:rPr>
                <w:rFonts w:ascii="Arial" w:hAnsi="Arial" w:cs="Arial"/>
                <w:sz w:val="22"/>
                <w:szCs w:val="22"/>
              </w:rPr>
              <w:t>Volatile Organic Compounds (VOCs)</w:t>
            </w:r>
          </w:p>
        </w:tc>
        <w:tc>
          <w:tcPr>
            <w:tcW w:w="5130" w:type="dxa"/>
          </w:tcPr>
          <w:p w14:paraId="08BD5E5C" w14:textId="78BB7A11" w:rsidR="00474DBE" w:rsidRPr="00290754" w:rsidRDefault="00D2168C" w:rsidP="00474DBE">
            <w:pPr>
              <w:jc w:val="center"/>
              <w:rPr>
                <w:rFonts w:ascii="Arial" w:hAnsi="Arial" w:cs="Arial"/>
                <w:sz w:val="22"/>
                <w:szCs w:val="22"/>
              </w:rPr>
            </w:pPr>
            <w:r>
              <w:rPr>
                <w:rFonts w:ascii="Arial" w:hAnsi="Arial" w:cs="Arial"/>
                <w:sz w:val="22"/>
                <w:szCs w:val="22"/>
              </w:rPr>
              <w:t>13.53</w:t>
            </w:r>
          </w:p>
        </w:tc>
      </w:tr>
    </w:tbl>
    <w:p w14:paraId="5876D6F7"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5857B1CD" w14:textId="77777777" w:rsidR="00EF5FB1" w:rsidRDefault="00EF5FB1" w:rsidP="00F734C6">
      <w:pPr>
        <w:rPr>
          <w:rFonts w:ascii="Arial" w:hAnsi="Arial" w:cs="Arial"/>
          <w:sz w:val="22"/>
          <w:szCs w:val="22"/>
        </w:rPr>
      </w:pPr>
    </w:p>
    <w:p w14:paraId="7CC9DD57" w14:textId="77777777" w:rsidR="00474DBE" w:rsidRPr="00F734C6" w:rsidRDefault="00474DBE" w:rsidP="00474DBE">
      <w:pPr>
        <w:jc w:val="both"/>
        <w:rPr>
          <w:rFonts w:ascii="Arial" w:hAnsi="Arial" w:cs="Arial"/>
          <w:sz w:val="22"/>
          <w:szCs w:val="22"/>
        </w:rPr>
      </w:pPr>
      <w:r w:rsidRPr="00F734C6">
        <w:rPr>
          <w:rFonts w:ascii="Arial" w:hAnsi="Arial" w:cs="Arial"/>
          <w:sz w:val="22"/>
          <w:szCs w:val="22"/>
        </w:rPr>
        <w:t xml:space="preserve">The following table lists </w:t>
      </w:r>
      <w:r>
        <w:rPr>
          <w:rFonts w:ascii="Arial" w:hAnsi="Arial" w:cs="Arial"/>
          <w:sz w:val="22"/>
          <w:szCs w:val="22"/>
        </w:rPr>
        <w:t>HAP</w:t>
      </w:r>
      <w:r w:rsidRPr="00F734C6">
        <w:rPr>
          <w:rFonts w:ascii="Arial" w:hAnsi="Arial" w:cs="Arial"/>
          <w:sz w:val="22"/>
          <w:szCs w:val="22"/>
        </w:rPr>
        <w:t xml:space="preserve"> emissions as calculated for the year </w:t>
      </w:r>
      <w:r w:rsidRPr="00560BB8">
        <w:rPr>
          <w:rFonts w:ascii="Arial" w:hAnsi="Arial" w:cs="Arial"/>
          <w:sz w:val="22"/>
          <w:szCs w:val="22"/>
        </w:rPr>
        <w:t xml:space="preserve">2022 </w:t>
      </w:r>
      <w:r w:rsidRPr="00F734C6">
        <w:rPr>
          <w:rFonts w:ascii="Arial" w:hAnsi="Arial" w:cs="Arial"/>
          <w:sz w:val="22"/>
          <w:szCs w:val="22"/>
        </w:rPr>
        <w:t>by</w:t>
      </w:r>
      <w:r>
        <w:rPr>
          <w:rFonts w:ascii="Arial" w:hAnsi="Arial" w:cs="Arial"/>
          <w:sz w:val="22"/>
          <w:szCs w:val="22"/>
        </w:rPr>
        <w:t xml:space="preserve"> </w:t>
      </w:r>
      <w:r w:rsidRPr="00A03A96">
        <w:rPr>
          <w:rFonts w:ascii="Arial" w:hAnsi="Arial" w:cs="Arial"/>
          <w:sz w:val="22"/>
          <w:szCs w:val="22"/>
        </w:rPr>
        <w:t xml:space="preserve">Ford Motor Company.  </w:t>
      </w:r>
      <w:r>
        <w:rPr>
          <w:rFonts w:ascii="Arial" w:hAnsi="Arial" w:cs="Arial"/>
          <w:sz w:val="22"/>
          <w:szCs w:val="22"/>
        </w:rPr>
        <w:t>As noted earlier,</w:t>
      </w:r>
      <w:r w:rsidRPr="00A03A96">
        <w:rPr>
          <w:rFonts w:ascii="Arial" w:hAnsi="Arial" w:cs="Arial"/>
          <w:sz w:val="22"/>
          <w:szCs w:val="22"/>
        </w:rPr>
        <w:t xml:space="preserve"> the HAP emissions from </w:t>
      </w:r>
      <w:r>
        <w:rPr>
          <w:rFonts w:ascii="Arial" w:hAnsi="Arial" w:cs="Arial"/>
          <w:sz w:val="22"/>
          <w:szCs w:val="22"/>
        </w:rPr>
        <w:t>Ford ATNPC (M4734) and the</w:t>
      </w:r>
      <w:r w:rsidRPr="00A03A96">
        <w:rPr>
          <w:rFonts w:ascii="Arial" w:hAnsi="Arial" w:cs="Arial"/>
          <w:sz w:val="22"/>
          <w:szCs w:val="22"/>
        </w:rPr>
        <w:t xml:space="preserve"> </w:t>
      </w:r>
      <w:r w:rsidRPr="00D04099">
        <w:rPr>
          <w:rFonts w:ascii="Arial" w:hAnsi="Arial" w:cs="Arial"/>
          <w:sz w:val="22"/>
          <w:szCs w:val="22"/>
        </w:rPr>
        <w:t xml:space="preserve">Ford Livonia Transmission Plant (A8645) </w:t>
      </w:r>
      <w:r w:rsidRPr="00A03A96">
        <w:rPr>
          <w:rFonts w:ascii="Arial" w:hAnsi="Arial" w:cs="Arial"/>
          <w:sz w:val="22"/>
          <w:szCs w:val="22"/>
        </w:rPr>
        <w:t>are aggregated per the major source definition in the National Emissions Standards for Hazardous Air Pollutants regulations.</w:t>
      </w:r>
    </w:p>
    <w:p w14:paraId="1CC37EDB" w14:textId="77777777" w:rsidR="00F734C6" w:rsidRPr="00CB60BD" w:rsidRDefault="00F734C6" w:rsidP="00F734C6">
      <w:pPr>
        <w:rPr>
          <w:rFonts w:ascii="Arial" w:hAnsi="Arial" w:cs="Arial"/>
          <w:sz w:val="22"/>
          <w:szCs w:val="22"/>
        </w:rPr>
      </w:pPr>
    </w:p>
    <w:tbl>
      <w:tblPr>
        <w:tblW w:w="10301" w:type="dxa"/>
        <w:tblInd w:w="67"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71"/>
        <w:gridCol w:w="5130"/>
      </w:tblGrid>
      <w:tr w:rsidR="00F734C6" w:rsidRPr="00F734C6" w14:paraId="0DAAA2E3" w14:textId="77777777" w:rsidTr="00A572F0">
        <w:tc>
          <w:tcPr>
            <w:tcW w:w="5171" w:type="dxa"/>
            <w:shd w:val="clear" w:color="auto" w:fill="D9D9D9"/>
          </w:tcPr>
          <w:p w14:paraId="12E656BA"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999D5C5"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474DBE" w:rsidRPr="00F734C6" w14:paraId="6318CDBD" w14:textId="77777777" w:rsidTr="00A572F0">
        <w:tc>
          <w:tcPr>
            <w:tcW w:w="5171" w:type="dxa"/>
            <w:shd w:val="clear" w:color="auto" w:fill="FFFFFF"/>
          </w:tcPr>
          <w:p w14:paraId="66379A68" w14:textId="3D6907AC" w:rsidR="00474DBE" w:rsidRPr="00F734C6" w:rsidRDefault="00474DBE" w:rsidP="00474DBE">
            <w:pPr>
              <w:rPr>
                <w:rFonts w:ascii="Arial" w:hAnsi="Arial" w:cs="Arial"/>
                <w:sz w:val="22"/>
                <w:szCs w:val="22"/>
              </w:rPr>
            </w:pPr>
            <w:r w:rsidRPr="003F5867">
              <w:rPr>
                <w:rFonts w:ascii="Arial" w:hAnsi="Arial" w:cs="Arial"/>
                <w:sz w:val="22"/>
                <w:szCs w:val="22"/>
              </w:rPr>
              <w:t>Acetaldehyde</w:t>
            </w:r>
            <w:r>
              <w:rPr>
                <w:rFonts w:ascii="Arial" w:hAnsi="Arial" w:cs="Arial"/>
                <w:sz w:val="22"/>
                <w:szCs w:val="22"/>
              </w:rPr>
              <w:t xml:space="preserve"> (75-07-0)</w:t>
            </w:r>
          </w:p>
        </w:tc>
        <w:tc>
          <w:tcPr>
            <w:tcW w:w="5130" w:type="dxa"/>
            <w:shd w:val="clear" w:color="auto" w:fill="FFFFFF"/>
          </w:tcPr>
          <w:p w14:paraId="7E2B6D9B" w14:textId="0A300A37" w:rsidR="00474DBE" w:rsidRPr="0071648A" w:rsidRDefault="00474DBE" w:rsidP="00474DBE">
            <w:pPr>
              <w:jc w:val="center"/>
              <w:rPr>
                <w:rFonts w:ascii="Arial" w:hAnsi="Arial" w:cs="Arial"/>
                <w:bCs/>
                <w:sz w:val="22"/>
                <w:szCs w:val="22"/>
              </w:rPr>
            </w:pPr>
            <w:r w:rsidRPr="003640D6">
              <w:rPr>
                <w:rFonts w:ascii="Arial" w:hAnsi="Arial" w:cs="Arial"/>
                <w:sz w:val="22"/>
                <w:szCs w:val="22"/>
              </w:rPr>
              <w:t>6.72</w:t>
            </w:r>
          </w:p>
        </w:tc>
      </w:tr>
      <w:tr w:rsidR="00474DBE" w:rsidRPr="00F734C6" w14:paraId="02796955" w14:textId="77777777" w:rsidTr="00A572F0">
        <w:tc>
          <w:tcPr>
            <w:tcW w:w="5171" w:type="dxa"/>
            <w:shd w:val="clear" w:color="auto" w:fill="FFFFFF"/>
          </w:tcPr>
          <w:p w14:paraId="4999C45F" w14:textId="30126ED9" w:rsidR="00474DBE" w:rsidRPr="00F734C6" w:rsidRDefault="00474DBE" w:rsidP="00474DBE">
            <w:pPr>
              <w:rPr>
                <w:rFonts w:ascii="Arial" w:hAnsi="Arial" w:cs="Arial"/>
                <w:sz w:val="22"/>
                <w:szCs w:val="22"/>
              </w:rPr>
            </w:pPr>
            <w:r>
              <w:rPr>
                <w:rFonts w:ascii="Arial" w:hAnsi="Arial" w:cs="Arial"/>
                <w:sz w:val="22"/>
                <w:szCs w:val="22"/>
              </w:rPr>
              <w:t>Acrolein (107-02-8)</w:t>
            </w:r>
          </w:p>
        </w:tc>
        <w:tc>
          <w:tcPr>
            <w:tcW w:w="5130" w:type="dxa"/>
            <w:shd w:val="clear" w:color="auto" w:fill="FFFFFF"/>
          </w:tcPr>
          <w:p w14:paraId="2B0F3BE4" w14:textId="7D5A017D" w:rsidR="00474DBE" w:rsidRPr="0071648A" w:rsidRDefault="00474DBE" w:rsidP="00474DBE">
            <w:pPr>
              <w:jc w:val="center"/>
              <w:rPr>
                <w:rFonts w:ascii="Arial" w:hAnsi="Arial" w:cs="Arial"/>
                <w:bCs/>
                <w:sz w:val="22"/>
                <w:szCs w:val="22"/>
              </w:rPr>
            </w:pPr>
            <w:r w:rsidRPr="00906548">
              <w:rPr>
                <w:rFonts w:ascii="Arial" w:hAnsi="Arial" w:cs="Arial"/>
                <w:sz w:val="22"/>
                <w:szCs w:val="22"/>
              </w:rPr>
              <w:t>0.01</w:t>
            </w:r>
          </w:p>
        </w:tc>
      </w:tr>
      <w:tr w:rsidR="00474DBE" w:rsidRPr="00F734C6" w14:paraId="57B7F0F3" w14:textId="77777777" w:rsidTr="00A572F0">
        <w:tc>
          <w:tcPr>
            <w:tcW w:w="5171" w:type="dxa"/>
            <w:shd w:val="clear" w:color="auto" w:fill="FFFFFF"/>
          </w:tcPr>
          <w:p w14:paraId="06CA8AA5" w14:textId="229783E9" w:rsidR="00474DBE" w:rsidRPr="00F734C6" w:rsidRDefault="00474DBE" w:rsidP="00474DBE">
            <w:pPr>
              <w:rPr>
                <w:rFonts w:ascii="Arial" w:hAnsi="Arial" w:cs="Arial"/>
                <w:sz w:val="22"/>
                <w:szCs w:val="22"/>
              </w:rPr>
            </w:pPr>
            <w:r>
              <w:rPr>
                <w:rFonts w:ascii="Arial" w:hAnsi="Arial" w:cs="Arial"/>
                <w:sz w:val="22"/>
                <w:szCs w:val="22"/>
              </w:rPr>
              <w:t>Benzene (71-43-2)</w:t>
            </w:r>
          </w:p>
        </w:tc>
        <w:tc>
          <w:tcPr>
            <w:tcW w:w="5130" w:type="dxa"/>
            <w:shd w:val="clear" w:color="auto" w:fill="FFFFFF"/>
          </w:tcPr>
          <w:p w14:paraId="2335883A" w14:textId="46F22682" w:rsidR="00474DBE" w:rsidRPr="0071648A" w:rsidRDefault="00474DBE" w:rsidP="00474DBE">
            <w:pPr>
              <w:jc w:val="center"/>
              <w:rPr>
                <w:rFonts w:ascii="Arial" w:hAnsi="Arial" w:cs="Arial"/>
                <w:bCs/>
                <w:sz w:val="22"/>
                <w:szCs w:val="22"/>
              </w:rPr>
            </w:pPr>
            <w:r w:rsidRPr="003640D6">
              <w:rPr>
                <w:rFonts w:ascii="Arial" w:hAnsi="Arial" w:cs="Arial"/>
                <w:sz w:val="22"/>
                <w:szCs w:val="22"/>
              </w:rPr>
              <w:t>1.80</w:t>
            </w:r>
          </w:p>
        </w:tc>
      </w:tr>
      <w:tr w:rsidR="00474DBE" w:rsidRPr="00F734C6" w14:paraId="4C369006" w14:textId="77777777" w:rsidTr="00A572F0">
        <w:tc>
          <w:tcPr>
            <w:tcW w:w="5171" w:type="dxa"/>
            <w:shd w:val="clear" w:color="auto" w:fill="FFFFFF"/>
          </w:tcPr>
          <w:p w14:paraId="46A38DB4" w14:textId="4FF746FE" w:rsidR="00474DBE" w:rsidRPr="00F734C6" w:rsidRDefault="00474DBE" w:rsidP="00474DBE">
            <w:pPr>
              <w:rPr>
                <w:rFonts w:ascii="Arial" w:hAnsi="Arial" w:cs="Arial"/>
                <w:sz w:val="22"/>
                <w:szCs w:val="22"/>
              </w:rPr>
            </w:pPr>
            <w:r w:rsidRPr="003F5867">
              <w:rPr>
                <w:rFonts w:ascii="Arial" w:hAnsi="Arial" w:cs="Arial"/>
                <w:sz w:val="22"/>
                <w:szCs w:val="22"/>
              </w:rPr>
              <w:t>1,3 Butadiene</w:t>
            </w:r>
            <w:r>
              <w:rPr>
                <w:rFonts w:ascii="Arial" w:hAnsi="Arial" w:cs="Arial"/>
                <w:sz w:val="22"/>
                <w:szCs w:val="22"/>
              </w:rPr>
              <w:t xml:space="preserve"> (106-99-0)</w:t>
            </w:r>
          </w:p>
        </w:tc>
        <w:tc>
          <w:tcPr>
            <w:tcW w:w="5130" w:type="dxa"/>
            <w:shd w:val="clear" w:color="auto" w:fill="FFFFFF"/>
          </w:tcPr>
          <w:p w14:paraId="0B801872" w14:textId="17D931F6" w:rsidR="00474DBE" w:rsidRPr="0071648A" w:rsidRDefault="00474DBE" w:rsidP="00474DBE">
            <w:pPr>
              <w:jc w:val="center"/>
              <w:rPr>
                <w:rFonts w:ascii="Arial" w:hAnsi="Arial" w:cs="Arial"/>
                <w:bCs/>
                <w:sz w:val="22"/>
                <w:szCs w:val="22"/>
              </w:rPr>
            </w:pPr>
            <w:r w:rsidRPr="003640D6">
              <w:rPr>
                <w:rFonts w:ascii="Arial" w:hAnsi="Arial" w:cs="Arial"/>
                <w:sz w:val="22"/>
                <w:szCs w:val="22"/>
              </w:rPr>
              <w:t>0.62</w:t>
            </w:r>
          </w:p>
        </w:tc>
      </w:tr>
      <w:tr w:rsidR="00474DBE" w:rsidRPr="00F734C6" w14:paraId="6E132902" w14:textId="77777777" w:rsidTr="00A572F0">
        <w:tc>
          <w:tcPr>
            <w:tcW w:w="5171" w:type="dxa"/>
            <w:tcBorders>
              <w:bottom w:val="single" w:sz="6" w:space="0" w:color="auto"/>
            </w:tcBorders>
            <w:shd w:val="clear" w:color="auto" w:fill="FFFFFF"/>
          </w:tcPr>
          <w:p w14:paraId="64402260" w14:textId="1CA487C5" w:rsidR="00474DBE" w:rsidRPr="00F734C6" w:rsidRDefault="00474DBE" w:rsidP="00474DBE">
            <w:pPr>
              <w:rPr>
                <w:rFonts w:ascii="Arial" w:hAnsi="Arial" w:cs="Arial"/>
                <w:sz w:val="22"/>
                <w:szCs w:val="22"/>
              </w:rPr>
            </w:pPr>
            <w:r w:rsidRPr="007728B0">
              <w:rPr>
                <w:rFonts w:ascii="Arial" w:hAnsi="Arial" w:cs="Arial"/>
                <w:sz w:val="22"/>
                <w:szCs w:val="22"/>
              </w:rPr>
              <w:t>Ethylbenzene</w:t>
            </w:r>
            <w:r>
              <w:rPr>
                <w:rFonts w:ascii="Arial" w:hAnsi="Arial" w:cs="Arial"/>
                <w:sz w:val="22"/>
                <w:szCs w:val="22"/>
              </w:rPr>
              <w:t xml:space="preserve"> (100-41-4)</w:t>
            </w:r>
          </w:p>
        </w:tc>
        <w:tc>
          <w:tcPr>
            <w:tcW w:w="5130" w:type="dxa"/>
            <w:tcBorders>
              <w:bottom w:val="single" w:sz="6" w:space="0" w:color="auto"/>
            </w:tcBorders>
            <w:shd w:val="clear" w:color="auto" w:fill="FFFFFF"/>
          </w:tcPr>
          <w:p w14:paraId="0B73A1CF" w14:textId="786E42B5" w:rsidR="00474DBE" w:rsidRPr="0071648A" w:rsidRDefault="00474DBE" w:rsidP="00474DBE">
            <w:pPr>
              <w:jc w:val="center"/>
              <w:rPr>
                <w:rFonts w:ascii="Arial" w:hAnsi="Arial" w:cs="Arial"/>
                <w:bCs/>
                <w:sz w:val="22"/>
                <w:szCs w:val="22"/>
              </w:rPr>
            </w:pPr>
            <w:r w:rsidRPr="00906548">
              <w:rPr>
                <w:rFonts w:ascii="Arial" w:hAnsi="Arial" w:cs="Arial"/>
                <w:sz w:val="22"/>
                <w:szCs w:val="22"/>
              </w:rPr>
              <w:t>0.62</w:t>
            </w:r>
          </w:p>
        </w:tc>
      </w:tr>
      <w:tr w:rsidR="00474DBE" w:rsidRPr="00F734C6" w14:paraId="37161300" w14:textId="77777777" w:rsidTr="00A572F0">
        <w:tc>
          <w:tcPr>
            <w:tcW w:w="5171" w:type="dxa"/>
            <w:tcBorders>
              <w:bottom w:val="single" w:sz="6" w:space="0" w:color="auto"/>
            </w:tcBorders>
            <w:shd w:val="clear" w:color="auto" w:fill="FFFFFF"/>
          </w:tcPr>
          <w:p w14:paraId="38DE6DFD" w14:textId="6EF95B58" w:rsidR="00474DBE" w:rsidRPr="00F734C6" w:rsidRDefault="00474DBE" w:rsidP="00474DBE">
            <w:pPr>
              <w:rPr>
                <w:rFonts w:ascii="Arial" w:hAnsi="Arial" w:cs="Arial"/>
                <w:sz w:val="22"/>
                <w:szCs w:val="22"/>
              </w:rPr>
            </w:pPr>
            <w:r>
              <w:rPr>
                <w:rFonts w:ascii="Arial" w:hAnsi="Arial" w:cs="Arial"/>
                <w:sz w:val="22"/>
                <w:szCs w:val="22"/>
              </w:rPr>
              <w:t>Ethyl Carbamate (51-79-6)</w:t>
            </w:r>
          </w:p>
        </w:tc>
        <w:tc>
          <w:tcPr>
            <w:tcW w:w="5130" w:type="dxa"/>
            <w:tcBorders>
              <w:bottom w:val="single" w:sz="6" w:space="0" w:color="auto"/>
            </w:tcBorders>
            <w:shd w:val="clear" w:color="auto" w:fill="FFFFFF"/>
          </w:tcPr>
          <w:p w14:paraId="482E6644" w14:textId="39021790" w:rsidR="00474DBE" w:rsidRPr="0071648A" w:rsidRDefault="00474DBE" w:rsidP="00474DBE">
            <w:pPr>
              <w:jc w:val="center"/>
              <w:rPr>
                <w:rFonts w:ascii="Arial" w:hAnsi="Arial" w:cs="Arial"/>
                <w:bCs/>
                <w:sz w:val="22"/>
                <w:szCs w:val="22"/>
              </w:rPr>
            </w:pPr>
            <w:r w:rsidRPr="003640D6">
              <w:rPr>
                <w:rFonts w:ascii="Arial" w:hAnsi="Arial" w:cs="Arial"/>
                <w:sz w:val="22"/>
                <w:szCs w:val="22"/>
              </w:rPr>
              <w:t>0.01</w:t>
            </w:r>
          </w:p>
        </w:tc>
      </w:tr>
      <w:tr w:rsidR="00474DBE" w:rsidRPr="00F734C6" w14:paraId="774A1F4F" w14:textId="77777777" w:rsidTr="00A572F0">
        <w:tc>
          <w:tcPr>
            <w:tcW w:w="5171" w:type="dxa"/>
            <w:tcBorders>
              <w:bottom w:val="single" w:sz="6" w:space="0" w:color="auto"/>
            </w:tcBorders>
            <w:shd w:val="clear" w:color="auto" w:fill="FFFFFF"/>
          </w:tcPr>
          <w:p w14:paraId="64E3A7BC" w14:textId="6F322372" w:rsidR="00474DBE" w:rsidRPr="00F734C6" w:rsidRDefault="00474DBE" w:rsidP="00474DBE">
            <w:pPr>
              <w:rPr>
                <w:rFonts w:ascii="Arial" w:hAnsi="Arial" w:cs="Arial"/>
                <w:sz w:val="22"/>
                <w:szCs w:val="22"/>
              </w:rPr>
            </w:pPr>
            <w:r w:rsidRPr="007728B0">
              <w:rPr>
                <w:rFonts w:ascii="Arial" w:hAnsi="Arial" w:cs="Arial"/>
                <w:sz w:val="22"/>
                <w:szCs w:val="22"/>
              </w:rPr>
              <w:t>Ethylene Glycol</w:t>
            </w:r>
          </w:p>
        </w:tc>
        <w:tc>
          <w:tcPr>
            <w:tcW w:w="5130" w:type="dxa"/>
            <w:tcBorders>
              <w:bottom w:val="single" w:sz="6" w:space="0" w:color="auto"/>
            </w:tcBorders>
            <w:shd w:val="clear" w:color="auto" w:fill="FFFFFF"/>
          </w:tcPr>
          <w:p w14:paraId="0CA6D51B" w14:textId="204EB8D2" w:rsidR="00474DBE" w:rsidRPr="0071648A" w:rsidRDefault="00474DBE" w:rsidP="00474DBE">
            <w:pPr>
              <w:jc w:val="center"/>
              <w:rPr>
                <w:rFonts w:ascii="Arial" w:hAnsi="Arial" w:cs="Arial"/>
                <w:bCs/>
                <w:sz w:val="22"/>
                <w:szCs w:val="22"/>
              </w:rPr>
            </w:pPr>
            <w:r w:rsidRPr="003640D6">
              <w:rPr>
                <w:rFonts w:ascii="Arial" w:hAnsi="Arial" w:cs="Arial"/>
                <w:sz w:val="22"/>
                <w:szCs w:val="22"/>
              </w:rPr>
              <w:t>0.02</w:t>
            </w:r>
          </w:p>
        </w:tc>
      </w:tr>
      <w:tr w:rsidR="00474DBE" w:rsidRPr="00F734C6" w14:paraId="7126B255" w14:textId="77777777" w:rsidTr="00A572F0">
        <w:tc>
          <w:tcPr>
            <w:tcW w:w="5171" w:type="dxa"/>
            <w:tcBorders>
              <w:bottom w:val="single" w:sz="6" w:space="0" w:color="auto"/>
            </w:tcBorders>
            <w:shd w:val="clear" w:color="auto" w:fill="FFFFFF"/>
          </w:tcPr>
          <w:p w14:paraId="71A003DF" w14:textId="7186BC94" w:rsidR="00474DBE" w:rsidRPr="00F734C6" w:rsidRDefault="00474DBE" w:rsidP="00474DBE">
            <w:pPr>
              <w:rPr>
                <w:rFonts w:ascii="Arial" w:hAnsi="Arial" w:cs="Arial"/>
                <w:sz w:val="22"/>
                <w:szCs w:val="22"/>
              </w:rPr>
            </w:pPr>
            <w:r w:rsidRPr="007728B0">
              <w:rPr>
                <w:rFonts w:ascii="Arial" w:hAnsi="Arial" w:cs="Arial"/>
                <w:sz w:val="22"/>
                <w:szCs w:val="22"/>
              </w:rPr>
              <w:t>Formaldehyde</w:t>
            </w:r>
          </w:p>
        </w:tc>
        <w:tc>
          <w:tcPr>
            <w:tcW w:w="5130" w:type="dxa"/>
            <w:tcBorders>
              <w:bottom w:val="single" w:sz="6" w:space="0" w:color="auto"/>
            </w:tcBorders>
            <w:shd w:val="clear" w:color="auto" w:fill="FFFFFF"/>
          </w:tcPr>
          <w:p w14:paraId="22C16AB0" w14:textId="07150B09" w:rsidR="00474DBE" w:rsidRPr="0071648A" w:rsidRDefault="00474DBE" w:rsidP="00474DBE">
            <w:pPr>
              <w:jc w:val="center"/>
              <w:rPr>
                <w:rFonts w:ascii="Arial" w:hAnsi="Arial" w:cs="Arial"/>
                <w:bCs/>
                <w:sz w:val="22"/>
                <w:szCs w:val="22"/>
              </w:rPr>
            </w:pPr>
            <w:r w:rsidRPr="003640D6">
              <w:rPr>
                <w:rFonts w:ascii="Arial" w:hAnsi="Arial" w:cs="Arial"/>
                <w:sz w:val="22"/>
                <w:szCs w:val="22"/>
              </w:rPr>
              <w:t>1.03</w:t>
            </w:r>
          </w:p>
        </w:tc>
      </w:tr>
      <w:tr w:rsidR="00474DBE" w:rsidRPr="00F734C6" w14:paraId="4817E503" w14:textId="77777777" w:rsidTr="00A572F0">
        <w:tc>
          <w:tcPr>
            <w:tcW w:w="5171" w:type="dxa"/>
            <w:tcBorders>
              <w:bottom w:val="single" w:sz="6" w:space="0" w:color="auto"/>
            </w:tcBorders>
            <w:shd w:val="clear" w:color="auto" w:fill="FFFFFF"/>
          </w:tcPr>
          <w:p w14:paraId="74946342" w14:textId="58FD76D2" w:rsidR="00474DBE" w:rsidRPr="00F734C6" w:rsidRDefault="00474DBE" w:rsidP="00474DBE">
            <w:pPr>
              <w:rPr>
                <w:rFonts w:ascii="Arial" w:hAnsi="Arial" w:cs="Arial"/>
                <w:sz w:val="22"/>
                <w:szCs w:val="22"/>
              </w:rPr>
            </w:pPr>
            <w:r w:rsidRPr="007728B0">
              <w:rPr>
                <w:rFonts w:ascii="Arial" w:hAnsi="Arial" w:cs="Arial"/>
                <w:sz w:val="22"/>
                <w:szCs w:val="22"/>
              </w:rPr>
              <w:t>Glycol Ethers</w:t>
            </w:r>
            <w:r>
              <w:rPr>
                <w:rFonts w:ascii="Arial" w:hAnsi="Arial" w:cs="Arial"/>
                <w:sz w:val="22"/>
                <w:szCs w:val="22"/>
              </w:rPr>
              <w:t xml:space="preserve"> (110-80-5T)</w:t>
            </w:r>
          </w:p>
        </w:tc>
        <w:tc>
          <w:tcPr>
            <w:tcW w:w="5130" w:type="dxa"/>
            <w:tcBorders>
              <w:bottom w:val="single" w:sz="6" w:space="0" w:color="auto"/>
            </w:tcBorders>
            <w:shd w:val="clear" w:color="auto" w:fill="FFFFFF"/>
          </w:tcPr>
          <w:p w14:paraId="7BB0C8E5" w14:textId="4D551B54" w:rsidR="00474DBE" w:rsidRPr="0071648A" w:rsidRDefault="00474DBE" w:rsidP="00474DBE">
            <w:pPr>
              <w:jc w:val="center"/>
              <w:rPr>
                <w:rFonts w:ascii="Arial" w:hAnsi="Arial" w:cs="Arial"/>
                <w:bCs/>
                <w:sz w:val="22"/>
                <w:szCs w:val="22"/>
              </w:rPr>
            </w:pPr>
            <w:r w:rsidRPr="003640D6">
              <w:rPr>
                <w:rFonts w:ascii="Arial" w:hAnsi="Arial" w:cs="Arial"/>
                <w:sz w:val="22"/>
                <w:szCs w:val="22"/>
              </w:rPr>
              <w:t>0.24</w:t>
            </w:r>
          </w:p>
        </w:tc>
      </w:tr>
      <w:tr w:rsidR="00474DBE" w:rsidRPr="00F734C6" w14:paraId="30EC3550" w14:textId="77777777" w:rsidTr="00A572F0">
        <w:tc>
          <w:tcPr>
            <w:tcW w:w="5171" w:type="dxa"/>
            <w:tcBorders>
              <w:bottom w:val="single" w:sz="6" w:space="0" w:color="auto"/>
            </w:tcBorders>
            <w:shd w:val="clear" w:color="auto" w:fill="FFFFFF"/>
          </w:tcPr>
          <w:p w14:paraId="57B98C9D" w14:textId="0EC43647" w:rsidR="00474DBE" w:rsidRPr="00F734C6" w:rsidRDefault="00474DBE" w:rsidP="00474DBE">
            <w:pPr>
              <w:rPr>
                <w:rFonts w:ascii="Arial" w:hAnsi="Arial" w:cs="Arial"/>
                <w:sz w:val="22"/>
                <w:szCs w:val="22"/>
              </w:rPr>
            </w:pPr>
            <w:r w:rsidRPr="007728B0">
              <w:rPr>
                <w:rFonts w:ascii="Arial" w:hAnsi="Arial" w:cs="Arial"/>
                <w:sz w:val="22"/>
                <w:szCs w:val="22"/>
              </w:rPr>
              <w:t>Methanol</w:t>
            </w:r>
            <w:r>
              <w:rPr>
                <w:rFonts w:ascii="Arial" w:hAnsi="Arial" w:cs="Arial"/>
                <w:sz w:val="22"/>
                <w:szCs w:val="22"/>
              </w:rPr>
              <w:t xml:space="preserve"> (67-56-1)</w:t>
            </w:r>
          </w:p>
        </w:tc>
        <w:tc>
          <w:tcPr>
            <w:tcW w:w="5130" w:type="dxa"/>
            <w:tcBorders>
              <w:bottom w:val="single" w:sz="6" w:space="0" w:color="auto"/>
            </w:tcBorders>
            <w:shd w:val="clear" w:color="auto" w:fill="FFFFFF"/>
          </w:tcPr>
          <w:p w14:paraId="04544BCA" w14:textId="55065528" w:rsidR="00474DBE" w:rsidRPr="0071648A" w:rsidRDefault="00474DBE" w:rsidP="00474DBE">
            <w:pPr>
              <w:jc w:val="center"/>
              <w:rPr>
                <w:rFonts w:ascii="Arial" w:hAnsi="Arial" w:cs="Arial"/>
                <w:bCs/>
                <w:sz w:val="22"/>
                <w:szCs w:val="22"/>
              </w:rPr>
            </w:pPr>
            <w:r w:rsidRPr="003640D6">
              <w:rPr>
                <w:rFonts w:ascii="Arial" w:hAnsi="Arial" w:cs="Arial"/>
                <w:sz w:val="22"/>
                <w:szCs w:val="22"/>
              </w:rPr>
              <w:t>0.11</w:t>
            </w:r>
          </w:p>
        </w:tc>
      </w:tr>
      <w:tr w:rsidR="00474DBE" w:rsidRPr="00F734C6" w14:paraId="454DA29E" w14:textId="77777777" w:rsidTr="00A572F0">
        <w:tc>
          <w:tcPr>
            <w:tcW w:w="5171" w:type="dxa"/>
            <w:tcBorders>
              <w:bottom w:val="single" w:sz="6" w:space="0" w:color="auto"/>
            </w:tcBorders>
            <w:shd w:val="clear" w:color="auto" w:fill="FFFFFF"/>
          </w:tcPr>
          <w:p w14:paraId="409F8C14" w14:textId="1862E90F" w:rsidR="00474DBE" w:rsidRPr="00F734C6" w:rsidRDefault="00474DBE" w:rsidP="00474DBE">
            <w:pPr>
              <w:rPr>
                <w:rFonts w:ascii="Arial" w:hAnsi="Arial" w:cs="Arial"/>
                <w:sz w:val="22"/>
                <w:szCs w:val="22"/>
              </w:rPr>
            </w:pPr>
            <w:r>
              <w:rPr>
                <w:rFonts w:ascii="Arial" w:hAnsi="Arial" w:cs="Arial"/>
                <w:sz w:val="22"/>
                <w:szCs w:val="22"/>
              </w:rPr>
              <w:t>Methyl Isobutyl Ketone (108-10-1)</w:t>
            </w:r>
          </w:p>
        </w:tc>
        <w:tc>
          <w:tcPr>
            <w:tcW w:w="5130" w:type="dxa"/>
            <w:tcBorders>
              <w:bottom w:val="single" w:sz="6" w:space="0" w:color="auto"/>
            </w:tcBorders>
            <w:shd w:val="clear" w:color="auto" w:fill="FFFFFF"/>
          </w:tcPr>
          <w:p w14:paraId="43CDB2B5" w14:textId="6EFDD218" w:rsidR="00474DBE" w:rsidRPr="0071648A" w:rsidRDefault="00474DBE" w:rsidP="00474DBE">
            <w:pPr>
              <w:jc w:val="center"/>
              <w:rPr>
                <w:rFonts w:ascii="Arial" w:hAnsi="Arial" w:cs="Arial"/>
                <w:bCs/>
                <w:sz w:val="22"/>
                <w:szCs w:val="22"/>
              </w:rPr>
            </w:pPr>
            <w:r w:rsidRPr="003640D6">
              <w:rPr>
                <w:rFonts w:ascii="Arial" w:hAnsi="Arial" w:cs="Arial"/>
                <w:sz w:val="22"/>
                <w:szCs w:val="22"/>
              </w:rPr>
              <w:t>0.84</w:t>
            </w:r>
          </w:p>
        </w:tc>
      </w:tr>
      <w:tr w:rsidR="00474DBE" w:rsidRPr="00F734C6" w14:paraId="23E81AEF" w14:textId="77777777" w:rsidTr="00A572F0">
        <w:tc>
          <w:tcPr>
            <w:tcW w:w="5171" w:type="dxa"/>
            <w:tcBorders>
              <w:bottom w:val="single" w:sz="6" w:space="0" w:color="auto"/>
            </w:tcBorders>
            <w:shd w:val="clear" w:color="auto" w:fill="FFFFFF"/>
          </w:tcPr>
          <w:p w14:paraId="4E647192" w14:textId="25939ED2" w:rsidR="00474DBE" w:rsidRPr="00F734C6" w:rsidRDefault="00474DBE" w:rsidP="00474DBE">
            <w:pPr>
              <w:rPr>
                <w:rFonts w:ascii="Arial" w:hAnsi="Arial" w:cs="Arial"/>
                <w:sz w:val="22"/>
                <w:szCs w:val="22"/>
              </w:rPr>
            </w:pPr>
            <w:r>
              <w:rPr>
                <w:rFonts w:ascii="Arial" w:hAnsi="Arial" w:cs="Arial"/>
                <w:sz w:val="22"/>
                <w:szCs w:val="22"/>
              </w:rPr>
              <w:t>N-Hexane (110-54-3)</w:t>
            </w:r>
          </w:p>
        </w:tc>
        <w:tc>
          <w:tcPr>
            <w:tcW w:w="5130" w:type="dxa"/>
            <w:tcBorders>
              <w:bottom w:val="single" w:sz="6" w:space="0" w:color="auto"/>
            </w:tcBorders>
            <w:shd w:val="clear" w:color="auto" w:fill="FFFFFF"/>
          </w:tcPr>
          <w:p w14:paraId="7E65D6A3" w14:textId="1A71D882" w:rsidR="00474DBE" w:rsidRPr="0071648A" w:rsidRDefault="00474DBE" w:rsidP="00474DBE">
            <w:pPr>
              <w:jc w:val="center"/>
              <w:rPr>
                <w:rFonts w:ascii="Arial" w:hAnsi="Arial" w:cs="Arial"/>
                <w:bCs/>
                <w:sz w:val="22"/>
                <w:szCs w:val="22"/>
              </w:rPr>
            </w:pPr>
            <w:r w:rsidRPr="003640D6">
              <w:rPr>
                <w:rFonts w:ascii="Arial" w:hAnsi="Arial" w:cs="Arial"/>
                <w:sz w:val="22"/>
                <w:szCs w:val="22"/>
              </w:rPr>
              <w:t>0.45</w:t>
            </w:r>
          </w:p>
        </w:tc>
      </w:tr>
      <w:tr w:rsidR="00474DBE" w:rsidRPr="00F734C6" w14:paraId="518429F9" w14:textId="77777777" w:rsidTr="00A572F0">
        <w:tc>
          <w:tcPr>
            <w:tcW w:w="5171" w:type="dxa"/>
            <w:tcBorders>
              <w:bottom w:val="single" w:sz="6" w:space="0" w:color="auto"/>
            </w:tcBorders>
            <w:shd w:val="clear" w:color="auto" w:fill="FFFFFF"/>
          </w:tcPr>
          <w:p w14:paraId="1A5E1612" w14:textId="2B40A4E0" w:rsidR="00474DBE" w:rsidRPr="00F734C6" w:rsidRDefault="00474DBE" w:rsidP="00474DBE">
            <w:pPr>
              <w:rPr>
                <w:rFonts w:ascii="Arial" w:hAnsi="Arial" w:cs="Arial"/>
                <w:sz w:val="22"/>
                <w:szCs w:val="22"/>
              </w:rPr>
            </w:pPr>
            <w:r>
              <w:rPr>
                <w:rFonts w:ascii="Arial" w:hAnsi="Arial" w:cs="Arial"/>
                <w:sz w:val="22"/>
                <w:szCs w:val="22"/>
              </w:rPr>
              <w:t>Toluene (108-88-3)</w:t>
            </w:r>
          </w:p>
        </w:tc>
        <w:tc>
          <w:tcPr>
            <w:tcW w:w="5130" w:type="dxa"/>
            <w:tcBorders>
              <w:bottom w:val="single" w:sz="6" w:space="0" w:color="auto"/>
            </w:tcBorders>
            <w:shd w:val="clear" w:color="auto" w:fill="FFFFFF"/>
          </w:tcPr>
          <w:p w14:paraId="268182D0" w14:textId="1C8BBB63" w:rsidR="00474DBE" w:rsidRPr="0071648A" w:rsidRDefault="00474DBE" w:rsidP="00474DBE">
            <w:pPr>
              <w:jc w:val="center"/>
              <w:rPr>
                <w:rFonts w:ascii="Arial" w:hAnsi="Arial" w:cs="Arial"/>
                <w:bCs/>
                <w:sz w:val="22"/>
                <w:szCs w:val="22"/>
              </w:rPr>
            </w:pPr>
            <w:r w:rsidRPr="003640D6">
              <w:rPr>
                <w:rFonts w:ascii="Arial" w:hAnsi="Arial" w:cs="Arial"/>
                <w:sz w:val="22"/>
                <w:szCs w:val="22"/>
              </w:rPr>
              <w:t>0.15</w:t>
            </w:r>
          </w:p>
        </w:tc>
      </w:tr>
      <w:tr w:rsidR="00474DBE" w:rsidRPr="00F734C6" w14:paraId="25EE569F" w14:textId="77777777" w:rsidTr="00A572F0">
        <w:tc>
          <w:tcPr>
            <w:tcW w:w="5171" w:type="dxa"/>
            <w:tcBorders>
              <w:bottom w:val="single" w:sz="6" w:space="0" w:color="auto"/>
            </w:tcBorders>
            <w:shd w:val="clear" w:color="auto" w:fill="FFFFFF"/>
          </w:tcPr>
          <w:p w14:paraId="564B0913" w14:textId="6A01DCE5" w:rsidR="00474DBE" w:rsidRPr="00F734C6" w:rsidRDefault="00474DBE" w:rsidP="00474DBE">
            <w:pPr>
              <w:rPr>
                <w:rFonts w:ascii="Arial" w:hAnsi="Arial" w:cs="Arial"/>
                <w:sz w:val="22"/>
                <w:szCs w:val="22"/>
              </w:rPr>
            </w:pPr>
            <w:r>
              <w:rPr>
                <w:rFonts w:ascii="Arial" w:hAnsi="Arial" w:cs="Arial"/>
                <w:sz w:val="22"/>
                <w:szCs w:val="22"/>
              </w:rPr>
              <w:t>Xylenes (isomers &amp; mixture) (1330-20-7)</w:t>
            </w:r>
          </w:p>
        </w:tc>
        <w:tc>
          <w:tcPr>
            <w:tcW w:w="5130" w:type="dxa"/>
            <w:tcBorders>
              <w:bottom w:val="single" w:sz="6" w:space="0" w:color="auto"/>
            </w:tcBorders>
            <w:shd w:val="clear" w:color="auto" w:fill="FFFFFF"/>
          </w:tcPr>
          <w:p w14:paraId="17A81305" w14:textId="37A0755F" w:rsidR="00474DBE" w:rsidRPr="0071648A" w:rsidRDefault="00474DBE" w:rsidP="00474DBE">
            <w:pPr>
              <w:jc w:val="center"/>
              <w:rPr>
                <w:rFonts w:ascii="Arial" w:hAnsi="Arial" w:cs="Arial"/>
                <w:bCs/>
                <w:sz w:val="22"/>
                <w:szCs w:val="22"/>
              </w:rPr>
            </w:pPr>
            <w:r w:rsidRPr="00906548">
              <w:rPr>
                <w:rFonts w:ascii="Arial" w:hAnsi="Arial" w:cs="Arial"/>
                <w:sz w:val="22"/>
                <w:szCs w:val="22"/>
              </w:rPr>
              <w:t>2.47</w:t>
            </w:r>
          </w:p>
        </w:tc>
      </w:tr>
      <w:tr w:rsidR="00474DBE" w:rsidRPr="00F734C6" w14:paraId="18953D22" w14:textId="77777777" w:rsidTr="00A572F0">
        <w:tc>
          <w:tcPr>
            <w:tcW w:w="5171" w:type="dxa"/>
            <w:tcBorders>
              <w:bottom w:val="single" w:sz="6" w:space="0" w:color="auto"/>
            </w:tcBorders>
            <w:shd w:val="clear" w:color="auto" w:fill="FFFFFF"/>
          </w:tcPr>
          <w:p w14:paraId="437DE741" w14:textId="64842DE2" w:rsidR="00474DBE" w:rsidRPr="00F734C6" w:rsidRDefault="00474DBE" w:rsidP="00474DBE">
            <w:pPr>
              <w:rPr>
                <w:rFonts w:ascii="Arial" w:hAnsi="Arial" w:cs="Arial"/>
                <w:sz w:val="22"/>
                <w:szCs w:val="22"/>
              </w:rPr>
            </w:pPr>
            <w:r>
              <w:rPr>
                <w:rFonts w:ascii="Arial" w:hAnsi="Arial" w:cs="Arial"/>
                <w:sz w:val="22"/>
                <w:szCs w:val="22"/>
              </w:rPr>
              <w:t>Cobalt compounds (7440-48-4)</w:t>
            </w:r>
          </w:p>
        </w:tc>
        <w:tc>
          <w:tcPr>
            <w:tcW w:w="5130" w:type="dxa"/>
            <w:tcBorders>
              <w:bottom w:val="single" w:sz="6" w:space="0" w:color="auto"/>
            </w:tcBorders>
            <w:shd w:val="clear" w:color="auto" w:fill="FFFFFF"/>
          </w:tcPr>
          <w:p w14:paraId="501D8C1E" w14:textId="21C37E07" w:rsidR="00474DBE" w:rsidRPr="0071648A" w:rsidRDefault="00474DBE" w:rsidP="00474DBE">
            <w:pPr>
              <w:jc w:val="center"/>
              <w:rPr>
                <w:rFonts w:ascii="Arial" w:hAnsi="Arial" w:cs="Arial"/>
                <w:bCs/>
                <w:sz w:val="22"/>
                <w:szCs w:val="22"/>
              </w:rPr>
            </w:pPr>
            <w:r w:rsidRPr="003640D6">
              <w:rPr>
                <w:rFonts w:ascii="Arial" w:hAnsi="Arial" w:cs="Arial"/>
                <w:sz w:val="22"/>
                <w:szCs w:val="22"/>
              </w:rPr>
              <w:t>0.02</w:t>
            </w:r>
          </w:p>
        </w:tc>
      </w:tr>
      <w:tr w:rsidR="00474DBE" w:rsidRPr="00F734C6" w14:paraId="2AB55DA9" w14:textId="77777777" w:rsidTr="00A572F0">
        <w:tc>
          <w:tcPr>
            <w:tcW w:w="5171" w:type="dxa"/>
            <w:tcBorders>
              <w:top w:val="single" w:sz="6" w:space="0" w:color="auto"/>
              <w:bottom w:val="double" w:sz="4" w:space="0" w:color="auto"/>
            </w:tcBorders>
            <w:shd w:val="clear" w:color="auto" w:fill="FFFFFF"/>
          </w:tcPr>
          <w:p w14:paraId="7019355F" w14:textId="77777777" w:rsidR="00474DBE" w:rsidRPr="00F734C6" w:rsidRDefault="00474DBE" w:rsidP="00474DBE">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2218343" w14:textId="5452057E" w:rsidR="00474DBE" w:rsidRPr="00F734C6" w:rsidRDefault="00474DBE" w:rsidP="00474DBE">
            <w:pPr>
              <w:jc w:val="center"/>
              <w:rPr>
                <w:rFonts w:ascii="Arial" w:hAnsi="Arial" w:cs="Arial"/>
                <w:b/>
                <w:sz w:val="22"/>
                <w:szCs w:val="22"/>
              </w:rPr>
            </w:pPr>
            <w:r>
              <w:rPr>
                <w:rFonts w:ascii="Arial" w:hAnsi="Arial" w:cs="Arial"/>
                <w:b/>
                <w:sz w:val="22"/>
                <w:szCs w:val="22"/>
              </w:rPr>
              <w:t>15.18</w:t>
            </w:r>
          </w:p>
        </w:tc>
      </w:tr>
    </w:tbl>
    <w:p w14:paraId="0AD6D857"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C41EA05" w14:textId="77777777" w:rsidR="000F73C3" w:rsidRDefault="000F73C3" w:rsidP="00167B85">
      <w:pPr>
        <w:jc w:val="both"/>
        <w:rPr>
          <w:rFonts w:ascii="Arial" w:hAnsi="Arial" w:cs="Arial"/>
          <w:sz w:val="22"/>
          <w:szCs w:val="22"/>
        </w:rPr>
      </w:pPr>
    </w:p>
    <w:p w14:paraId="27BB8D3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12486A9" w14:textId="77777777" w:rsidR="00940B7D" w:rsidRPr="00290754" w:rsidRDefault="00940B7D">
      <w:pPr>
        <w:rPr>
          <w:rFonts w:ascii="Arial" w:hAnsi="Arial" w:cs="Arial"/>
          <w:sz w:val="22"/>
          <w:szCs w:val="22"/>
        </w:rPr>
      </w:pPr>
    </w:p>
    <w:p w14:paraId="514EF6E2" w14:textId="77777777"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14:paraId="5D620EBF" w14:textId="77777777" w:rsidR="00AF4326" w:rsidRPr="005A6987" w:rsidRDefault="00AF4326" w:rsidP="00167B85">
      <w:pPr>
        <w:jc w:val="both"/>
        <w:rPr>
          <w:rFonts w:ascii="Arial" w:hAnsi="Arial" w:cs="Arial"/>
          <w:sz w:val="22"/>
          <w:szCs w:val="22"/>
        </w:rPr>
      </w:pPr>
    </w:p>
    <w:p w14:paraId="3C729BCC" w14:textId="77777777" w:rsidR="00474DBE" w:rsidRPr="00346A21" w:rsidRDefault="00474DBE" w:rsidP="00474DBE">
      <w:pPr>
        <w:jc w:val="both"/>
        <w:outlineLvl w:val="0"/>
        <w:rPr>
          <w:rFonts w:ascii="Arial" w:hAnsi="Arial" w:cs="Arial"/>
          <w:sz w:val="22"/>
          <w:szCs w:val="22"/>
        </w:rPr>
      </w:pPr>
      <w:r w:rsidRPr="00346A21">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13CFA60C" w14:textId="77777777" w:rsidR="00474DBE" w:rsidRPr="00346A21" w:rsidRDefault="00474DBE" w:rsidP="00474DBE">
      <w:pPr>
        <w:jc w:val="both"/>
        <w:outlineLvl w:val="0"/>
        <w:rPr>
          <w:rFonts w:ascii="Arial" w:hAnsi="Arial" w:cs="Arial"/>
          <w:sz w:val="22"/>
          <w:szCs w:val="22"/>
        </w:rPr>
      </w:pPr>
    </w:p>
    <w:p w14:paraId="2021D209" w14:textId="2993749E" w:rsidR="00474DBE" w:rsidRPr="00762499" w:rsidRDefault="00474DBE" w:rsidP="00474DBE">
      <w:pPr>
        <w:jc w:val="both"/>
        <w:outlineLvl w:val="0"/>
        <w:rPr>
          <w:rFonts w:ascii="Arial" w:hAnsi="Arial" w:cs="Arial"/>
          <w:sz w:val="22"/>
          <w:szCs w:val="22"/>
        </w:rPr>
      </w:pPr>
      <w:r>
        <w:rPr>
          <w:rFonts w:ascii="Arial" w:hAnsi="Arial" w:cs="Arial"/>
          <w:sz w:val="22"/>
          <w:szCs w:val="22"/>
        </w:rPr>
        <w:t xml:space="preserve">The stationary source is located in Wayne County which is </w:t>
      </w:r>
      <w:r w:rsidRPr="00E95744">
        <w:rPr>
          <w:rFonts w:ascii="Arial" w:hAnsi="Arial" w:cs="Arial"/>
          <w:sz w:val="22"/>
          <w:szCs w:val="22"/>
        </w:rPr>
        <w:t>currently designated by the USEPA as attainment/unclassified for all criteria pollutants</w:t>
      </w:r>
      <w:r>
        <w:rPr>
          <w:rFonts w:ascii="Arial" w:hAnsi="Arial" w:cs="Arial"/>
          <w:sz w:val="22"/>
          <w:szCs w:val="22"/>
        </w:rPr>
        <w:t xml:space="preserve"> except as follows: </w:t>
      </w:r>
      <w:r w:rsidRPr="00190444">
        <w:rPr>
          <w:rFonts w:ascii="Arial" w:hAnsi="Arial" w:cs="Arial"/>
          <w:sz w:val="22"/>
          <w:szCs w:val="22"/>
        </w:rPr>
        <w:t xml:space="preserve">Wayne County is currently designated by the U.S. Environmental Protection Agency (USEPA) as </w:t>
      </w:r>
      <w:r>
        <w:rPr>
          <w:rFonts w:ascii="Arial" w:hAnsi="Arial" w:cs="Arial"/>
          <w:sz w:val="22"/>
          <w:szCs w:val="22"/>
        </w:rPr>
        <w:t>attainment/maintenance</w:t>
      </w:r>
      <w:r w:rsidRPr="00190444">
        <w:rPr>
          <w:rFonts w:ascii="Arial" w:hAnsi="Arial" w:cs="Arial"/>
          <w:sz w:val="22"/>
          <w:szCs w:val="22"/>
        </w:rPr>
        <w:t xml:space="preserve"> with respect to the </w:t>
      </w:r>
      <w:r w:rsidR="00A572F0">
        <w:rPr>
          <w:rFonts w:ascii="Arial" w:hAnsi="Arial" w:cs="Arial"/>
          <w:sz w:val="22"/>
          <w:szCs w:val="22"/>
        </w:rPr>
        <w:br/>
      </w:r>
      <w:r w:rsidRPr="00190444">
        <w:rPr>
          <w:rFonts w:ascii="Arial" w:hAnsi="Arial" w:cs="Arial"/>
          <w:sz w:val="22"/>
          <w:szCs w:val="22"/>
        </w:rPr>
        <w:t xml:space="preserve">8-hour ozone standard.  A portion of Wayne County is also currently designated by the USEPA as a </w:t>
      </w:r>
      <w:r w:rsidR="00A572F0">
        <w:rPr>
          <w:rFonts w:ascii="Arial" w:hAnsi="Arial" w:cs="Arial"/>
          <w:sz w:val="22"/>
          <w:szCs w:val="22"/>
        </w:rPr>
        <w:br/>
      </w:r>
      <w:r w:rsidRPr="00190444">
        <w:rPr>
          <w:rFonts w:ascii="Arial" w:hAnsi="Arial" w:cs="Arial"/>
          <w:sz w:val="22"/>
          <w:szCs w:val="22"/>
        </w:rPr>
        <w:t>non-attainment area with respect to the sulfur dioxide standard (SO</w:t>
      </w:r>
      <w:r w:rsidRPr="00190444">
        <w:rPr>
          <w:rFonts w:ascii="Arial" w:hAnsi="Arial" w:cs="Arial"/>
          <w:sz w:val="22"/>
          <w:szCs w:val="22"/>
          <w:vertAlign w:val="subscript"/>
        </w:rPr>
        <w:t>2</w:t>
      </w:r>
      <w:r w:rsidRPr="00190444">
        <w:rPr>
          <w:rFonts w:ascii="Arial" w:hAnsi="Arial" w:cs="Arial"/>
          <w:sz w:val="22"/>
          <w:szCs w:val="22"/>
        </w:rPr>
        <w:t>)</w:t>
      </w:r>
      <w:r>
        <w:rPr>
          <w:rFonts w:ascii="Arial" w:hAnsi="Arial" w:cs="Arial"/>
          <w:sz w:val="22"/>
          <w:szCs w:val="22"/>
        </w:rPr>
        <w:t>; t</w:t>
      </w:r>
      <w:r w:rsidRPr="00190444">
        <w:rPr>
          <w:rFonts w:ascii="Arial" w:hAnsi="Arial" w:cs="Arial"/>
          <w:sz w:val="22"/>
          <w:szCs w:val="22"/>
        </w:rPr>
        <w:t>his stationary source is not located in this portion of Wayne County.</w:t>
      </w:r>
      <w:r>
        <w:rPr>
          <w:rFonts w:ascii="Arial" w:hAnsi="Arial" w:cs="Arial"/>
          <w:sz w:val="22"/>
          <w:szCs w:val="22"/>
        </w:rPr>
        <w:t xml:space="preserve"> </w:t>
      </w:r>
    </w:p>
    <w:p w14:paraId="4C83552C" w14:textId="77777777" w:rsidR="00474DBE" w:rsidRPr="00346A21" w:rsidRDefault="00474DBE" w:rsidP="00474DBE">
      <w:pPr>
        <w:jc w:val="both"/>
        <w:outlineLvl w:val="0"/>
        <w:rPr>
          <w:rFonts w:ascii="Arial" w:hAnsi="Arial" w:cs="Arial"/>
          <w:sz w:val="22"/>
          <w:szCs w:val="22"/>
        </w:rPr>
      </w:pPr>
    </w:p>
    <w:p w14:paraId="656751C6" w14:textId="77777777" w:rsidR="00474DBE" w:rsidRPr="00346A21" w:rsidRDefault="00474DBE" w:rsidP="00474DBE">
      <w:pPr>
        <w:jc w:val="both"/>
        <w:outlineLvl w:val="0"/>
        <w:rPr>
          <w:rFonts w:ascii="Arial" w:hAnsi="Arial" w:cs="Arial"/>
          <w:sz w:val="22"/>
          <w:szCs w:val="22"/>
        </w:rPr>
      </w:pPr>
      <w:r w:rsidRPr="00346A21">
        <w:rPr>
          <w:rFonts w:ascii="Arial" w:hAnsi="Arial" w:cs="Arial"/>
          <w:sz w:val="22"/>
          <w:szCs w:val="22"/>
        </w:rPr>
        <w:t>The stationary source is subject to Title 40 of the Code of Federal Regulations (CFR) Part 70, because the potential to emit of carbon monoxide and nitrogen oxides each exceed 100 tons per year.</w:t>
      </w:r>
    </w:p>
    <w:p w14:paraId="47B8FC22" w14:textId="77777777" w:rsidR="00474DBE" w:rsidRPr="00346A21" w:rsidRDefault="00474DBE" w:rsidP="00474DBE">
      <w:pPr>
        <w:jc w:val="both"/>
        <w:outlineLvl w:val="0"/>
        <w:rPr>
          <w:rFonts w:ascii="Arial" w:hAnsi="Arial" w:cs="Arial"/>
          <w:sz w:val="22"/>
          <w:szCs w:val="22"/>
        </w:rPr>
      </w:pPr>
    </w:p>
    <w:p w14:paraId="1EAD9113" w14:textId="5D335C38" w:rsidR="00474DBE" w:rsidRPr="00560BB8" w:rsidRDefault="00474DBE" w:rsidP="00474DBE">
      <w:pPr>
        <w:jc w:val="both"/>
        <w:rPr>
          <w:rFonts w:ascii="Arial" w:hAnsi="Arial" w:cs="Arial"/>
          <w:sz w:val="22"/>
          <w:szCs w:val="22"/>
        </w:rPr>
      </w:pPr>
      <w:r w:rsidRPr="00560BB8">
        <w:rPr>
          <w:rFonts w:ascii="Arial" w:hAnsi="Arial" w:cs="Arial"/>
          <w:sz w:val="22"/>
          <w:szCs w:val="22"/>
        </w:rPr>
        <w:t>HAP emissions from Ford ATNPC (M4734) and the Ford Livonia Transmission Plant (A8645) are aggregated per the major source definition in the National Emissions Standards for Hazardous Air Pollutants regulations.  Together, the stationary sources are considered to be a “synthetic minor” source in regard to HAP emissions because both accepted legally enforceable permit conditions limiting the potential to emit of any single HAP regulated by the federal Clean Air Act, Section 112, to less than</w:t>
      </w:r>
      <w:r w:rsidRPr="00560BB8">
        <w:rPr>
          <w:rFonts w:ascii="Arial" w:hAnsi="Arial" w:cs="Arial"/>
          <w:b/>
          <w:sz w:val="22"/>
          <w:szCs w:val="22"/>
        </w:rPr>
        <w:t xml:space="preserve"> </w:t>
      </w:r>
      <w:r w:rsidRPr="00560BB8">
        <w:rPr>
          <w:rFonts w:ascii="Arial" w:hAnsi="Arial" w:cs="Arial"/>
          <w:sz w:val="22"/>
          <w:szCs w:val="22"/>
        </w:rPr>
        <w:t xml:space="preserve">10 tons per year and the potential to emit of all HAPs combined to less than 25 tons per year.  These conditions were initially established in 2012 and 2007 in the following ROPs: MI-ROP-M4734-2012 and MI-ROP-A8645-2007.  On May 1 and 2, 2018, Ford ATNPC and the Ford Livonia Transmission Plant, obtained the following permits </w:t>
      </w:r>
      <w:r w:rsidR="0032561D">
        <w:rPr>
          <w:rFonts w:ascii="Arial" w:hAnsi="Arial" w:cs="Arial"/>
          <w:sz w:val="22"/>
          <w:szCs w:val="22"/>
        </w:rPr>
        <w:t>to install (</w:t>
      </w:r>
      <w:r w:rsidRPr="00560BB8">
        <w:rPr>
          <w:rFonts w:ascii="Arial" w:hAnsi="Arial" w:cs="Arial"/>
          <w:sz w:val="22"/>
          <w:szCs w:val="22"/>
        </w:rPr>
        <w:t>PTI</w:t>
      </w:r>
      <w:r w:rsidR="0032561D">
        <w:rPr>
          <w:rFonts w:ascii="Arial" w:hAnsi="Arial" w:cs="Arial"/>
          <w:sz w:val="22"/>
          <w:szCs w:val="22"/>
        </w:rPr>
        <w:t>)</w:t>
      </w:r>
      <w:r w:rsidRPr="00560BB8">
        <w:rPr>
          <w:rFonts w:ascii="Arial" w:hAnsi="Arial" w:cs="Arial"/>
          <w:sz w:val="22"/>
          <w:szCs w:val="22"/>
        </w:rPr>
        <w:t xml:space="preserve"> No. 32-18 and No. 34-18.  These permits contain HAP emission limits to restrict the potential to emit of any single HAP regulated by the federal Clean Air Act, Section 112, to less than 10 tons per year and the potential to emit of all HAPs combined to less than 25 tons per year.  PTI No. 32-18 has been incorporated into this ROP under the Source-</w:t>
      </w:r>
      <w:r>
        <w:rPr>
          <w:rFonts w:ascii="Arial" w:hAnsi="Arial" w:cs="Arial"/>
          <w:sz w:val="22"/>
          <w:szCs w:val="22"/>
        </w:rPr>
        <w:t>W</w:t>
      </w:r>
      <w:r w:rsidRPr="00560BB8">
        <w:rPr>
          <w:rFonts w:ascii="Arial" w:hAnsi="Arial" w:cs="Arial"/>
          <w:sz w:val="22"/>
          <w:szCs w:val="22"/>
        </w:rPr>
        <w:t xml:space="preserve">ide </w:t>
      </w:r>
      <w:r>
        <w:rPr>
          <w:rFonts w:ascii="Arial" w:hAnsi="Arial" w:cs="Arial"/>
          <w:sz w:val="22"/>
          <w:szCs w:val="22"/>
        </w:rPr>
        <w:t>C</w:t>
      </w:r>
      <w:r w:rsidRPr="00560BB8">
        <w:rPr>
          <w:rFonts w:ascii="Arial" w:hAnsi="Arial" w:cs="Arial"/>
          <w:sz w:val="22"/>
          <w:szCs w:val="22"/>
        </w:rPr>
        <w:t>onditions.</w:t>
      </w:r>
    </w:p>
    <w:p w14:paraId="03A34EE3" w14:textId="77777777" w:rsidR="00474DBE" w:rsidRPr="00560BB8" w:rsidRDefault="00474DBE" w:rsidP="00474DBE">
      <w:pPr>
        <w:jc w:val="both"/>
        <w:rPr>
          <w:rFonts w:ascii="Arial" w:hAnsi="Arial" w:cs="Arial"/>
          <w:sz w:val="22"/>
          <w:szCs w:val="22"/>
        </w:rPr>
      </w:pPr>
    </w:p>
    <w:p w14:paraId="2B160ACC" w14:textId="2CEBE214" w:rsidR="00474DBE" w:rsidRPr="00560BB8" w:rsidRDefault="00474DBE" w:rsidP="00474DBE">
      <w:pPr>
        <w:contextualSpacing/>
        <w:jc w:val="both"/>
        <w:rPr>
          <w:rFonts w:ascii="Arial" w:hAnsi="Arial" w:cs="Arial"/>
          <w:sz w:val="22"/>
          <w:szCs w:val="22"/>
        </w:rPr>
      </w:pPr>
      <w:r w:rsidRPr="00560BB8">
        <w:rPr>
          <w:rFonts w:ascii="Arial" w:hAnsi="Arial" w:cs="Arial"/>
          <w:sz w:val="22"/>
          <w:szCs w:val="22"/>
        </w:rPr>
        <w:t xml:space="preserve">EU-PHASE3 at the stationary source was subject to review under the Prevention of Significant Deterioration </w:t>
      </w:r>
      <w:r>
        <w:rPr>
          <w:rFonts w:ascii="Arial" w:hAnsi="Arial" w:cs="Arial"/>
          <w:sz w:val="22"/>
          <w:szCs w:val="22"/>
        </w:rPr>
        <w:t xml:space="preserve">(PSD) </w:t>
      </w:r>
      <w:r w:rsidRPr="00560BB8">
        <w:rPr>
          <w:rFonts w:ascii="Arial" w:hAnsi="Arial" w:cs="Arial"/>
          <w:sz w:val="22"/>
          <w:szCs w:val="22"/>
        </w:rPr>
        <w:t xml:space="preserve">regulations of 40 CFR 52.21, because at the time of New Source Review permitting the potential to emit of nitrogen oxides and carbon monoxides was each greater than 250 tons per year and the installation of EU-PHASE3 represented a PSD major modification for nitrogen oxides. </w:t>
      </w:r>
      <w:r w:rsidR="00A572F0">
        <w:rPr>
          <w:rFonts w:ascii="Arial" w:hAnsi="Arial" w:cs="Arial"/>
          <w:sz w:val="22"/>
          <w:szCs w:val="22"/>
        </w:rPr>
        <w:t xml:space="preserve"> </w:t>
      </w:r>
      <w:r w:rsidRPr="00560BB8">
        <w:rPr>
          <w:rFonts w:ascii="Arial" w:hAnsi="Arial" w:cs="Arial"/>
          <w:sz w:val="22"/>
          <w:szCs w:val="22"/>
        </w:rPr>
        <w:t xml:space="preserve">PTI </w:t>
      </w:r>
      <w:r w:rsidR="00A572F0">
        <w:rPr>
          <w:rFonts w:ascii="Arial" w:hAnsi="Arial" w:cs="Arial"/>
          <w:sz w:val="22"/>
          <w:szCs w:val="22"/>
        </w:rPr>
        <w:t xml:space="preserve">No. </w:t>
      </w:r>
      <w:r w:rsidR="00A572F0">
        <w:rPr>
          <w:rFonts w:ascii="Arial" w:hAnsi="Arial" w:cs="Arial"/>
          <w:sz w:val="22"/>
          <w:szCs w:val="22"/>
        </w:rPr>
        <w:br/>
      </w:r>
      <w:r w:rsidRPr="00560BB8">
        <w:rPr>
          <w:rFonts w:ascii="Arial" w:hAnsi="Arial" w:cs="Arial"/>
          <w:sz w:val="22"/>
          <w:szCs w:val="22"/>
        </w:rPr>
        <w:t>68-12 (2012)</w:t>
      </w:r>
      <w:r w:rsidRPr="00560BB8" w:rsidDel="00505939">
        <w:rPr>
          <w:rFonts w:ascii="Arial" w:hAnsi="Arial" w:cs="Arial"/>
          <w:sz w:val="22"/>
          <w:szCs w:val="22"/>
        </w:rPr>
        <w:t xml:space="preserve"> </w:t>
      </w:r>
      <w:r w:rsidRPr="00560BB8">
        <w:rPr>
          <w:rFonts w:ascii="Arial" w:hAnsi="Arial" w:cs="Arial"/>
          <w:sz w:val="22"/>
          <w:szCs w:val="22"/>
        </w:rPr>
        <w:t xml:space="preserve">permitted 22 </w:t>
      </w:r>
      <w:r w:rsidRPr="00652F06">
        <w:rPr>
          <w:rFonts w:ascii="Arial" w:hAnsi="Arial" w:cs="Arial"/>
          <w:sz w:val="22"/>
          <w:szCs w:val="22"/>
        </w:rPr>
        <w:t>dynamometer test cells</w:t>
      </w:r>
      <w:r w:rsidRPr="00560BB8" w:rsidDel="00505939">
        <w:rPr>
          <w:rFonts w:ascii="Arial" w:hAnsi="Arial" w:cs="Arial"/>
          <w:sz w:val="22"/>
          <w:szCs w:val="22"/>
        </w:rPr>
        <w:t xml:space="preserve"> </w:t>
      </w:r>
      <w:r w:rsidRPr="00560BB8">
        <w:rPr>
          <w:rFonts w:ascii="Arial" w:hAnsi="Arial" w:cs="Arial"/>
          <w:sz w:val="22"/>
          <w:szCs w:val="22"/>
        </w:rPr>
        <w:t xml:space="preserve">(FG-PHASE3) and underwent public comment. </w:t>
      </w:r>
    </w:p>
    <w:p w14:paraId="07A8EDA8" w14:textId="77777777" w:rsidR="00474DBE" w:rsidRPr="00560BB8" w:rsidRDefault="00474DBE" w:rsidP="00474DBE">
      <w:pPr>
        <w:ind w:left="360"/>
        <w:contextualSpacing/>
        <w:jc w:val="both"/>
        <w:rPr>
          <w:rFonts w:ascii="Arial" w:hAnsi="Arial" w:cs="Arial"/>
          <w:sz w:val="22"/>
          <w:szCs w:val="22"/>
        </w:rPr>
      </w:pPr>
    </w:p>
    <w:p w14:paraId="76B20CB0" w14:textId="421AC42C" w:rsidR="00474DBE" w:rsidRPr="00560BB8" w:rsidRDefault="00474DBE" w:rsidP="00474DBE">
      <w:pPr>
        <w:contextualSpacing/>
        <w:jc w:val="both"/>
        <w:rPr>
          <w:rFonts w:ascii="Arial" w:hAnsi="Arial" w:cs="Arial"/>
          <w:sz w:val="22"/>
          <w:szCs w:val="22"/>
        </w:rPr>
      </w:pPr>
      <w:r w:rsidRPr="00560BB8">
        <w:rPr>
          <w:rFonts w:ascii="Arial" w:hAnsi="Arial" w:cs="Arial"/>
          <w:sz w:val="22"/>
          <w:szCs w:val="22"/>
        </w:rPr>
        <w:t xml:space="preserve">PTI </w:t>
      </w:r>
      <w:r w:rsidR="00A572F0">
        <w:rPr>
          <w:rFonts w:ascii="Arial" w:hAnsi="Arial" w:cs="Arial"/>
          <w:sz w:val="22"/>
          <w:szCs w:val="22"/>
        </w:rPr>
        <w:t xml:space="preserve">No. </w:t>
      </w:r>
      <w:r w:rsidRPr="00560BB8">
        <w:rPr>
          <w:rFonts w:ascii="Arial" w:hAnsi="Arial" w:cs="Arial"/>
          <w:sz w:val="22"/>
          <w:szCs w:val="22"/>
        </w:rPr>
        <w:t xml:space="preserve">68-12A (2015) only 20 of the 22 were installed from 68-12. </w:t>
      </w:r>
      <w:r w:rsidR="00A572F0">
        <w:rPr>
          <w:rFonts w:ascii="Arial" w:hAnsi="Arial" w:cs="Arial"/>
          <w:sz w:val="22"/>
          <w:szCs w:val="22"/>
        </w:rPr>
        <w:t xml:space="preserve"> </w:t>
      </w:r>
      <w:r w:rsidRPr="00560BB8">
        <w:rPr>
          <w:rFonts w:ascii="Arial" w:hAnsi="Arial" w:cs="Arial"/>
          <w:sz w:val="22"/>
          <w:szCs w:val="22"/>
        </w:rPr>
        <w:t xml:space="preserve">The </w:t>
      </w:r>
      <w:r w:rsidR="00A572F0">
        <w:rPr>
          <w:rFonts w:ascii="Arial" w:hAnsi="Arial" w:cs="Arial"/>
          <w:sz w:val="22"/>
          <w:szCs w:val="22"/>
        </w:rPr>
        <w:t>two</w:t>
      </w:r>
      <w:r w:rsidRPr="00560BB8">
        <w:rPr>
          <w:rFonts w:ascii="Arial" w:hAnsi="Arial" w:cs="Arial"/>
          <w:sz w:val="22"/>
          <w:szCs w:val="22"/>
        </w:rPr>
        <w:t xml:space="preserve"> new </w:t>
      </w:r>
      <w:r w:rsidRPr="00652F06">
        <w:rPr>
          <w:rFonts w:ascii="Arial" w:hAnsi="Arial" w:cs="Arial"/>
          <w:sz w:val="22"/>
          <w:szCs w:val="22"/>
        </w:rPr>
        <w:t>dynamometer test cells</w:t>
      </w:r>
      <w:r w:rsidRPr="00560BB8" w:rsidDel="00505939">
        <w:rPr>
          <w:rFonts w:ascii="Arial" w:hAnsi="Arial" w:cs="Arial"/>
          <w:sz w:val="22"/>
          <w:szCs w:val="22"/>
        </w:rPr>
        <w:t xml:space="preserve"> </w:t>
      </w:r>
      <w:r w:rsidRPr="00560BB8">
        <w:rPr>
          <w:rFonts w:ascii="Arial" w:hAnsi="Arial" w:cs="Arial"/>
          <w:sz w:val="22"/>
          <w:szCs w:val="22"/>
        </w:rPr>
        <w:t>proposed in this application were put into a new F</w:t>
      </w:r>
      <w:r w:rsidR="00A572F0">
        <w:rPr>
          <w:rFonts w:ascii="Arial" w:hAnsi="Arial" w:cs="Arial"/>
          <w:sz w:val="22"/>
          <w:szCs w:val="22"/>
        </w:rPr>
        <w:t xml:space="preserve">lexible </w:t>
      </w:r>
      <w:r w:rsidRPr="00560BB8">
        <w:rPr>
          <w:rFonts w:ascii="Arial" w:hAnsi="Arial" w:cs="Arial"/>
          <w:sz w:val="22"/>
          <w:szCs w:val="22"/>
        </w:rPr>
        <w:t>G</w:t>
      </w:r>
      <w:r w:rsidR="00A572F0">
        <w:rPr>
          <w:rFonts w:ascii="Arial" w:hAnsi="Arial" w:cs="Arial"/>
          <w:sz w:val="22"/>
          <w:szCs w:val="22"/>
        </w:rPr>
        <w:t>roup</w:t>
      </w:r>
      <w:r w:rsidRPr="00560BB8">
        <w:rPr>
          <w:rFonts w:ascii="Arial" w:hAnsi="Arial" w:cs="Arial"/>
          <w:sz w:val="22"/>
          <w:szCs w:val="22"/>
        </w:rPr>
        <w:t>: FG</w:t>
      </w:r>
      <w:r w:rsidR="00A572F0">
        <w:rPr>
          <w:rFonts w:ascii="Arial" w:hAnsi="Arial" w:cs="Arial"/>
          <w:sz w:val="22"/>
          <w:szCs w:val="22"/>
        </w:rPr>
        <w:t>-</w:t>
      </w:r>
      <w:r w:rsidRPr="00560BB8">
        <w:rPr>
          <w:rFonts w:ascii="Arial" w:hAnsi="Arial" w:cs="Arial"/>
          <w:sz w:val="22"/>
          <w:szCs w:val="22"/>
        </w:rPr>
        <w:t xml:space="preserve">PHASE3A. </w:t>
      </w:r>
      <w:r w:rsidR="00A572F0">
        <w:rPr>
          <w:rFonts w:ascii="Arial" w:hAnsi="Arial" w:cs="Arial"/>
          <w:sz w:val="22"/>
          <w:szCs w:val="22"/>
        </w:rPr>
        <w:t xml:space="preserve"> </w:t>
      </w:r>
      <w:r w:rsidRPr="00560BB8">
        <w:rPr>
          <w:rFonts w:ascii="Arial" w:hAnsi="Arial" w:cs="Arial"/>
          <w:sz w:val="22"/>
          <w:szCs w:val="22"/>
        </w:rPr>
        <w:t xml:space="preserve">PTI </w:t>
      </w:r>
      <w:r w:rsidR="00A572F0">
        <w:rPr>
          <w:rFonts w:ascii="Arial" w:hAnsi="Arial" w:cs="Arial"/>
          <w:sz w:val="22"/>
          <w:szCs w:val="22"/>
        </w:rPr>
        <w:t xml:space="preserve">No. </w:t>
      </w:r>
      <w:r w:rsidRPr="00560BB8">
        <w:rPr>
          <w:rFonts w:ascii="Arial" w:hAnsi="Arial" w:cs="Arial"/>
          <w:sz w:val="22"/>
          <w:szCs w:val="22"/>
        </w:rPr>
        <w:t>68-12A was approved to allow Ford to install the two new dynamometer</w:t>
      </w:r>
      <w:r>
        <w:rPr>
          <w:rFonts w:ascii="Arial" w:hAnsi="Arial" w:cs="Arial"/>
          <w:sz w:val="22"/>
          <w:szCs w:val="22"/>
        </w:rPr>
        <w:t xml:space="preserve"> test cell</w:t>
      </w:r>
      <w:r w:rsidRPr="00560BB8">
        <w:rPr>
          <w:rFonts w:ascii="Arial" w:hAnsi="Arial" w:cs="Arial"/>
          <w:sz w:val="22"/>
          <w:szCs w:val="22"/>
        </w:rPr>
        <w:t>s as their own separate flexible group (FG</w:t>
      </w:r>
      <w:r w:rsidR="00A572F0">
        <w:rPr>
          <w:rFonts w:ascii="Arial" w:hAnsi="Arial" w:cs="Arial"/>
          <w:sz w:val="22"/>
          <w:szCs w:val="22"/>
        </w:rPr>
        <w:t>-</w:t>
      </w:r>
      <w:r w:rsidRPr="00560BB8">
        <w:rPr>
          <w:rFonts w:ascii="Arial" w:hAnsi="Arial" w:cs="Arial"/>
          <w:sz w:val="22"/>
          <w:szCs w:val="22"/>
        </w:rPr>
        <w:t xml:space="preserve">PHASE3A). </w:t>
      </w:r>
      <w:r w:rsidR="00A572F0">
        <w:rPr>
          <w:rFonts w:ascii="Arial" w:hAnsi="Arial" w:cs="Arial"/>
          <w:sz w:val="22"/>
          <w:szCs w:val="22"/>
        </w:rPr>
        <w:t xml:space="preserve"> </w:t>
      </w:r>
      <w:r w:rsidRPr="00560BB8">
        <w:rPr>
          <w:rFonts w:ascii="Arial" w:hAnsi="Arial" w:cs="Arial"/>
          <w:sz w:val="22"/>
          <w:szCs w:val="22"/>
        </w:rPr>
        <w:t>The two dynos were put into a new F</w:t>
      </w:r>
      <w:r w:rsidR="00A572F0">
        <w:rPr>
          <w:rFonts w:ascii="Arial" w:hAnsi="Arial" w:cs="Arial"/>
          <w:sz w:val="22"/>
          <w:szCs w:val="22"/>
        </w:rPr>
        <w:t xml:space="preserve">lexible </w:t>
      </w:r>
      <w:r w:rsidRPr="00560BB8">
        <w:rPr>
          <w:rFonts w:ascii="Arial" w:hAnsi="Arial" w:cs="Arial"/>
          <w:sz w:val="22"/>
          <w:szCs w:val="22"/>
        </w:rPr>
        <w:t>G</w:t>
      </w:r>
      <w:r w:rsidR="00A572F0">
        <w:rPr>
          <w:rFonts w:ascii="Arial" w:hAnsi="Arial" w:cs="Arial"/>
          <w:sz w:val="22"/>
          <w:szCs w:val="22"/>
        </w:rPr>
        <w:t>roup</w:t>
      </w:r>
      <w:r w:rsidRPr="00560BB8">
        <w:rPr>
          <w:rFonts w:ascii="Arial" w:hAnsi="Arial" w:cs="Arial"/>
          <w:sz w:val="22"/>
          <w:szCs w:val="22"/>
        </w:rPr>
        <w:t xml:space="preserve"> to simplify the review and reduce the project’s significance to below the significant emissions rate. </w:t>
      </w:r>
    </w:p>
    <w:p w14:paraId="279DA0CB" w14:textId="77777777" w:rsidR="00474DBE" w:rsidRPr="00560BB8" w:rsidRDefault="00474DBE" w:rsidP="00474DBE">
      <w:pPr>
        <w:ind w:left="360"/>
        <w:contextualSpacing/>
        <w:jc w:val="both"/>
        <w:rPr>
          <w:rFonts w:ascii="Arial" w:hAnsi="Arial" w:cs="Arial"/>
          <w:sz w:val="22"/>
          <w:szCs w:val="22"/>
        </w:rPr>
      </w:pPr>
      <w:bookmarkStart w:id="15" w:name="_Hlk150333761"/>
    </w:p>
    <w:p w14:paraId="652E521A" w14:textId="7BB1A8FD" w:rsidR="00474DBE" w:rsidRPr="00560BB8" w:rsidRDefault="00474DBE" w:rsidP="00474DBE">
      <w:pPr>
        <w:contextualSpacing/>
        <w:jc w:val="both"/>
        <w:rPr>
          <w:rFonts w:ascii="Arial" w:hAnsi="Arial" w:cs="Arial"/>
          <w:sz w:val="22"/>
          <w:szCs w:val="22"/>
        </w:rPr>
      </w:pPr>
      <w:r w:rsidRPr="00560BB8">
        <w:rPr>
          <w:rFonts w:ascii="Arial" w:hAnsi="Arial" w:cs="Arial"/>
          <w:sz w:val="22"/>
          <w:szCs w:val="22"/>
        </w:rPr>
        <w:t xml:space="preserve">PTI </w:t>
      </w:r>
      <w:r w:rsidR="00A572F0">
        <w:rPr>
          <w:rFonts w:ascii="Arial" w:hAnsi="Arial" w:cs="Arial"/>
          <w:sz w:val="22"/>
          <w:szCs w:val="22"/>
        </w:rPr>
        <w:t xml:space="preserve">No. </w:t>
      </w:r>
      <w:r w:rsidRPr="00560BB8">
        <w:rPr>
          <w:rFonts w:ascii="Arial" w:hAnsi="Arial" w:cs="Arial"/>
          <w:sz w:val="22"/>
          <w:szCs w:val="22"/>
        </w:rPr>
        <w:t xml:space="preserve">68-12B (2017) added </w:t>
      </w:r>
      <w:r w:rsidR="00A572F0">
        <w:rPr>
          <w:rFonts w:ascii="Arial" w:hAnsi="Arial" w:cs="Arial"/>
          <w:sz w:val="22"/>
          <w:szCs w:val="22"/>
        </w:rPr>
        <w:t>three</w:t>
      </w:r>
      <w:r w:rsidRPr="00560BB8">
        <w:rPr>
          <w:rFonts w:ascii="Arial" w:hAnsi="Arial" w:cs="Arial"/>
          <w:sz w:val="22"/>
          <w:szCs w:val="22"/>
        </w:rPr>
        <w:t xml:space="preserve"> new </w:t>
      </w:r>
      <w:r w:rsidRPr="00652F06">
        <w:rPr>
          <w:rFonts w:ascii="Arial" w:hAnsi="Arial" w:cs="Arial"/>
          <w:sz w:val="22"/>
          <w:szCs w:val="22"/>
        </w:rPr>
        <w:t>dynamometer test cells</w:t>
      </w:r>
      <w:r w:rsidRPr="00560BB8">
        <w:rPr>
          <w:rFonts w:ascii="Arial" w:hAnsi="Arial" w:cs="Arial"/>
          <w:sz w:val="22"/>
          <w:szCs w:val="22"/>
        </w:rPr>
        <w:t xml:space="preserve"> to FG</w:t>
      </w:r>
      <w:r w:rsidR="00A572F0">
        <w:rPr>
          <w:rFonts w:ascii="Arial" w:hAnsi="Arial" w:cs="Arial"/>
          <w:sz w:val="22"/>
          <w:szCs w:val="22"/>
        </w:rPr>
        <w:t>-</w:t>
      </w:r>
      <w:r w:rsidRPr="00560BB8">
        <w:rPr>
          <w:rFonts w:ascii="Arial" w:hAnsi="Arial" w:cs="Arial"/>
          <w:sz w:val="22"/>
          <w:szCs w:val="22"/>
        </w:rPr>
        <w:t xml:space="preserve">PHASE3A (now </w:t>
      </w:r>
      <w:r w:rsidR="00A572F0">
        <w:rPr>
          <w:rFonts w:ascii="Arial" w:hAnsi="Arial" w:cs="Arial"/>
          <w:sz w:val="22"/>
          <w:szCs w:val="22"/>
        </w:rPr>
        <w:t>five</w:t>
      </w:r>
      <w:r w:rsidRPr="00560BB8">
        <w:rPr>
          <w:rFonts w:ascii="Arial" w:hAnsi="Arial" w:cs="Arial"/>
          <w:sz w:val="22"/>
          <w:szCs w:val="22"/>
        </w:rPr>
        <w:t xml:space="preserve"> </w:t>
      </w:r>
      <w:r w:rsidRPr="00652F06">
        <w:rPr>
          <w:rFonts w:ascii="Arial" w:hAnsi="Arial" w:cs="Arial"/>
          <w:sz w:val="22"/>
          <w:szCs w:val="22"/>
        </w:rPr>
        <w:t>dynamometer test cells</w:t>
      </w:r>
      <w:r w:rsidRPr="00560BB8" w:rsidDel="00505939">
        <w:rPr>
          <w:rFonts w:ascii="Arial" w:hAnsi="Arial" w:cs="Arial"/>
          <w:sz w:val="22"/>
          <w:szCs w:val="22"/>
        </w:rPr>
        <w:t xml:space="preserve"> </w:t>
      </w:r>
      <w:r w:rsidRPr="00560BB8">
        <w:rPr>
          <w:rFonts w:ascii="Arial" w:hAnsi="Arial" w:cs="Arial"/>
          <w:sz w:val="22"/>
          <w:szCs w:val="22"/>
        </w:rPr>
        <w:t>in FG</w:t>
      </w:r>
      <w:r w:rsidR="00A572F0">
        <w:rPr>
          <w:rFonts w:ascii="Arial" w:hAnsi="Arial" w:cs="Arial"/>
          <w:sz w:val="22"/>
          <w:szCs w:val="22"/>
        </w:rPr>
        <w:t>-</w:t>
      </w:r>
      <w:r w:rsidRPr="00560BB8">
        <w:rPr>
          <w:rFonts w:ascii="Arial" w:hAnsi="Arial" w:cs="Arial"/>
          <w:sz w:val="22"/>
          <w:szCs w:val="22"/>
        </w:rPr>
        <w:t xml:space="preserve">PHASE3A). </w:t>
      </w:r>
      <w:r w:rsidR="00A572F0">
        <w:rPr>
          <w:rFonts w:ascii="Arial" w:hAnsi="Arial" w:cs="Arial"/>
          <w:sz w:val="22"/>
          <w:szCs w:val="22"/>
        </w:rPr>
        <w:t xml:space="preserve"> </w:t>
      </w:r>
      <w:r w:rsidRPr="00560BB8">
        <w:rPr>
          <w:rFonts w:ascii="Arial" w:hAnsi="Arial" w:cs="Arial"/>
          <w:sz w:val="22"/>
          <w:szCs w:val="22"/>
        </w:rPr>
        <w:t xml:space="preserve">Still 20 </w:t>
      </w:r>
      <w:r w:rsidRPr="00652F06">
        <w:rPr>
          <w:rFonts w:ascii="Arial" w:hAnsi="Arial" w:cs="Arial"/>
          <w:sz w:val="22"/>
          <w:szCs w:val="22"/>
        </w:rPr>
        <w:t>dynamometer test cells</w:t>
      </w:r>
      <w:r w:rsidRPr="00560BB8">
        <w:rPr>
          <w:rFonts w:ascii="Arial" w:hAnsi="Arial" w:cs="Arial"/>
          <w:sz w:val="22"/>
          <w:szCs w:val="22"/>
        </w:rPr>
        <w:t xml:space="preserve"> in FG</w:t>
      </w:r>
      <w:r w:rsidR="00A572F0">
        <w:rPr>
          <w:rFonts w:ascii="Arial" w:hAnsi="Arial" w:cs="Arial"/>
          <w:sz w:val="22"/>
          <w:szCs w:val="22"/>
        </w:rPr>
        <w:t>-</w:t>
      </w:r>
      <w:r w:rsidRPr="00560BB8">
        <w:rPr>
          <w:rFonts w:ascii="Arial" w:hAnsi="Arial" w:cs="Arial"/>
          <w:sz w:val="22"/>
          <w:szCs w:val="22"/>
        </w:rPr>
        <w:t>PHASE3.</w:t>
      </w:r>
    </w:p>
    <w:p w14:paraId="3D109ECA" w14:textId="77777777" w:rsidR="00474DBE" w:rsidRPr="00560BB8" w:rsidRDefault="00474DBE" w:rsidP="00474DBE">
      <w:pPr>
        <w:contextualSpacing/>
        <w:jc w:val="both"/>
        <w:rPr>
          <w:rFonts w:ascii="Arial" w:hAnsi="Arial" w:cs="Arial"/>
          <w:sz w:val="22"/>
          <w:szCs w:val="22"/>
        </w:rPr>
      </w:pPr>
    </w:p>
    <w:bookmarkEnd w:id="15"/>
    <w:p w14:paraId="41A88213" w14:textId="2552BCF4" w:rsidR="00474DBE" w:rsidRPr="00560BB8" w:rsidRDefault="00474DBE" w:rsidP="00474DBE">
      <w:pPr>
        <w:contextualSpacing/>
        <w:jc w:val="both"/>
        <w:rPr>
          <w:rFonts w:ascii="Arial" w:hAnsi="Arial" w:cs="Arial"/>
          <w:sz w:val="22"/>
          <w:szCs w:val="22"/>
        </w:rPr>
      </w:pPr>
      <w:r w:rsidRPr="00560BB8">
        <w:rPr>
          <w:rFonts w:ascii="Arial" w:hAnsi="Arial" w:cs="Arial"/>
          <w:sz w:val="22"/>
          <w:szCs w:val="22"/>
        </w:rPr>
        <w:t xml:space="preserve">PTI </w:t>
      </w:r>
      <w:r w:rsidR="00A572F0">
        <w:rPr>
          <w:rFonts w:ascii="Arial" w:hAnsi="Arial" w:cs="Arial"/>
          <w:sz w:val="22"/>
          <w:szCs w:val="22"/>
        </w:rPr>
        <w:t xml:space="preserve">No. </w:t>
      </w:r>
      <w:r w:rsidRPr="00560BB8">
        <w:rPr>
          <w:rFonts w:ascii="Arial" w:hAnsi="Arial" w:cs="Arial"/>
          <w:sz w:val="22"/>
          <w:szCs w:val="22"/>
        </w:rPr>
        <w:t xml:space="preserve">68-12C (2022) upgraded </w:t>
      </w:r>
      <w:r w:rsidR="00A572F0">
        <w:rPr>
          <w:rFonts w:ascii="Arial" w:hAnsi="Arial" w:cs="Arial"/>
          <w:sz w:val="22"/>
          <w:szCs w:val="22"/>
        </w:rPr>
        <w:t>two</w:t>
      </w:r>
      <w:r w:rsidRPr="00560BB8">
        <w:rPr>
          <w:rFonts w:ascii="Arial" w:hAnsi="Arial" w:cs="Arial"/>
          <w:sz w:val="22"/>
          <w:szCs w:val="22"/>
        </w:rPr>
        <w:t xml:space="preserve"> of the existing </w:t>
      </w:r>
      <w:r w:rsidRPr="00652F06">
        <w:rPr>
          <w:rFonts w:ascii="Arial" w:hAnsi="Arial" w:cs="Arial"/>
          <w:sz w:val="22"/>
          <w:szCs w:val="22"/>
        </w:rPr>
        <w:t>dynamometer test cells</w:t>
      </w:r>
      <w:r w:rsidRPr="00560BB8">
        <w:rPr>
          <w:rFonts w:ascii="Arial" w:hAnsi="Arial" w:cs="Arial"/>
          <w:sz w:val="22"/>
          <w:szCs w:val="22"/>
        </w:rPr>
        <w:t xml:space="preserve"> in FG</w:t>
      </w:r>
      <w:r w:rsidR="00A572F0">
        <w:rPr>
          <w:rFonts w:ascii="Arial" w:hAnsi="Arial" w:cs="Arial"/>
          <w:sz w:val="22"/>
          <w:szCs w:val="22"/>
        </w:rPr>
        <w:t>-</w:t>
      </w:r>
      <w:r w:rsidRPr="00560BB8">
        <w:rPr>
          <w:rFonts w:ascii="Arial" w:hAnsi="Arial" w:cs="Arial"/>
          <w:sz w:val="22"/>
          <w:szCs w:val="22"/>
        </w:rPr>
        <w:t xml:space="preserve">PHASE3 (not 3A). </w:t>
      </w:r>
      <w:r w:rsidR="00A572F0">
        <w:rPr>
          <w:rFonts w:ascii="Arial" w:hAnsi="Arial" w:cs="Arial"/>
          <w:sz w:val="22"/>
          <w:szCs w:val="22"/>
        </w:rPr>
        <w:t xml:space="preserve"> </w:t>
      </w:r>
      <w:r w:rsidRPr="00560BB8">
        <w:rPr>
          <w:rFonts w:ascii="Arial" w:hAnsi="Arial" w:cs="Arial"/>
          <w:sz w:val="22"/>
          <w:szCs w:val="22"/>
        </w:rPr>
        <w:t>This upgrade involve</w:t>
      </w:r>
      <w:r>
        <w:rPr>
          <w:rFonts w:ascii="Arial" w:hAnsi="Arial" w:cs="Arial"/>
          <w:sz w:val="22"/>
          <w:szCs w:val="22"/>
        </w:rPr>
        <w:t>d</w:t>
      </w:r>
      <w:r w:rsidRPr="00560BB8">
        <w:rPr>
          <w:rFonts w:ascii="Arial" w:hAnsi="Arial" w:cs="Arial"/>
          <w:sz w:val="22"/>
          <w:szCs w:val="22"/>
        </w:rPr>
        <w:t xml:space="preserve"> changing test cells I-12 and I-13 (which currently perform rear wheel drive transmission testing)</w:t>
      </w:r>
      <w:r>
        <w:rPr>
          <w:rFonts w:ascii="Arial" w:hAnsi="Arial" w:cs="Arial"/>
          <w:sz w:val="22"/>
          <w:szCs w:val="22"/>
        </w:rPr>
        <w:t xml:space="preserve"> </w:t>
      </w:r>
      <w:r w:rsidRPr="00560BB8">
        <w:rPr>
          <w:rFonts w:ascii="Arial" w:hAnsi="Arial" w:cs="Arial"/>
          <w:sz w:val="22"/>
          <w:szCs w:val="22"/>
        </w:rPr>
        <w:t>from medium torque to high torque cells to accommodate testing of electric driven transmission systems while maintaining ability to continue testing existing internal combustion</w:t>
      </w:r>
      <w:r>
        <w:rPr>
          <w:rFonts w:ascii="Arial" w:hAnsi="Arial" w:cs="Arial"/>
          <w:sz w:val="22"/>
          <w:szCs w:val="22"/>
        </w:rPr>
        <w:t xml:space="preserve"> </w:t>
      </w:r>
      <w:r w:rsidRPr="00560BB8">
        <w:rPr>
          <w:rFonts w:ascii="Arial" w:hAnsi="Arial" w:cs="Arial"/>
          <w:sz w:val="22"/>
          <w:szCs w:val="22"/>
        </w:rPr>
        <w:t xml:space="preserve">engines in those cells. </w:t>
      </w:r>
      <w:r w:rsidR="00A572F0">
        <w:rPr>
          <w:rFonts w:ascii="Arial" w:hAnsi="Arial" w:cs="Arial"/>
          <w:sz w:val="22"/>
          <w:szCs w:val="22"/>
        </w:rPr>
        <w:t xml:space="preserve"> </w:t>
      </w:r>
      <w:r w:rsidRPr="00560BB8">
        <w:rPr>
          <w:rFonts w:ascii="Arial" w:hAnsi="Arial" w:cs="Arial"/>
          <w:sz w:val="22"/>
          <w:szCs w:val="22"/>
        </w:rPr>
        <w:t xml:space="preserve">Each of the two dynos are 845 hp. </w:t>
      </w:r>
      <w:r w:rsidR="00A572F0">
        <w:rPr>
          <w:rFonts w:ascii="Arial" w:hAnsi="Arial" w:cs="Arial"/>
          <w:sz w:val="22"/>
          <w:szCs w:val="22"/>
        </w:rPr>
        <w:t xml:space="preserve"> </w:t>
      </w:r>
      <w:r w:rsidRPr="00560BB8">
        <w:rPr>
          <w:rFonts w:ascii="Arial" w:hAnsi="Arial" w:cs="Arial"/>
          <w:sz w:val="22"/>
          <w:szCs w:val="22"/>
        </w:rPr>
        <w:t xml:space="preserve">Because the </w:t>
      </w:r>
      <w:r>
        <w:rPr>
          <w:rFonts w:ascii="Arial" w:hAnsi="Arial" w:cs="Arial"/>
          <w:sz w:val="22"/>
          <w:szCs w:val="22"/>
        </w:rPr>
        <w:t>s</w:t>
      </w:r>
      <w:r w:rsidRPr="00560BB8">
        <w:rPr>
          <w:rFonts w:ascii="Arial" w:hAnsi="Arial" w:cs="Arial"/>
          <w:sz w:val="22"/>
          <w:szCs w:val="22"/>
        </w:rPr>
        <w:t>ource-wide NOx</w:t>
      </w:r>
      <w:r w:rsidR="00A572F0">
        <w:rPr>
          <w:rFonts w:ascii="Arial" w:hAnsi="Arial" w:cs="Arial"/>
          <w:sz w:val="22"/>
          <w:szCs w:val="22"/>
        </w:rPr>
        <w:t>,</w:t>
      </w:r>
      <w:r w:rsidRPr="00560BB8">
        <w:rPr>
          <w:rFonts w:ascii="Arial" w:hAnsi="Arial" w:cs="Arial"/>
          <w:sz w:val="22"/>
          <w:szCs w:val="22"/>
        </w:rPr>
        <w:t xml:space="preserve"> PTE is greater than 100 </w:t>
      </w:r>
      <w:r w:rsidRPr="00346A21">
        <w:rPr>
          <w:rFonts w:ascii="Arial" w:hAnsi="Arial" w:cs="Arial"/>
          <w:sz w:val="22"/>
          <w:szCs w:val="22"/>
        </w:rPr>
        <w:t>tons per year</w:t>
      </w:r>
      <w:r w:rsidRPr="00560BB8">
        <w:rPr>
          <w:rFonts w:ascii="Arial" w:hAnsi="Arial" w:cs="Arial"/>
          <w:sz w:val="22"/>
          <w:szCs w:val="22"/>
        </w:rPr>
        <w:t xml:space="preserve"> and located in an area that was nonattainment for ozone at the time of the permit review, the facility was considered an existing, nonattainment, major source of ozone.  The annual NOx emissions were decreasing, but the daily and hourly NOx rates were increasing. </w:t>
      </w:r>
      <w:r w:rsidR="00A572F0">
        <w:rPr>
          <w:rFonts w:ascii="Arial" w:hAnsi="Arial" w:cs="Arial"/>
          <w:sz w:val="22"/>
          <w:szCs w:val="22"/>
        </w:rPr>
        <w:t xml:space="preserve"> </w:t>
      </w:r>
      <w:r w:rsidRPr="00560BB8">
        <w:rPr>
          <w:rFonts w:ascii="Arial" w:hAnsi="Arial" w:cs="Arial"/>
          <w:sz w:val="22"/>
          <w:szCs w:val="22"/>
        </w:rPr>
        <w:t xml:space="preserve">The net NOx emissions difference for this project was 32.88 </w:t>
      </w:r>
      <w:r w:rsidRPr="00346A21">
        <w:rPr>
          <w:rFonts w:ascii="Arial" w:hAnsi="Arial" w:cs="Arial"/>
          <w:sz w:val="22"/>
          <w:szCs w:val="22"/>
        </w:rPr>
        <w:t>tons per year</w:t>
      </w:r>
      <w:r w:rsidRPr="00560BB8">
        <w:rPr>
          <w:rFonts w:ascii="Arial" w:hAnsi="Arial" w:cs="Arial"/>
          <w:sz w:val="22"/>
          <w:szCs w:val="22"/>
        </w:rPr>
        <w:t xml:space="preserve">. </w:t>
      </w:r>
      <w:r w:rsidR="00A572F0">
        <w:rPr>
          <w:rFonts w:ascii="Arial" w:hAnsi="Arial" w:cs="Arial"/>
          <w:sz w:val="22"/>
          <w:szCs w:val="22"/>
        </w:rPr>
        <w:t xml:space="preserve"> </w:t>
      </w:r>
      <w:r w:rsidRPr="00560BB8">
        <w:rPr>
          <w:rFonts w:ascii="Arial" w:hAnsi="Arial" w:cs="Arial"/>
          <w:sz w:val="22"/>
          <w:szCs w:val="22"/>
        </w:rPr>
        <w:t>Since the analysis showed the next NOx emissions was less than significan</w:t>
      </w:r>
      <w:r>
        <w:rPr>
          <w:rFonts w:ascii="Arial" w:hAnsi="Arial" w:cs="Arial"/>
          <w:sz w:val="22"/>
          <w:szCs w:val="22"/>
        </w:rPr>
        <w:t>t</w:t>
      </w:r>
      <w:r w:rsidRPr="00560BB8">
        <w:rPr>
          <w:rFonts w:ascii="Arial" w:hAnsi="Arial" w:cs="Arial"/>
          <w:sz w:val="22"/>
          <w:szCs w:val="22"/>
        </w:rPr>
        <w:t xml:space="preserve">, no further review related to PSD was performed. </w:t>
      </w:r>
    </w:p>
    <w:p w14:paraId="7892F2CF" w14:textId="77777777" w:rsidR="00474DBE" w:rsidRPr="00560BB8" w:rsidRDefault="00474DBE" w:rsidP="00474DBE">
      <w:pPr>
        <w:jc w:val="both"/>
        <w:rPr>
          <w:rFonts w:ascii="Arial" w:hAnsi="Arial" w:cs="Arial"/>
          <w:sz w:val="22"/>
          <w:szCs w:val="22"/>
        </w:rPr>
      </w:pPr>
    </w:p>
    <w:p w14:paraId="3879DC38" w14:textId="77777777" w:rsidR="00474DBE" w:rsidRPr="00560BB8" w:rsidRDefault="00474DBE" w:rsidP="00474DBE">
      <w:pPr>
        <w:jc w:val="both"/>
        <w:rPr>
          <w:rFonts w:ascii="Arial" w:hAnsi="Arial" w:cs="Arial"/>
          <w:sz w:val="22"/>
          <w:szCs w:val="22"/>
        </w:rPr>
      </w:pPr>
      <w:r w:rsidRPr="00560BB8">
        <w:rPr>
          <w:rFonts w:ascii="Arial" w:hAnsi="Arial" w:cs="Arial"/>
          <w:sz w:val="22"/>
          <w:szCs w:val="22"/>
        </w:rPr>
        <w:t xml:space="preserve">Although EU-PHASE2 was installed after August 15, 1967, this equipment was exempt from New Source Review (NSR) permitting requirements at the time it was installed.  </w:t>
      </w:r>
    </w:p>
    <w:p w14:paraId="36023546" w14:textId="77777777" w:rsidR="00474DBE" w:rsidRPr="00560BB8" w:rsidRDefault="00474DBE" w:rsidP="00474DBE">
      <w:pPr>
        <w:rPr>
          <w:rFonts w:ascii="Arial" w:hAnsi="Arial" w:cs="Arial"/>
          <w:sz w:val="22"/>
          <w:szCs w:val="22"/>
        </w:rPr>
      </w:pPr>
    </w:p>
    <w:p w14:paraId="0DC28B9C" w14:textId="4045651F" w:rsidR="00474DBE" w:rsidRDefault="00474DBE" w:rsidP="00474DBE">
      <w:pPr>
        <w:rPr>
          <w:rFonts w:ascii="Arial" w:hAnsi="Arial" w:cs="Arial"/>
          <w:sz w:val="22"/>
          <w:szCs w:val="22"/>
        </w:rPr>
      </w:pPr>
      <w:r w:rsidRPr="00560BB8">
        <w:rPr>
          <w:rFonts w:ascii="Arial" w:hAnsi="Arial" w:cs="Arial"/>
          <w:sz w:val="22"/>
          <w:szCs w:val="22"/>
        </w:rPr>
        <w:t>The facility considered them to be exempt per Rule 285</w:t>
      </w:r>
      <w:r>
        <w:rPr>
          <w:rFonts w:ascii="Arial" w:hAnsi="Arial" w:cs="Arial"/>
          <w:sz w:val="22"/>
          <w:szCs w:val="22"/>
        </w:rPr>
        <w:t>(2)</w:t>
      </w:r>
      <w:r w:rsidRPr="00560BB8">
        <w:rPr>
          <w:rFonts w:ascii="Arial" w:hAnsi="Arial" w:cs="Arial"/>
          <w:sz w:val="22"/>
          <w:szCs w:val="22"/>
        </w:rPr>
        <w:t>(g) when they were originally installed in 1991.</w:t>
      </w:r>
      <w:r w:rsidR="00A572F0">
        <w:rPr>
          <w:rFonts w:ascii="Arial" w:hAnsi="Arial" w:cs="Arial"/>
          <w:sz w:val="22"/>
          <w:szCs w:val="22"/>
        </w:rPr>
        <w:t xml:space="preserve"> </w:t>
      </w:r>
      <w:r w:rsidRPr="00560BB8">
        <w:rPr>
          <w:rFonts w:ascii="Arial" w:hAnsi="Arial" w:cs="Arial"/>
          <w:sz w:val="22"/>
          <w:szCs w:val="22"/>
        </w:rPr>
        <w:t xml:space="preserve"> Rule 278 prohibits the concurrent installation of exempt equipment without a permit if the installation will result in emissions greater than the significant levels. </w:t>
      </w:r>
      <w:r w:rsidR="00A572F0">
        <w:rPr>
          <w:rFonts w:ascii="Arial" w:hAnsi="Arial" w:cs="Arial"/>
          <w:sz w:val="22"/>
          <w:szCs w:val="22"/>
        </w:rPr>
        <w:t xml:space="preserve"> </w:t>
      </w:r>
      <w:r w:rsidRPr="00560BB8">
        <w:rPr>
          <w:rFonts w:ascii="Arial" w:hAnsi="Arial" w:cs="Arial"/>
          <w:sz w:val="22"/>
          <w:szCs w:val="22"/>
        </w:rPr>
        <w:t xml:space="preserve">Emissions of CO from the Phase II dynamometers are greater than the significant level of 100 tpy; however, they were installed before Rule 278 existed. </w:t>
      </w:r>
    </w:p>
    <w:p w14:paraId="7B729697" w14:textId="2F63AE96" w:rsidR="00144052" w:rsidRDefault="00144052">
      <w:pPr>
        <w:rPr>
          <w:rFonts w:ascii="Arial" w:hAnsi="Arial" w:cs="Arial"/>
          <w:sz w:val="22"/>
          <w:szCs w:val="22"/>
        </w:rPr>
      </w:pPr>
      <w:r>
        <w:rPr>
          <w:rFonts w:ascii="Arial" w:hAnsi="Arial" w:cs="Arial"/>
          <w:sz w:val="22"/>
          <w:szCs w:val="22"/>
        </w:rPr>
        <w:br w:type="page"/>
      </w:r>
    </w:p>
    <w:p w14:paraId="1E2D8B28" w14:textId="77777777" w:rsidR="00474DBE" w:rsidRDefault="00474DBE" w:rsidP="00474DBE">
      <w:pPr>
        <w:rPr>
          <w:rFonts w:ascii="Arial" w:hAnsi="Arial" w:cs="Arial"/>
          <w:sz w:val="22"/>
          <w:szCs w:val="22"/>
        </w:rPr>
      </w:pPr>
    </w:p>
    <w:p w14:paraId="76082486" w14:textId="0A38BA2C" w:rsidR="00474DBE" w:rsidRPr="00D74DB0" w:rsidRDefault="00474DBE" w:rsidP="00A572F0">
      <w:pPr>
        <w:jc w:val="both"/>
        <w:rPr>
          <w:rFonts w:ascii="Arial" w:hAnsi="Arial" w:cs="Arial"/>
          <w:sz w:val="22"/>
          <w:szCs w:val="22"/>
        </w:rPr>
      </w:pPr>
      <w:r w:rsidRPr="00560BB8">
        <w:rPr>
          <w:rFonts w:ascii="Arial" w:hAnsi="Arial" w:cs="Arial"/>
          <w:sz w:val="22"/>
          <w:szCs w:val="22"/>
        </w:rPr>
        <w:t xml:space="preserve">The facility </w:t>
      </w:r>
      <w:proofErr w:type="gramStart"/>
      <w:r w:rsidRPr="00560BB8">
        <w:rPr>
          <w:rFonts w:ascii="Arial" w:hAnsi="Arial" w:cs="Arial"/>
          <w:sz w:val="22"/>
          <w:szCs w:val="22"/>
        </w:rPr>
        <w:t>submitted an application</w:t>
      </w:r>
      <w:proofErr w:type="gramEnd"/>
      <w:r w:rsidRPr="00560BB8">
        <w:rPr>
          <w:rFonts w:ascii="Arial" w:hAnsi="Arial" w:cs="Arial"/>
          <w:sz w:val="22"/>
          <w:szCs w:val="22"/>
        </w:rPr>
        <w:t xml:space="preserve"> for PTI No. 44-22 to accept limitations on the Phase 2 dynamometer </w:t>
      </w:r>
      <w:r>
        <w:rPr>
          <w:rFonts w:ascii="Arial" w:hAnsi="Arial" w:cs="Arial"/>
          <w:sz w:val="22"/>
          <w:szCs w:val="22"/>
        </w:rPr>
        <w:t xml:space="preserve">test cell </w:t>
      </w:r>
      <w:r w:rsidRPr="00560BB8">
        <w:rPr>
          <w:rFonts w:ascii="Arial" w:hAnsi="Arial" w:cs="Arial"/>
          <w:sz w:val="22"/>
          <w:szCs w:val="22"/>
        </w:rPr>
        <w:t xml:space="preserve">operations. </w:t>
      </w:r>
      <w:r w:rsidR="003C6EFE">
        <w:rPr>
          <w:rFonts w:ascii="Arial" w:hAnsi="Arial" w:cs="Arial"/>
          <w:sz w:val="22"/>
          <w:szCs w:val="22"/>
        </w:rPr>
        <w:t xml:space="preserve"> </w:t>
      </w:r>
      <w:r w:rsidRPr="00560BB8">
        <w:rPr>
          <w:rFonts w:ascii="Arial" w:hAnsi="Arial" w:cs="Arial"/>
          <w:sz w:val="22"/>
          <w:szCs w:val="22"/>
        </w:rPr>
        <w:t xml:space="preserve">The facility did not propose any physical changes that would result in emission increases but </w:t>
      </w:r>
      <w:r w:rsidRPr="00D74DB0">
        <w:rPr>
          <w:rFonts w:ascii="Arial" w:hAnsi="Arial" w:cs="Arial"/>
          <w:sz w:val="22"/>
          <w:szCs w:val="22"/>
        </w:rPr>
        <w:t xml:space="preserve">submitted a PSD applicability analysis comparing past actual emissions to the proposed allowable emissions (Actual to Potential test). </w:t>
      </w:r>
      <w:r w:rsidR="003C6EFE">
        <w:rPr>
          <w:rFonts w:ascii="Arial" w:hAnsi="Arial" w:cs="Arial"/>
          <w:sz w:val="22"/>
          <w:szCs w:val="22"/>
        </w:rPr>
        <w:t xml:space="preserve"> </w:t>
      </w:r>
      <w:r w:rsidRPr="00D74DB0">
        <w:rPr>
          <w:rFonts w:ascii="Arial" w:hAnsi="Arial" w:cs="Arial"/>
          <w:sz w:val="22"/>
          <w:szCs w:val="22"/>
        </w:rPr>
        <w:t>This PTI review covered minor New Source Review (NSR) and verified that based on the PSD Actual to Potential analysis, the current permitting is not subject to PSD.</w:t>
      </w:r>
    </w:p>
    <w:p w14:paraId="316E2AAE" w14:textId="77777777" w:rsidR="00474DBE" w:rsidRPr="00D74DB0" w:rsidRDefault="00474DBE" w:rsidP="00474DBE">
      <w:pPr>
        <w:rPr>
          <w:rFonts w:ascii="Arial" w:hAnsi="Arial" w:cs="Arial"/>
          <w:sz w:val="22"/>
          <w:szCs w:val="22"/>
        </w:rPr>
      </w:pPr>
    </w:p>
    <w:p w14:paraId="6A6834BE" w14:textId="6E6876AA" w:rsidR="00474DBE" w:rsidRPr="002E362C" w:rsidRDefault="00474DBE" w:rsidP="00474DBE">
      <w:pPr>
        <w:autoSpaceDE w:val="0"/>
        <w:autoSpaceDN w:val="0"/>
        <w:adjustRightInd w:val="0"/>
        <w:jc w:val="both"/>
        <w:rPr>
          <w:rFonts w:ascii="Arial" w:hAnsi="Arial" w:cs="Arial"/>
          <w:sz w:val="22"/>
          <w:szCs w:val="22"/>
        </w:rPr>
      </w:pPr>
      <w:r>
        <w:rPr>
          <w:rFonts w:ascii="Arial" w:hAnsi="Arial" w:cs="Arial"/>
          <w:sz w:val="22"/>
          <w:szCs w:val="22"/>
        </w:rPr>
        <w:t>The f</w:t>
      </w:r>
      <w:r w:rsidRPr="00D74DB0">
        <w:rPr>
          <w:rFonts w:ascii="Arial" w:hAnsi="Arial" w:cs="Arial"/>
          <w:sz w:val="22"/>
          <w:szCs w:val="22"/>
        </w:rPr>
        <w:t xml:space="preserve">acility provided information that the engines used at this facility for testing transmissions are not subject to </w:t>
      </w:r>
      <w:r>
        <w:rPr>
          <w:rFonts w:ascii="Arial" w:hAnsi="Arial" w:cs="Arial"/>
          <w:sz w:val="22"/>
          <w:szCs w:val="22"/>
        </w:rPr>
        <w:t xml:space="preserve">the </w:t>
      </w:r>
      <w:r w:rsidRPr="00D74DB0">
        <w:rPr>
          <w:rFonts w:ascii="Arial" w:hAnsi="Arial" w:cs="Arial"/>
          <w:sz w:val="22"/>
          <w:szCs w:val="22"/>
        </w:rPr>
        <w:t xml:space="preserve">National Emissions Standards for Hazardous Air Pollutants for Stationary Reciprocating Internal Combustion Engines </w:t>
      </w:r>
      <w:r>
        <w:rPr>
          <w:rFonts w:ascii="Arial" w:hAnsi="Arial" w:cs="Arial"/>
          <w:sz w:val="22"/>
          <w:szCs w:val="22"/>
        </w:rPr>
        <w:t xml:space="preserve">in </w:t>
      </w:r>
      <w:r w:rsidRPr="00D74DB0">
        <w:rPr>
          <w:rFonts w:ascii="Arial" w:hAnsi="Arial" w:cs="Arial"/>
          <w:sz w:val="22"/>
          <w:szCs w:val="22"/>
        </w:rPr>
        <w:t xml:space="preserve">40 CFR </w:t>
      </w:r>
      <w:r w:rsidR="003C6EFE">
        <w:rPr>
          <w:rFonts w:ascii="Arial" w:hAnsi="Arial" w:cs="Arial"/>
          <w:sz w:val="22"/>
          <w:szCs w:val="22"/>
        </w:rPr>
        <w:t xml:space="preserve">Part </w:t>
      </w:r>
      <w:r w:rsidRPr="00D74DB0">
        <w:rPr>
          <w:rFonts w:ascii="Arial" w:hAnsi="Arial" w:cs="Arial"/>
          <w:sz w:val="22"/>
          <w:szCs w:val="22"/>
        </w:rPr>
        <w:t xml:space="preserve">63, Subpart ZZZZ, </w:t>
      </w:r>
      <w:r>
        <w:rPr>
          <w:rFonts w:ascii="Arial" w:hAnsi="Arial" w:cs="Arial"/>
          <w:sz w:val="22"/>
          <w:szCs w:val="22"/>
        </w:rPr>
        <w:t xml:space="preserve">the </w:t>
      </w:r>
      <w:r w:rsidRPr="00D74DB0">
        <w:rPr>
          <w:rFonts w:ascii="Arial" w:hAnsi="Arial" w:cs="Arial"/>
          <w:sz w:val="22"/>
          <w:szCs w:val="22"/>
        </w:rPr>
        <w:t xml:space="preserve">Standards of Performance for Stationary Compression Ignition Internal Combustion Engines </w:t>
      </w:r>
      <w:r>
        <w:rPr>
          <w:rFonts w:ascii="Arial" w:hAnsi="Arial" w:cs="Arial"/>
          <w:sz w:val="22"/>
          <w:szCs w:val="22"/>
        </w:rPr>
        <w:t xml:space="preserve">in </w:t>
      </w:r>
      <w:r w:rsidRPr="00D74DB0">
        <w:rPr>
          <w:rFonts w:ascii="Arial" w:hAnsi="Arial" w:cs="Arial"/>
          <w:sz w:val="22"/>
          <w:szCs w:val="22"/>
        </w:rPr>
        <w:t xml:space="preserve">40 CFR </w:t>
      </w:r>
      <w:r w:rsidR="003C6EFE">
        <w:rPr>
          <w:rFonts w:ascii="Arial" w:hAnsi="Arial" w:cs="Arial"/>
          <w:sz w:val="22"/>
          <w:szCs w:val="22"/>
        </w:rPr>
        <w:t xml:space="preserve">Part </w:t>
      </w:r>
      <w:r w:rsidRPr="00D74DB0">
        <w:rPr>
          <w:rFonts w:ascii="Arial" w:hAnsi="Arial" w:cs="Arial"/>
          <w:sz w:val="22"/>
          <w:szCs w:val="22"/>
        </w:rPr>
        <w:t>60, Subpart IIII</w:t>
      </w:r>
      <w:r>
        <w:rPr>
          <w:rFonts w:ascii="Arial" w:hAnsi="Arial" w:cs="Arial"/>
          <w:sz w:val="22"/>
          <w:szCs w:val="22"/>
        </w:rPr>
        <w:t>,</w:t>
      </w:r>
      <w:r w:rsidRPr="00D74DB0">
        <w:rPr>
          <w:rFonts w:ascii="Arial" w:hAnsi="Arial" w:cs="Arial"/>
          <w:sz w:val="22"/>
          <w:szCs w:val="22"/>
        </w:rPr>
        <w:t xml:space="preserve"> and </w:t>
      </w:r>
      <w:r>
        <w:rPr>
          <w:rFonts w:ascii="Arial" w:hAnsi="Arial" w:cs="Arial"/>
          <w:sz w:val="22"/>
          <w:szCs w:val="22"/>
        </w:rPr>
        <w:t xml:space="preserve">the </w:t>
      </w:r>
      <w:r w:rsidRPr="00D74DB0">
        <w:rPr>
          <w:rFonts w:ascii="Arial" w:hAnsi="Arial" w:cs="Arial"/>
          <w:sz w:val="22"/>
          <w:szCs w:val="22"/>
        </w:rPr>
        <w:t xml:space="preserve">Standards of Performance for Stationary Spark Ignition Internal Combustion Engines </w:t>
      </w:r>
      <w:r>
        <w:rPr>
          <w:rFonts w:ascii="Arial" w:hAnsi="Arial" w:cs="Arial"/>
          <w:sz w:val="22"/>
          <w:szCs w:val="22"/>
        </w:rPr>
        <w:t xml:space="preserve">in </w:t>
      </w:r>
      <w:r w:rsidRPr="00D74DB0">
        <w:rPr>
          <w:rFonts w:ascii="Arial" w:hAnsi="Arial" w:cs="Arial"/>
          <w:sz w:val="22"/>
          <w:szCs w:val="22"/>
        </w:rPr>
        <w:t xml:space="preserve">40 CFR </w:t>
      </w:r>
      <w:r w:rsidR="003C6EFE">
        <w:rPr>
          <w:rFonts w:ascii="Arial" w:hAnsi="Arial" w:cs="Arial"/>
          <w:sz w:val="22"/>
          <w:szCs w:val="22"/>
        </w:rPr>
        <w:t xml:space="preserve">Part </w:t>
      </w:r>
      <w:r w:rsidRPr="00D74DB0">
        <w:rPr>
          <w:rFonts w:ascii="Arial" w:hAnsi="Arial" w:cs="Arial"/>
          <w:sz w:val="22"/>
          <w:szCs w:val="22"/>
        </w:rPr>
        <w:t xml:space="preserve">60, Subpart JJJJ because these engines are not considered “stationary engines” and are </w:t>
      </w:r>
      <w:r>
        <w:rPr>
          <w:rFonts w:ascii="Arial" w:hAnsi="Arial" w:cs="Arial"/>
          <w:sz w:val="22"/>
          <w:szCs w:val="22"/>
        </w:rPr>
        <w:t>“</w:t>
      </w:r>
      <w:r w:rsidRPr="00D74DB0">
        <w:rPr>
          <w:rFonts w:ascii="Arial" w:hAnsi="Arial" w:cs="Arial"/>
          <w:sz w:val="22"/>
          <w:szCs w:val="22"/>
        </w:rPr>
        <w:t>non-road</w:t>
      </w:r>
      <w:r>
        <w:rPr>
          <w:rFonts w:ascii="Arial" w:hAnsi="Arial" w:cs="Arial"/>
          <w:sz w:val="22"/>
          <w:szCs w:val="22"/>
        </w:rPr>
        <w:t>”</w:t>
      </w:r>
      <w:r w:rsidRPr="00D74DB0">
        <w:rPr>
          <w:rFonts w:ascii="Arial" w:hAnsi="Arial" w:cs="Arial"/>
          <w:sz w:val="22"/>
          <w:szCs w:val="22"/>
        </w:rPr>
        <w:t xml:space="preserve"> engines. </w:t>
      </w:r>
      <w:r w:rsidR="003C6EFE">
        <w:rPr>
          <w:rFonts w:ascii="Arial" w:hAnsi="Arial" w:cs="Arial"/>
          <w:sz w:val="22"/>
          <w:szCs w:val="22"/>
        </w:rPr>
        <w:t xml:space="preserve"> </w:t>
      </w:r>
      <w:r w:rsidRPr="00D74DB0">
        <w:rPr>
          <w:rFonts w:ascii="Arial" w:hAnsi="Arial" w:cs="Arial"/>
          <w:sz w:val="22"/>
          <w:szCs w:val="22"/>
        </w:rPr>
        <w:t xml:space="preserve">The explanation included that due to the variety of different tests that are performed along with the different model and model years of engine and transmission systems that are manufactured, the engine and transmission assembly must be moved in and out of the test cells to accommodate the testing; outside the test cells, the engines and transmissions are mounted on portable dollies or skids to allow for movement in and out of the test cell; at the completion of the tests, the engine and transmission are removed from the test cell for evaluation and disassembly. </w:t>
      </w:r>
      <w:r w:rsidR="003C6EFE">
        <w:rPr>
          <w:rFonts w:ascii="Arial" w:hAnsi="Arial" w:cs="Arial"/>
          <w:sz w:val="22"/>
          <w:szCs w:val="22"/>
        </w:rPr>
        <w:t xml:space="preserve"> </w:t>
      </w:r>
      <w:r w:rsidRPr="00D74DB0">
        <w:rPr>
          <w:rFonts w:ascii="Arial" w:hAnsi="Arial" w:cs="Arial"/>
          <w:sz w:val="22"/>
          <w:szCs w:val="22"/>
        </w:rPr>
        <w:t xml:space="preserve">Therefore, given the nature of the testing, with only model year engines associated with the model year transmission being tested and the duration of </w:t>
      </w:r>
      <w:r w:rsidRPr="002E362C">
        <w:rPr>
          <w:rFonts w:ascii="Arial" w:hAnsi="Arial" w:cs="Arial"/>
          <w:sz w:val="22"/>
          <w:szCs w:val="22"/>
        </w:rPr>
        <w:t>the testing performed, no engine or engine type is used in the test cells for one year or more.</w:t>
      </w:r>
    </w:p>
    <w:p w14:paraId="3ABC4D91" w14:textId="77777777" w:rsidR="00474DBE" w:rsidRPr="002E362C" w:rsidRDefault="00474DBE" w:rsidP="00474DBE">
      <w:pPr>
        <w:jc w:val="both"/>
        <w:rPr>
          <w:rFonts w:ascii="Arial" w:hAnsi="Arial" w:cs="Arial"/>
          <w:sz w:val="22"/>
          <w:szCs w:val="22"/>
        </w:rPr>
      </w:pPr>
    </w:p>
    <w:p w14:paraId="64F886C5" w14:textId="32238AB3" w:rsidR="00474DBE" w:rsidRPr="00D8724F" w:rsidRDefault="00474DBE" w:rsidP="003C6EFE">
      <w:pPr>
        <w:jc w:val="both"/>
        <w:rPr>
          <w:rFonts w:ascii="Arial" w:hAnsi="Arial" w:cs="Arial"/>
          <w:sz w:val="22"/>
          <w:szCs w:val="22"/>
        </w:rPr>
      </w:pPr>
      <w:bookmarkStart w:id="16" w:name="_Hlk156996740"/>
      <w:r w:rsidRPr="00D8724F">
        <w:rPr>
          <w:rFonts w:ascii="Arial" w:hAnsi="Arial" w:cs="Arial"/>
          <w:sz w:val="22"/>
          <w:szCs w:val="22"/>
        </w:rPr>
        <w:t xml:space="preserve">The facility has four aboveground gasoline storage tanks: one 16,000-gallon aboveground storage tank (AST) and three sectioned storage tanks (10,000-gallons and 6,000-gallon sections). </w:t>
      </w:r>
      <w:r w:rsidR="003C6EFE">
        <w:rPr>
          <w:rFonts w:ascii="Arial" w:hAnsi="Arial" w:cs="Arial"/>
          <w:sz w:val="22"/>
          <w:szCs w:val="22"/>
        </w:rPr>
        <w:t xml:space="preserve"> </w:t>
      </w:r>
      <w:r w:rsidRPr="00D8724F">
        <w:rPr>
          <w:rFonts w:ascii="Arial" w:hAnsi="Arial" w:cs="Arial"/>
          <w:sz w:val="22"/>
          <w:szCs w:val="22"/>
        </w:rPr>
        <w:t xml:space="preserve">These tanks are identified as Tank 1 (EU-AST1, 16,0000 gallon) and Tank 2 through Tank 4 (EU-AST2-10000 gal and 6,000-gal, EU-AST3 (10000 gal and 6000-gal); EU-AST4 (10000 gal and 6000-gal). </w:t>
      </w:r>
      <w:r w:rsidR="003C6EFE">
        <w:rPr>
          <w:rFonts w:ascii="Arial" w:hAnsi="Arial" w:cs="Arial"/>
          <w:sz w:val="22"/>
          <w:szCs w:val="22"/>
        </w:rPr>
        <w:t xml:space="preserve"> </w:t>
      </w:r>
      <w:r w:rsidRPr="00D8724F">
        <w:rPr>
          <w:rFonts w:ascii="Arial" w:hAnsi="Arial" w:cs="Arial"/>
          <w:sz w:val="22"/>
          <w:szCs w:val="22"/>
        </w:rPr>
        <w:t xml:space="preserve">These ASTs are subject to Gasoline </w:t>
      </w:r>
      <w:r w:rsidR="003C6EFE">
        <w:rPr>
          <w:rFonts w:ascii="Arial" w:hAnsi="Arial" w:cs="Arial"/>
          <w:sz w:val="22"/>
          <w:szCs w:val="22"/>
        </w:rPr>
        <w:t>D</w:t>
      </w:r>
      <w:r w:rsidRPr="00D8724F">
        <w:rPr>
          <w:rFonts w:ascii="Arial" w:hAnsi="Arial" w:cs="Arial"/>
          <w:sz w:val="22"/>
          <w:szCs w:val="22"/>
        </w:rPr>
        <w:t xml:space="preserve">ispensing Area Source MACT (40 CFR </w:t>
      </w:r>
      <w:r w:rsidR="003C6EFE">
        <w:rPr>
          <w:rFonts w:ascii="Arial" w:hAnsi="Arial" w:cs="Arial"/>
          <w:sz w:val="22"/>
          <w:szCs w:val="22"/>
        </w:rPr>
        <w:t xml:space="preserve">Part </w:t>
      </w:r>
      <w:r w:rsidRPr="00D8724F">
        <w:rPr>
          <w:rFonts w:ascii="Arial" w:hAnsi="Arial" w:cs="Arial"/>
          <w:sz w:val="22"/>
          <w:szCs w:val="22"/>
        </w:rPr>
        <w:t xml:space="preserve">63, Subpart CCCCCC).  </w:t>
      </w:r>
    </w:p>
    <w:p w14:paraId="2D571E44" w14:textId="77777777" w:rsidR="00474DBE" w:rsidRPr="00D8724F" w:rsidRDefault="00474DBE" w:rsidP="00474DBE">
      <w:pPr>
        <w:jc w:val="both"/>
        <w:rPr>
          <w:rFonts w:ascii="Arial" w:hAnsi="Arial" w:cs="Arial"/>
          <w:sz w:val="22"/>
          <w:szCs w:val="22"/>
        </w:rPr>
      </w:pPr>
      <w:r w:rsidRPr="00D8724F">
        <w:rPr>
          <w:rFonts w:ascii="Arial" w:hAnsi="Arial" w:cs="Arial"/>
          <w:sz w:val="22"/>
          <w:szCs w:val="22"/>
        </w:rPr>
        <w:t xml:space="preserve"> </w:t>
      </w:r>
    </w:p>
    <w:bookmarkEnd w:id="16"/>
    <w:p w14:paraId="0230E35C" w14:textId="468A27F8" w:rsidR="00474DBE" w:rsidRPr="00D8724F" w:rsidRDefault="00474DBE" w:rsidP="00474DBE">
      <w:pPr>
        <w:jc w:val="both"/>
        <w:rPr>
          <w:rFonts w:ascii="Arial" w:hAnsi="Arial" w:cs="Arial"/>
          <w:sz w:val="22"/>
          <w:szCs w:val="22"/>
        </w:rPr>
      </w:pPr>
      <w:r w:rsidRPr="00D8724F">
        <w:rPr>
          <w:rFonts w:ascii="Arial" w:hAnsi="Arial" w:cs="Arial"/>
          <w:sz w:val="22"/>
          <w:szCs w:val="22"/>
        </w:rPr>
        <w:t xml:space="preserve">The ROP contains special conditions pertaining to this Area Source MACT under flexible group </w:t>
      </w:r>
      <w:r w:rsidR="003C6EFE">
        <w:rPr>
          <w:rFonts w:ascii="Arial" w:hAnsi="Arial" w:cs="Arial"/>
          <w:sz w:val="22"/>
          <w:szCs w:val="22"/>
        </w:rPr>
        <w:br/>
      </w:r>
      <w:r w:rsidRPr="00D8724F">
        <w:rPr>
          <w:rFonts w:ascii="Arial" w:hAnsi="Arial" w:cs="Arial"/>
          <w:sz w:val="22"/>
          <w:szCs w:val="22"/>
        </w:rPr>
        <w:t>FG-GASDISPENSING.  Although the fuel limits found throughout the ROP, allow for potential use above 100,000 gallons per month, Ford ATNPC requested the language for fuel usage &gt;10,000 and &lt;100,000 gallons per month per stationary gasoline dispensing facility (GDF).  The AQD is not delegated the regulatory authority for this area source MACT.</w:t>
      </w:r>
    </w:p>
    <w:p w14:paraId="288EECEE" w14:textId="77777777" w:rsidR="00474DBE" w:rsidRPr="00D8724F" w:rsidRDefault="00474DBE" w:rsidP="00474DBE">
      <w:pPr>
        <w:jc w:val="both"/>
        <w:rPr>
          <w:rFonts w:ascii="Arial" w:hAnsi="Arial" w:cs="Arial"/>
          <w:sz w:val="22"/>
          <w:szCs w:val="22"/>
        </w:rPr>
      </w:pPr>
    </w:p>
    <w:p w14:paraId="0E243C42" w14:textId="77777777" w:rsidR="00474DBE" w:rsidRPr="00D8724F" w:rsidRDefault="00474DBE" w:rsidP="00474DBE">
      <w:pPr>
        <w:jc w:val="both"/>
        <w:rPr>
          <w:rFonts w:ascii="Arial" w:hAnsi="Arial" w:cs="Arial"/>
          <w:sz w:val="22"/>
          <w:szCs w:val="22"/>
        </w:rPr>
      </w:pPr>
      <w:r w:rsidRPr="00D8724F">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02F2F13" w14:textId="77777777" w:rsidR="00A73320" w:rsidRDefault="00A73320" w:rsidP="00D9587D">
      <w:pPr>
        <w:rPr>
          <w:rFonts w:ascii="Arial" w:hAnsi="Arial" w:cs="Arial"/>
          <w:sz w:val="22"/>
          <w:szCs w:val="22"/>
        </w:rPr>
      </w:pPr>
    </w:p>
    <w:p w14:paraId="0D2DD3C2"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32216383" w14:textId="77777777" w:rsidR="00A73320" w:rsidRDefault="00A73320" w:rsidP="00D9587D">
      <w:pPr>
        <w:rPr>
          <w:rFonts w:ascii="Arial" w:hAnsi="Arial" w:cs="Arial"/>
          <w:sz w:val="22"/>
          <w:szCs w:val="22"/>
        </w:rPr>
      </w:pPr>
    </w:p>
    <w:tbl>
      <w:tblPr>
        <w:tblW w:w="10350" w:type="dxa"/>
        <w:tblInd w:w="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260"/>
        <w:gridCol w:w="1170"/>
        <w:gridCol w:w="2700"/>
        <w:gridCol w:w="1440"/>
        <w:gridCol w:w="1620"/>
        <w:gridCol w:w="1350"/>
        <w:gridCol w:w="810"/>
      </w:tblGrid>
      <w:tr w:rsidR="00474DBE" w14:paraId="3A0CBC83" w14:textId="77777777" w:rsidTr="00637F16">
        <w:trPr>
          <w:trHeight w:val="366"/>
          <w:tblHeader/>
        </w:trPr>
        <w:tc>
          <w:tcPr>
            <w:tcW w:w="1260" w:type="dxa"/>
            <w:tcBorders>
              <w:top w:val="double" w:sz="4" w:space="0" w:color="auto"/>
              <w:bottom w:val="double" w:sz="4" w:space="0" w:color="auto"/>
            </w:tcBorders>
            <w:shd w:val="clear" w:color="auto" w:fill="D9D9D9"/>
          </w:tcPr>
          <w:p w14:paraId="100FE173" w14:textId="77777777" w:rsidR="00474DBE" w:rsidRPr="00AF01E9" w:rsidRDefault="00474DBE" w:rsidP="004B46C8">
            <w:pPr>
              <w:rPr>
                <w:rFonts w:ascii="Arial" w:eastAsia="Calibri" w:hAnsi="Arial" w:cs="Arial"/>
                <w:b/>
                <w:sz w:val="19"/>
                <w:szCs w:val="19"/>
              </w:rPr>
            </w:pPr>
            <w:r w:rsidRPr="00AF01E9">
              <w:rPr>
                <w:rFonts w:ascii="Arial" w:eastAsia="Calibri" w:hAnsi="Arial" w:cs="Arial"/>
                <w:b/>
                <w:sz w:val="19"/>
                <w:szCs w:val="19"/>
              </w:rPr>
              <w:t>Emission Unit/Flexible group ID</w:t>
            </w:r>
          </w:p>
        </w:tc>
        <w:tc>
          <w:tcPr>
            <w:tcW w:w="1170" w:type="dxa"/>
            <w:tcBorders>
              <w:top w:val="double" w:sz="4" w:space="0" w:color="auto"/>
              <w:bottom w:val="double" w:sz="4" w:space="0" w:color="auto"/>
            </w:tcBorders>
            <w:shd w:val="clear" w:color="auto" w:fill="D9D9D9"/>
          </w:tcPr>
          <w:p w14:paraId="4C48B4F2" w14:textId="77777777" w:rsidR="00474DBE" w:rsidRPr="00AF01E9" w:rsidRDefault="00474DBE" w:rsidP="004B46C8">
            <w:pPr>
              <w:rPr>
                <w:rFonts w:ascii="Arial" w:eastAsia="Calibri" w:hAnsi="Arial" w:cs="Arial"/>
                <w:b/>
                <w:sz w:val="19"/>
                <w:szCs w:val="19"/>
              </w:rPr>
            </w:pPr>
            <w:r w:rsidRPr="00AF01E9">
              <w:rPr>
                <w:rFonts w:ascii="Arial" w:eastAsia="Calibri" w:hAnsi="Arial" w:cs="Arial"/>
                <w:b/>
                <w:sz w:val="19"/>
                <w:szCs w:val="19"/>
              </w:rPr>
              <w:t>Pollutant/ Emission Limit</w:t>
            </w:r>
          </w:p>
        </w:tc>
        <w:tc>
          <w:tcPr>
            <w:tcW w:w="2700" w:type="dxa"/>
            <w:tcBorders>
              <w:top w:val="double" w:sz="4" w:space="0" w:color="auto"/>
              <w:bottom w:val="double" w:sz="4" w:space="0" w:color="auto"/>
            </w:tcBorders>
            <w:shd w:val="clear" w:color="auto" w:fill="D9D9D9"/>
          </w:tcPr>
          <w:p w14:paraId="1C527C49" w14:textId="77777777" w:rsidR="00474DBE" w:rsidRPr="00AF01E9" w:rsidRDefault="00474DBE" w:rsidP="004B46C8">
            <w:pPr>
              <w:rPr>
                <w:rFonts w:ascii="Arial" w:eastAsia="Calibri" w:hAnsi="Arial" w:cs="Arial"/>
                <w:b/>
                <w:sz w:val="19"/>
                <w:szCs w:val="19"/>
              </w:rPr>
            </w:pPr>
            <w:r w:rsidRPr="00AF01E9">
              <w:rPr>
                <w:rFonts w:ascii="Arial" w:eastAsia="Calibri" w:hAnsi="Arial" w:cs="Arial"/>
                <w:b/>
                <w:sz w:val="19"/>
                <w:szCs w:val="19"/>
              </w:rPr>
              <w:t>UAR(s)</w:t>
            </w:r>
          </w:p>
        </w:tc>
        <w:tc>
          <w:tcPr>
            <w:tcW w:w="1440" w:type="dxa"/>
            <w:tcBorders>
              <w:top w:val="double" w:sz="4" w:space="0" w:color="auto"/>
              <w:bottom w:val="double" w:sz="4" w:space="0" w:color="auto"/>
            </w:tcBorders>
            <w:shd w:val="clear" w:color="auto" w:fill="D9D9D9"/>
          </w:tcPr>
          <w:p w14:paraId="2376C43A" w14:textId="77777777" w:rsidR="00474DBE" w:rsidRPr="00AF01E9" w:rsidRDefault="00474DBE" w:rsidP="004B46C8">
            <w:pPr>
              <w:rPr>
                <w:rFonts w:ascii="Arial" w:eastAsia="Calibri" w:hAnsi="Arial" w:cs="Arial"/>
                <w:b/>
                <w:sz w:val="19"/>
                <w:szCs w:val="19"/>
              </w:rPr>
            </w:pPr>
            <w:r w:rsidRPr="00AF01E9">
              <w:rPr>
                <w:rFonts w:ascii="Arial" w:eastAsia="Calibri" w:hAnsi="Arial" w:cs="Arial"/>
                <w:b/>
                <w:sz w:val="19"/>
                <w:szCs w:val="19"/>
              </w:rPr>
              <w:t>Control Equipment</w:t>
            </w:r>
          </w:p>
        </w:tc>
        <w:tc>
          <w:tcPr>
            <w:tcW w:w="1620" w:type="dxa"/>
            <w:tcBorders>
              <w:top w:val="double" w:sz="4" w:space="0" w:color="auto"/>
              <w:bottom w:val="double" w:sz="4" w:space="0" w:color="auto"/>
            </w:tcBorders>
            <w:shd w:val="clear" w:color="auto" w:fill="D9D9D9"/>
          </w:tcPr>
          <w:p w14:paraId="1E52B865" w14:textId="77777777" w:rsidR="00474DBE" w:rsidRPr="00AF01E9" w:rsidRDefault="00474DBE" w:rsidP="004B46C8">
            <w:pPr>
              <w:rPr>
                <w:rFonts w:ascii="Arial" w:eastAsia="Calibri" w:hAnsi="Arial" w:cs="Arial"/>
                <w:b/>
                <w:sz w:val="19"/>
                <w:szCs w:val="19"/>
              </w:rPr>
            </w:pPr>
            <w:r w:rsidRPr="00AF01E9">
              <w:rPr>
                <w:rFonts w:ascii="Arial" w:eastAsia="Calibri" w:hAnsi="Arial" w:cs="Arial"/>
                <w:b/>
                <w:sz w:val="19"/>
                <w:szCs w:val="19"/>
              </w:rPr>
              <w:t>Monitoring (Include Monitoring Range)</w:t>
            </w:r>
          </w:p>
        </w:tc>
        <w:tc>
          <w:tcPr>
            <w:tcW w:w="1350" w:type="dxa"/>
            <w:tcBorders>
              <w:top w:val="double" w:sz="4" w:space="0" w:color="auto"/>
              <w:bottom w:val="double" w:sz="4" w:space="0" w:color="auto"/>
            </w:tcBorders>
            <w:shd w:val="clear" w:color="auto" w:fill="D9D9D9"/>
          </w:tcPr>
          <w:p w14:paraId="6678AD91" w14:textId="77777777" w:rsidR="00474DBE" w:rsidRPr="00AF01E9" w:rsidRDefault="00474DBE" w:rsidP="004B46C8">
            <w:pPr>
              <w:rPr>
                <w:rFonts w:ascii="Arial" w:eastAsia="Calibri" w:hAnsi="Arial" w:cs="Arial"/>
                <w:b/>
                <w:sz w:val="19"/>
                <w:szCs w:val="19"/>
              </w:rPr>
            </w:pPr>
            <w:r w:rsidRPr="00AF01E9">
              <w:rPr>
                <w:rFonts w:ascii="Arial" w:eastAsia="Calibri" w:hAnsi="Arial" w:cs="Arial"/>
                <w:b/>
                <w:sz w:val="19"/>
                <w:szCs w:val="19"/>
              </w:rPr>
              <w:t>Emission Unit/Flexible Group for CAM</w:t>
            </w:r>
          </w:p>
        </w:tc>
        <w:tc>
          <w:tcPr>
            <w:tcW w:w="810" w:type="dxa"/>
            <w:tcBorders>
              <w:top w:val="double" w:sz="4" w:space="0" w:color="auto"/>
              <w:bottom w:val="double" w:sz="4" w:space="0" w:color="auto"/>
            </w:tcBorders>
            <w:shd w:val="clear" w:color="auto" w:fill="D9D9D9"/>
          </w:tcPr>
          <w:p w14:paraId="3EA77A54" w14:textId="77777777" w:rsidR="00474DBE" w:rsidRPr="00AF01E9" w:rsidRDefault="00474DBE" w:rsidP="004B46C8">
            <w:pPr>
              <w:rPr>
                <w:rFonts w:ascii="Arial" w:eastAsia="Calibri" w:hAnsi="Arial" w:cs="Arial"/>
                <w:b/>
                <w:sz w:val="19"/>
                <w:szCs w:val="19"/>
              </w:rPr>
            </w:pPr>
            <w:r w:rsidRPr="00AF01E9">
              <w:rPr>
                <w:rFonts w:ascii="Arial" w:eastAsia="Calibri" w:hAnsi="Arial" w:cs="Arial"/>
                <w:b/>
                <w:sz w:val="19"/>
                <w:szCs w:val="19"/>
              </w:rPr>
              <w:t>PAM?</w:t>
            </w:r>
          </w:p>
        </w:tc>
      </w:tr>
      <w:tr w:rsidR="00474DBE" w14:paraId="32573117" w14:textId="77777777" w:rsidTr="00637F16">
        <w:trPr>
          <w:trHeight w:val="623"/>
        </w:trPr>
        <w:tc>
          <w:tcPr>
            <w:tcW w:w="1260" w:type="dxa"/>
            <w:vMerge w:val="restart"/>
            <w:shd w:val="clear" w:color="auto" w:fill="auto"/>
          </w:tcPr>
          <w:p w14:paraId="15A8B8D2" w14:textId="77777777" w:rsidR="00474DBE" w:rsidRPr="003C6EFE" w:rsidRDefault="00474DBE" w:rsidP="004B46C8">
            <w:pPr>
              <w:rPr>
                <w:rFonts w:ascii="Arial" w:eastAsia="Calibri" w:hAnsi="Arial" w:cs="Arial"/>
                <w:sz w:val="22"/>
                <w:szCs w:val="22"/>
              </w:rPr>
            </w:pPr>
            <w:r w:rsidRPr="003C6EFE">
              <w:rPr>
                <w:rFonts w:ascii="Arial" w:eastAsia="Calibri" w:hAnsi="Arial" w:cs="Arial"/>
                <w:sz w:val="22"/>
                <w:szCs w:val="22"/>
              </w:rPr>
              <w:t>FG-PHASE3</w:t>
            </w:r>
          </w:p>
          <w:p w14:paraId="04C711DB" w14:textId="77777777" w:rsidR="00474DBE" w:rsidRPr="00906548" w:rsidRDefault="00474DBE" w:rsidP="004B46C8">
            <w:pPr>
              <w:rPr>
                <w:rFonts w:ascii="Arial" w:eastAsia="Calibri" w:hAnsi="Arial" w:cs="Arial"/>
              </w:rPr>
            </w:pPr>
          </w:p>
        </w:tc>
        <w:tc>
          <w:tcPr>
            <w:tcW w:w="1170" w:type="dxa"/>
          </w:tcPr>
          <w:p w14:paraId="6404AF8F"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CO =</w:t>
            </w:r>
          </w:p>
          <w:p w14:paraId="22CFF936"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111.8 tpy</w:t>
            </w:r>
          </w:p>
          <w:p w14:paraId="1F98548D" w14:textId="77777777" w:rsidR="00474DBE" w:rsidRPr="006774BB" w:rsidRDefault="00474DBE" w:rsidP="004B46C8">
            <w:pPr>
              <w:rPr>
                <w:rFonts w:ascii="Arial" w:eastAsiaTheme="minorHAnsi" w:hAnsi="Arial" w:cs="Arial"/>
                <w:sz w:val="22"/>
                <w:szCs w:val="22"/>
              </w:rPr>
            </w:pPr>
          </w:p>
        </w:tc>
        <w:tc>
          <w:tcPr>
            <w:tcW w:w="2700" w:type="dxa"/>
            <w:shd w:val="clear" w:color="auto" w:fill="auto"/>
          </w:tcPr>
          <w:p w14:paraId="31F06716"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R 336.1205(1)(a) &amp; (b),</w:t>
            </w:r>
          </w:p>
          <w:p w14:paraId="6EAF83DE"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R 336.2802(4)(d),</w:t>
            </w:r>
          </w:p>
          <w:p w14:paraId="5E62C36C"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40 CFR 52.21(a)(2)(iv)(d)</w:t>
            </w:r>
          </w:p>
          <w:p w14:paraId="0DEFF61B" w14:textId="77777777" w:rsidR="00474DBE" w:rsidRPr="006774BB" w:rsidRDefault="00474DBE" w:rsidP="004B46C8">
            <w:pPr>
              <w:rPr>
                <w:rFonts w:ascii="Arial" w:eastAsia="Calibri" w:hAnsi="Arial" w:cs="Arial"/>
                <w:sz w:val="22"/>
                <w:szCs w:val="22"/>
              </w:rPr>
            </w:pPr>
            <w:r w:rsidRPr="006774BB">
              <w:rPr>
                <w:rFonts w:ascii="Arial" w:eastAsiaTheme="minorHAnsi" w:hAnsi="Arial" w:cs="Arial"/>
                <w:sz w:val="22"/>
                <w:szCs w:val="22"/>
              </w:rPr>
              <w:t>40 CFR 52.21(d)</w:t>
            </w:r>
          </w:p>
        </w:tc>
        <w:tc>
          <w:tcPr>
            <w:tcW w:w="1440" w:type="dxa"/>
            <w:vMerge w:val="restart"/>
            <w:shd w:val="clear" w:color="auto" w:fill="auto"/>
          </w:tcPr>
          <w:p w14:paraId="49C1248D" w14:textId="77777777" w:rsidR="00474DBE" w:rsidRPr="00586D69" w:rsidRDefault="00474DBE" w:rsidP="004B46C8">
            <w:pPr>
              <w:rPr>
                <w:rFonts w:ascii="Arial" w:eastAsia="Calibri" w:hAnsi="Arial" w:cs="Arial"/>
                <w:sz w:val="22"/>
                <w:szCs w:val="22"/>
              </w:rPr>
            </w:pPr>
            <w:r w:rsidRPr="00586D69">
              <w:rPr>
                <w:rFonts w:ascii="Arial" w:eastAsia="Calibri" w:hAnsi="Arial" w:cs="Arial"/>
                <w:sz w:val="22"/>
                <w:szCs w:val="22"/>
              </w:rPr>
              <w:t>Three regenerative thermal oxidizers</w:t>
            </w:r>
          </w:p>
        </w:tc>
        <w:tc>
          <w:tcPr>
            <w:tcW w:w="1620" w:type="dxa"/>
            <w:vMerge w:val="restart"/>
            <w:shd w:val="clear" w:color="auto" w:fill="auto"/>
          </w:tcPr>
          <w:p w14:paraId="11A41EA6" w14:textId="77777777" w:rsidR="00474DBE" w:rsidRPr="00586D69" w:rsidRDefault="00474DBE" w:rsidP="004B46C8">
            <w:pPr>
              <w:rPr>
                <w:rFonts w:ascii="Arial" w:eastAsia="Calibri" w:hAnsi="Arial" w:cs="Arial"/>
                <w:sz w:val="22"/>
                <w:szCs w:val="22"/>
              </w:rPr>
            </w:pPr>
            <w:r w:rsidRPr="00586D69">
              <w:rPr>
                <w:rFonts w:ascii="Arial" w:eastAsia="Calibri" w:hAnsi="Arial" w:cs="Arial"/>
                <w:sz w:val="22"/>
                <w:szCs w:val="22"/>
              </w:rPr>
              <w:t xml:space="preserve">Combustion chamber temperature: Minimum temperature of 1400°F based on a 3-hour rolling average  </w:t>
            </w:r>
          </w:p>
        </w:tc>
        <w:tc>
          <w:tcPr>
            <w:tcW w:w="1350" w:type="dxa"/>
            <w:vMerge w:val="restart"/>
            <w:tcBorders>
              <w:top w:val="double" w:sz="4" w:space="0" w:color="auto"/>
            </w:tcBorders>
          </w:tcPr>
          <w:p w14:paraId="60388F95" w14:textId="77777777" w:rsidR="00474DBE" w:rsidRPr="003C6EFE" w:rsidRDefault="00474DBE" w:rsidP="004B46C8">
            <w:pPr>
              <w:rPr>
                <w:rFonts w:ascii="Arial" w:eastAsia="Calibri" w:hAnsi="Arial" w:cs="Arial"/>
                <w:sz w:val="22"/>
                <w:szCs w:val="22"/>
              </w:rPr>
            </w:pPr>
            <w:r w:rsidRPr="003C6EFE">
              <w:rPr>
                <w:rFonts w:ascii="Arial" w:eastAsia="Calibri" w:hAnsi="Arial" w:cs="Arial"/>
                <w:sz w:val="22"/>
                <w:szCs w:val="22"/>
              </w:rPr>
              <w:t>FG-CAM</w:t>
            </w:r>
          </w:p>
        </w:tc>
        <w:tc>
          <w:tcPr>
            <w:tcW w:w="810" w:type="dxa"/>
            <w:vMerge w:val="restart"/>
            <w:tcBorders>
              <w:top w:val="double" w:sz="4" w:space="0" w:color="auto"/>
            </w:tcBorders>
            <w:shd w:val="clear" w:color="auto" w:fill="auto"/>
          </w:tcPr>
          <w:p w14:paraId="74E939B1" w14:textId="77777777" w:rsidR="00474DBE" w:rsidRPr="003C6EFE" w:rsidRDefault="00474DBE" w:rsidP="004B46C8">
            <w:pPr>
              <w:rPr>
                <w:rFonts w:ascii="Arial" w:eastAsia="Calibri" w:hAnsi="Arial" w:cs="Arial"/>
                <w:sz w:val="22"/>
                <w:szCs w:val="22"/>
              </w:rPr>
            </w:pPr>
            <w:r w:rsidRPr="003C6EFE">
              <w:rPr>
                <w:rFonts w:ascii="Arial" w:eastAsia="Calibri" w:hAnsi="Arial" w:cs="Arial"/>
                <w:sz w:val="22"/>
                <w:szCs w:val="22"/>
              </w:rPr>
              <w:t>No</w:t>
            </w:r>
          </w:p>
        </w:tc>
      </w:tr>
      <w:tr w:rsidR="00474DBE" w14:paraId="7859F4D0" w14:textId="77777777" w:rsidTr="00637F16">
        <w:trPr>
          <w:trHeight w:val="1285"/>
        </w:trPr>
        <w:tc>
          <w:tcPr>
            <w:tcW w:w="1260" w:type="dxa"/>
            <w:vMerge/>
            <w:shd w:val="clear" w:color="auto" w:fill="auto"/>
          </w:tcPr>
          <w:p w14:paraId="56030783" w14:textId="77777777" w:rsidR="00474DBE" w:rsidRPr="00906548" w:rsidRDefault="00474DBE" w:rsidP="004B46C8">
            <w:pPr>
              <w:rPr>
                <w:rFonts w:ascii="Arial" w:eastAsia="Calibri" w:hAnsi="Arial" w:cs="Arial"/>
              </w:rPr>
            </w:pPr>
          </w:p>
        </w:tc>
        <w:tc>
          <w:tcPr>
            <w:tcW w:w="1170" w:type="dxa"/>
          </w:tcPr>
          <w:p w14:paraId="4D44035B"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CO =</w:t>
            </w:r>
          </w:p>
          <w:p w14:paraId="4541A0EF"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189.12 pph</w:t>
            </w:r>
          </w:p>
          <w:p w14:paraId="01C7D9BA" w14:textId="77777777" w:rsidR="00474DBE" w:rsidRPr="006774BB" w:rsidRDefault="00474DBE" w:rsidP="004B46C8">
            <w:pPr>
              <w:rPr>
                <w:rFonts w:ascii="Arial" w:eastAsiaTheme="minorHAnsi" w:hAnsi="Arial" w:cs="Arial"/>
                <w:sz w:val="22"/>
                <w:szCs w:val="22"/>
              </w:rPr>
            </w:pPr>
          </w:p>
        </w:tc>
        <w:tc>
          <w:tcPr>
            <w:tcW w:w="2700" w:type="dxa"/>
            <w:shd w:val="clear" w:color="auto" w:fill="auto"/>
          </w:tcPr>
          <w:p w14:paraId="6AF8736F"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R 336.1205(1)(a) &amp; (b),</w:t>
            </w:r>
          </w:p>
          <w:p w14:paraId="58715260"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R 336.2802(4)(d),</w:t>
            </w:r>
          </w:p>
          <w:p w14:paraId="0E7210C2" w14:textId="77777777" w:rsidR="00474DBE" w:rsidRPr="006774BB" w:rsidRDefault="00474DBE" w:rsidP="004B46C8">
            <w:pPr>
              <w:rPr>
                <w:rFonts w:ascii="Arial" w:eastAsiaTheme="minorHAnsi" w:hAnsi="Arial" w:cs="Arial"/>
                <w:sz w:val="22"/>
                <w:szCs w:val="22"/>
              </w:rPr>
            </w:pPr>
            <w:r w:rsidRPr="006774BB">
              <w:rPr>
                <w:rFonts w:ascii="Arial" w:eastAsiaTheme="minorHAnsi" w:hAnsi="Arial" w:cs="Arial"/>
                <w:sz w:val="22"/>
                <w:szCs w:val="22"/>
              </w:rPr>
              <w:t>40 CFR 52.21(a)(2)(iv)(d)</w:t>
            </w:r>
          </w:p>
          <w:p w14:paraId="48F99AD3" w14:textId="77777777" w:rsidR="00474DBE" w:rsidRPr="006774BB" w:rsidRDefault="00474DBE" w:rsidP="004B46C8">
            <w:pPr>
              <w:rPr>
                <w:rFonts w:ascii="Arial" w:hAnsi="Arial" w:cs="Arial"/>
                <w:sz w:val="22"/>
                <w:szCs w:val="22"/>
              </w:rPr>
            </w:pPr>
            <w:r w:rsidRPr="006774BB">
              <w:rPr>
                <w:rFonts w:ascii="Arial" w:eastAsiaTheme="minorHAnsi" w:hAnsi="Arial" w:cs="Arial"/>
                <w:sz w:val="22"/>
                <w:szCs w:val="22"/>
              </w:rPr>
              <w:t>40 CFR 52.21(d)</w:t>
            </w:r>
          </w:p>
        </w:tc>
        <w:tc>
          <w:tcPr>
            <w:tcW w:w="1440" w:type="dxa"/>
            <w:vMerge/>
            <w:shd w:val="clear" w:color="auto" w:fill="auto"/>
          </w:tcPr>
          <w:p w14:paraId="2AB55AE8" w14:textId="77777777" w:rsidR="00474DBE" w:rsidRPr="00906548" w:rsidRDefault="00474DBE" w:rsidP="004B46C8">
            <w:pPr>
              <w:rPr>
                <w:rFonts w:ascii="Arial" w:eastAsia="Calibri" w:hAnsi="Arial" w:cs="Arial"/>
              </w:rPr>
            </w:pPr>
          </w:p>
        </w:tc>
        <w:tc>
          <w:tcPr>
            <w:tcW w:w="1620" w:type="dxa"/>
            <w:vMerge/>
            <w:shd w:val="clear" w:color="auto" w:fill="auto"/>
          </w:tcPr>
          <w:p w14:paraId="0A6D5059" w14:textId="77777777" w:rsidR="00474DBE" w:rsidRPr="00906548" w:rsidRDefault="00474DBE" w:rsidP="004B46C8">
            <w:pPr>
              <w:rPr>
                <w:rFonts w:ascii="Arial" w:eastAsia="Calibri" w:hAnsi="Arial" w:cs="Arial"/>
              </w:rPr>
            </w:pPr>
          </w:p>
        </w:tc>
        <w:tc>
          <w:tcPr>
            <w:tcW w:w="1350" w:type="dxa"/>
            <w:vMerge/>
          </w:tcPr>
          <w:p w14:paraId="1EB0268C" w14:textId="77777777" w:rsidR="00474DBE" w:rsidRPr="00906548" w:rsidRDefault="00474DBE" w:rsidP="004B46C8">
            <w:pPr>
              <w:rPr>
                <w:rFonts w:ascii="Arial" w:eastAsia="Calibri" w:hAnsi="Arial" w:cs="Arial"/>
              </w:rPr>
            </w:pPr>
          </w:p>
        </w:tc>
        <w:tc>
          <w:tcPr>
            <w:tcW w:w="810" w:type="dxa"/>
            <w:vMerge/>
            <w:shd w:val="clear" w:color="auto" w:fill="auto"/>
          </w:tcPr>
          <w:p w14:paraId="66C395E2" w14:textId="77777777" w:rsidR="00474DBE" w:rsidRPr="00906548" w:rsidRDefault="00474DBE" w:rsidP="004B46C8">
            <w:pPr>
              <w:rPr>
                <w:rFonts w:ascii="Arial" w:eastAsia="Calibri" w:hAnsi="Arial" w:cs="Arial"/>
              </w:rPr>
            </w:pPr>
          </w:p>
        </w:tc>
      </w:tr>
      <w:tr w:rsidR="00474DBE" w14:paraId="01E89AD8" w14:textId="77777777" w:rsidTr="00637F16">
        <w:tc>
          <w:tcPr>
            <w:tcW w:w="1260" w:type="dxa"/>
            <w:shd w:val="clear" w:color="auto" w:fill="auto"/>
          </w:tcPr>
          <w:p w14:paraId="76759CCB" w14:textId="77777777" w:rsidR="00474DBE" w:rsidRPr="003C6EFE" w:rsidRDefault="00474DBE" w:rsidP="004B46C8">
            <w:pPr>
              <w:rPr>
                <w:rFonts w:ascii="Arial" w:eastAsia="Calibri" w:hAnsi="Arial" w:cs="Arial"/>
                <w:sz w:val="22"/>
                <w:szCs w:val="22"/>
              </w:rPr>
            </w:pPr>
            <w:r w:rsidRPr="003C6EFE">
              <w:rPr>
                <w:rFonts w:ascii="Arial" w:eastAsia="Calibri" w:hAnsi="Arial" w:cs="Arial"/>
                <w:sz w:val="22"/>
                <w:szCs w:val="22"/>
              </w:rPr>
              <w:lastRenderedPageBreak/>
              <w:t>FG-PHASE3A</w:t>
            </w:r>
          </w:p>
        </w:tc>
        <w:tc>
          <w:tcPr>
            <w:tcW w:w="1170" w:type="dxa"/>
          </w:tcPr>
          <w:p w14:paraId="190D1C4C" w14:textId="77777777" w:rsidR="00474DBE" w:rsidRPr="003C6EFE" w:rsidRDefault="00474DBE" w:rsidP="004B46C8">
            <w:pPr>
              <w:rPr>
                <w:rFonts w:ascii="Arial" w:eastAsia="Calibri" w:hAnsi="Arial" w:cs="Arial"/>
                <w:sz w:val="22"/>
                <w:szCs w:val="22"/>
              </w:rPr>
            </w:pPr>
            <w:r w:rsidRPr="003C6EFE">
              <w:rPr>
                <w:rFonts w:ascii="Arial" w:eastAsia="Calibri" w:hAnsi="Arial" w:cs="Arial"/>
                <w:sz w:val="22"/>
                <w:szCs w:val="22"/>
              </w:rPr>
              <w:t xml:space="preserve">CO = 58.1 tpy  </w:t>
            </w:r>
          </w:p>
        </w:tc>
        <w:tc>
          <w:tcPr>
            <w:tcW w:w="2700" w:type="dxa"/>
            <w:shd w:val="clear" w:color="auto" w:fill="auto"/>
          </w:tcPr>
          <w:p w14:paraId="27034F86" w14:textId="77777777" w:rsidR="00474DBE" w:rsidRPr="003C6EFE" w:rsidRDefault="00474DBE" w:rsidP="004B46C8">
            <w:pPr>
              <w:rPr>
                <w:rFonts w:ascii="Arial" w:eastAsia="Calibri" w:hAnsi="Arial" w:cs="Arial"/>
                <w:sz w:val="22"/>
                <w:szCs w:val="22"/>
              </w:rPr>
            </w:pPr>
            <w:r w:rsidRPr="003C6EFE">
              <w:rPr>
                <w:rFonts w:ascii="Arial" w:eastAsiaTheme="minorHAnsi" w:hAnsi="Arial" w:cs="Arial"/>
                <w:sz w:val="22"/>
                <w:szCs w:val="22"/>
              </w:rPr>
              <w:t>R 336.1205(1)(a) &amp; (3)</w:t>
            </w:r>
          </w:p>
        </w:tc>
        <w:tc>
          <w:tcPr>
            <w:tcW w:w="1440" w:type="dxa"/>
            <w:shd w:val="clear" w:color="auto" w:fill="auto"/>
          </w:tcPr>
          <w:p w14:paraId="450E9F32" w14:textId="77777777" w:rsidR="00474DBE" w:rsidRPr="003C6EFE" w:rsidRDefault="00474DBE" w:rsidP="004B46C8">
            <w:pPr>
              <w:rPr>
                <w:rFonts w:ascii="Arial" w:eastAsia="Calibri" w:hAnsi="Arial" w:cs="Arial"/>
                <w:sz w:val="22"/>
                <w:szCs w:val="22"/>
              </w:rPr>
            </w:pPr>
            <w:r w:rsidRPr="003C6EFE">
              <w:rPr>
                <w:rFonts w:ascii="Arial" w:eastAsia="Calibri" w:hAnsi="Arial" w:cs="Arial"/>
                <w:sz w:val="22"/>
                <w:szCs w:val="22"/>
              </w:rPr>
              <w:t>Three regenerative thermal oxidizers</w:t>
            </w:r>
          </w:p>
        </w:tc>
        <w:tc>
          <w:tcPr>
            <w:tcW w:w="1620" w:type="dxa"/>
            <w:shd w:val="clear" w:color="auto" w:fill="auto"/>
          </w:tcPr>
          <w:p w14:paraId="5CFE20FF" w14:textId="77777777" w:rsidR="00474DBE" w:rsidRPr="003C6EFE" w:rsidRDefault="00474DBE" w:rsidP="004B46C8">
            <w:pPr>
              <w:rPr>
                <w:rFonts w:ascii="Arial" w:eastAsia="Calibri" w:hAnsi="Arial" w:cs="Arial"/>
                <w:sz w:val="22"/>
                <w:szCs w:val="22"/>
              </w:rPr>
            </w:pPr>
            <w:r w:rsidRPr="003C6EFE">
              <w:rPr>
                <w:rFonts w:ascii="Arial" w:eastAsia="Calibri" w:hAnsi="Arial" w:cs="Arial"/>
                <w:sz w:val="22"/>
                <w:szCs w:val="22"/>
              </w:rPr>
              <w:t xml:space="preserve">Combustion chamber temperature: Minimum temperature of 1400°F based on a 3-hour rolling average  </w:t>
            </w:r>
          </w:p>
        </w:tc>
        <w:tc>
          <w:tcPr>
            <w:tcW w:w="1350" w:type="dxa"/>
            <w:tcBorders>
              <w:top w:val="single" w:sz="4" w:space="0" w:color="auto"/>
              <w:bottom w:val="double" w:sz="4" w:space="0" w:color="auto"/>
            </w:tcBorders>
          </w:tcPr>
          <w:p w14:paraId="1C44BCB1" w14:textId="77777777" w:rsidR="00474DBE" w:rsidRPr="003C6EFE" w:rsidRDefault="00474DBE" w:rsidP="004B46C8">
            <w:pPr>
              <w:rPr>
                <w:rFonts w:ascii="Arial" w:eastAsia="Calibri" w:hAnsi="Arial" w:cs="Arial"/>
                <w:sz w:val="22"/>
                <w:szCs w:val="22"/>
              </w:rPr>
            </w:pPr>
            <w:r w:rsidRPr="003C6EFE">
              <w:rPr>
                <w:rFonts w:ascii="Arial" w:eastAsia="Calibri" w:hAnsi="Arial" w:cs="Arial"/>
                <w:sz w:val="22"/>
                <w:szCs w:val="22"/>
              </w:rPr>
              <w:t>FG-CAM</w:t>
            </w:r>
          </w:p>
        </w:tc>
        <w:tc>
          <w:tcPr>
            <w:tcW w:w="810" w:type="dxa"/>
            <w:tcBorders>
              <w:top w:val="single" w:sz="4" w:space="0" w:color="auto"/>
              <w:bottom w:val="double" w:sz="4" w:space="0" w:color="auto"/>
            </w:tcBorders>
            <w:shd w:val="clear" w:color="auto" w:fill="auto"/>
          </w:tcPr>
          <w:p w14:paraId="140794EA" w14:textId="77777777" w:rsidR="00474DBE" w:rsidRPr="003C6EFE" w:rsidRDefault="00474DBE" w:rsidP="004B46C8">
            <w:pPr>
              <w:rPr>
                <w:rFonts w:ascii="Arial" w:eastAsia="Calibri" w:hAnsi="Arial" w:cs="Arial"/>
                <w:sz w:val="22"/>
                <w:szCs w:val="22"/>
              </w:rPr>
            </w:pPr>
            <w:r w:rsidRPr="003C6EFE">
              <w:rPr>
                <w:rFonts w:ascii="Arial" w:eastAsia="Calibri" w:hAnsi="Arial" w:cs="Arial"/>
                <w:sz w:val="22"/>
                <w:szCs w:val="22"/>
              </w:rPr>
              <w:t>No</w:t>
            </w:r>
          </w:p>
        </w:tc>
      </w:tr>
    </w:tbl>
    <w:p w14:paraId="48FD1824" w14:textId="77777777" w:rsidR="00D9587D" w:rsidRPr="004F6C98" w:rsidRDefault="001111DD" w:rsidP="001111DD">
      <w:pPr>
        <w:rPr>
          <w:rFonts w:ascii="Arial" w:hAnsi="Arial" w:cs="Arial"/>
          <w:sz w:val="22"/>
          <w:szCs w:val="22"/>
        </w:rPr>
      </w:pPr>
      <w:r>
        <w:rPr>
          <w:rFonts w:ascii="Arial" w:hAnsi="Arial" w:cs="Arial"/>
          <w:sz w:val="22"/>
          <w:szCs w:val="22"/>
        </w:rPr>
        <w:t>*</w:t>
      </w:r>
      <w:bookmarkStart w:id="17" w:name="_Hlk507653084"/>
      <w:r w:rsidRPr="004F6C98">
        <w:rPr>
          <w:rFonts w:ascii="Arial" w:hAnsi="Arial" w:cs="Arial"/>
          <w:sz w:val="22"/>
          <w:szCs w:val="22"/>
        </w:rPr>
        <w:t>Presumptively Acceptable Monitoring (PAM)</w:t>
      </w:r>
    </w:p>
    <w:bookmarkEnd w:id="17"/>
    <w:p w14:paraId="3093F379" w14:textId="77777777" w:rsidR="00D9587D" w:rsidRPr="00D122B6" w:rsidRDefault="00D9587D" w:rsidP="00D9587D">
      <w:pPr>
        <w:rPr>
          <w:rFonts w:ascii="Arial" w:hAnsi="Arial" w:cs="Arial"/>
          <w:sz w:val="22"/>
          <w:szCs w:val="22"/>
        </w:rPr>
      </w:pPr>
    </w:p>
    <w:p w14:paraId="420DCE11" w14:textId="760CB41B" w:rsidR="00474DBE" w:rsidRPr="00222526" w:rsidRDefault="00474DBE" w:rsidP="00474DBE">
      <w:pPr>
        <w:jc w:val="both"/>
        <w:rPr>
          <w:rFonts w:ascii="Arial" w:hAnsi="Arial" w:cs="Arial"/>
          <w:sz w:val="22"/>
          <w:szCs w:val="22"/>
        </w:rPr>
      </w:pPr>
      <w:r w:rsidRPr="00222526">
        <w:rPr>
          <w:rFonts w:ascii="Arial" w:hAnsi="Arial" w:cs="Arial"/>
          <w:sz w:val="22"/>
          <w:szCs w:val="22"/>
        </w:rPr>
        <w:t>The emission limitations or standards</w:t>
      </w:r>
      <w:r w:rsidR="00D56811">
        <w:rPr>
          <w:rFonts w:ascii="Arial" w:hAnsi="Arial" w:cs="Arial"/>
          <w:sz w:val="22"/>
          <w:szCs w:val="22"/>
        </w:rPr>
        <w:t xml:space="preserve"> </w:t>
      </w:r>
      <w:r w:rsidRPr="00222526">
        <w:rPr>
          <w:rFonts w:ascii="Arial" w:hAnsi="Arial" w:cs="Arial"/>
          <w:sz w:val="22"/>
          <w:szCs w:val="22"/>
        </w:rPr>
        <w:t xml:space="preserve">for </w:t>
      </w:r>
      <w:r w:rsidR="00D56811" w:rsidRPr="00222526">
        <w:rPr>
          <w:rFonts w:ascii="Arial" w:hAnsi="Arial" w:cs="Arial"/>
          <w:sz w:val="22"/>
          <w:szCs w:val="22"/>
        </w:rPr>
        <w:t>CO from</w:t>
      </w:r>
      <w:r w:rsidRPr="00222526">
        <w:rPr>
          <w:rFonts w:ascii="Arial" w:hAnsi="Arial" w:cs="Arial"/>
          <w:sz w:val="22"/>
          <w:szCs w:val="22"/>
        </w:rPr>
        <w:t xml:space="preserve"> FG-PHASE3 and CO for FG-PHASE3A at the stationary source are subject to the federal Compliance Assurance Monitoring rule under 40 CFR Part 64.  Both FG-PHASE3 and FG-PHASE3A have control devices (three </w:t>
      </w:r>
      <w:r w:rsidRPr="00222526">
        <w:rPr>
          <w:rFonts w:ascii="Arial" w:eastAsia="Calibri" w:hAnsi="Arial" w:cs="Arial"/>
          <w:sz w:val="22"/>
          <w:szCs w:val="22"/>
        </w:rPr>
        <w:t>regenerative thermal oxidizers</w:t>
      </w:r>
      <w:r w:rsidRPr="00222526">
        <w:rPr>
          <w:rFonts w:ascii="Arial" w:hAnsi="Arial" w:cs="Arial"/>
          <w:sz w:val="22"/>
          <w:szCs w:val="22"/>
        </w:rPr>
        <w:t>).  The emission units in FG-PHASE3 have potential pre-control emissions of CO greater than the major source threshold levels; and the post-control emissions of CO exceed 100 t</w:t>
      </w:r>
      <w:r>
        <w:rPr>
          <w:rFonts w:ascii="Arial" w:hAnsi="Arial" w:cs="Arial"/>
          <w:sz w:val="22"/>
          <w:szCs w:val="22"/>
        </w:rPr>
        <w:t>py</w:t>
      </w:r>
      <w:r w:rsidRPr="00222526">
        <w:rPr>
          <w:rFonts w:ascii="Arial" w:hAnsi="Arial" w:cs="Arial"/>
          <w:sz w:val="22"/>
          <w:szCs w:val="22"/>
        </w:rPr>
        <w:t>, thus the monitoring frequency is set by 40</w:t>
      </w:r>
      <w:r w:rsidR="00637F16">
        <w:rPr>
          <w:rFonts w:ascii="Arial" w:hAnsi="Arial" w:cs="Arial"/>
          <w:sz w:val="22"/>
          <w:szCs w:val="22"/>
        </w:rPr>
        <w:t> </w:t>
      </w:r>
      <w:r w:rsidRPr="00222526">
        <w:rPr>
          <w:rFonts w:ascii="Arial" w:hAnsi="Arial" w:cs="Arial"/>
          <w:sz w:val="22"/>
          <w:szCs w:val="22"/>
        </w:rPr>
        <w:t xml:space="preserve">CFR 64.3(b)(4)(ii).  The emission units in FG-PHASE3A have potential pre-control emissions of CO greater than the major source threshold level.  </w:t>
      </w:r>
    </w:p>
    <w:p w14:paraId="26A73C2B" w14:textId="77777777" w:rsidR="00474DBE" w:rsidRPr="00906548" w:rsidRDefault="00474DBE" w:rsidP="00474DBE">
      <w:pPr>
        <w:jc w:val="both"/>
        <w:rPr>
          <w:rFonts w:ascii="Arial" w:hAnsi="Arial" w:cs="Arial"/>
          <w:sz w:val="22"/>
          <w:szCs w:val="22"/>
        </w:rPr>
      </w:pPr>
    </w:p>
    <w:p w14:paraId="78BBF6DD" w14:textId="49724252" w:rsidR="00474DBE" w:rsidRPr="00222526" w:rsidRDefault="00474DBE" w:rsidP="00474DBE">
      <w:pPr>
        <w:jc w:val="both"/>
        <w:rPr>
          <w:rFonts w:ascii="Arial" w:hAnsi="Arial" w:cs="Arial"/>
          <w:sz w:val="22"/>
          <w:szCs w:val="22"/>
        </w:rPr>
      </w:pPr>
      <w:r w:rsidRPr="00222526">
        <w:rPr>
          <w:rFonts w:ascii="Arial" w:hAnsi="Arial" w:cs="Arial"/>
          <w:sz w:val="22"/>
          <w:szCs w:val="22"/>
        </w:rPr>
        <w:t xml:space="preserve">According to </w:t>
      </w:r>
      <w:r>
        <w:rPr>
          <w:rFonts w:ascii="Arial" w:hAnsi="Arial" w:cs="Arial"/>
          <w:sz w:val="22"/>
          <w:szCs w:val="22"/>
        </w:rPr>
        <w:t>the submitted</w:t>
      </w:r>
      <w:r w:rsidRPr="00222526">
        <w:rPr>
          <w:rFonts w:ascii="Arial" w:hAnsi="Arial" w:cs="Arial"/>
          <w:sz w:val="22"/>
          <w:szCs w:val="22"/>
        </w:rPr>
        <w:t xml:space="preserve"> CAM Plan, </w:t>
      </w:r>
      <w:r w:rsidRPr="00222526">
        <w:rPr>
          <w:rFonts w:ascii="Arial" w:eastAsia="Calibri" w:hAnsi="Arial" w:cs="Arial"/>
          <w:sz w:val="22"/>
          <w:szCs w:val="22"/>
        </w:rPr>
        <w:t>regenerative thermal oxidizers</w:t>
      </w:r>
      <w:r w:rsidRPr="00222526">
        <w:rPr>
          <w:rFonts w:ascii="Arial" w:hAnsi="Arial" w:cs="Arial"/>
          <w:sz w:val="22"/>
          <w:szCs w:val="22"/>
        </w:rPr>
        <w:t xml:space="preserve"> will provide control for </w:t>
      </w:r>
      <w:r w:rsidR="00D56811" w:rsidRPr="00222526">
        <w:rPr>
          <w:rFonts w:ascii="Arial" w:hAnsi="Arial" w:cs="Arial"/>
          <w:sz w:val="22"/>
          <w:szCs w:val="22"/>
        </w:rPr>
        <w:t>CO emissions</w:t>
      </w:r>
      <w:r w:rsidRPr="00222526">
        <w:rPr>
          <w:rFonts w:ascii="Arial" w:hAnsi="Arial" w:cs="Arial"/>
          <w:sz w:val="22"/>
          <w:szCs w:val="22"/>
        </w:rPr>
        <w:t xml:space="preserve"> from each test cell. </w:t>
      </w:r>
      <w:r w:rsidR="003C6EFE">
        <w:rPr>
          <w:rFonts w:ascii="Arial" w:hAnsi="Arial" w:cs="Arial"/>
          <w:sz w:val="22"/>
          <w:szCs w:val="22"/>
        </w:rPr>
        <w:t xml:space="preserve"> </w:t>
      </w:r>
      <w:r>
        <w:rPr>
          <w:rFonts w:ascii="Arial" w:hAnsi="Arial" w:cs="Arial"/>
          <w:sz w:val="22"/>
          <w:szCs w:val="22"/>
        </w:rPr>
        <w:t xml:space="preserve">Plan </w:t>
      </w:r>
      <w:r w:rsidRPr="00222526">
        <w:rPr>
          <w:rFonts w:ascii="Arial" w:hAnsi="Arial" w:cs="Arial"/>
          <w:sz w:val="22"/>
          <w:szCs w:val="22"/>
        </w:rPr>
        <w:t>states that under all existing test cell operating scenarios, one</w:t>
      </w:r>
      <w:r>
        <w:rPr>
          <w:rFonts w:ascii="Arial" w:hAnsi="Arial" w:cs="Arial"/>
          <w:sz w:val="22"/>
          <w:szCs w:val="22"/>
        </w:rPr>
        <w:t xml:space="preserve"> </w:t>
      </w:r>
      <w:r w:rsidRPr="00222526">
        <w:rPr>
          <w:rFonts w:ascii="Arial" w:hAnsi="Arial" w:cs="Arial"/>
          <w:sz w:val="22"/>
          <w:szCs w:val="22"/>
        </w:rPr>
        <w:t xml:space="preserve">RTO has the capacity to control emissions from all of the engine driven test cells simultaneously, if required. </w:t>
      </w:r>
      <w:r w:rsidR="003C6EFE">
        <w:rPr>
          <w:rFonts w:ascii="Arial" w:hAnsi="Arial" w:cs="Arial"/>
          <w:sz w:val="22"/>
          <w:szCs w:val="22"/>
        </w:rPr>
        <w:t xml:space="preserve"> </w:t>
      </w:r>
      <w:r w:rsidRPr="00222526">
        <w:rPr>
          <w:rFonts w:ascii="Arial" w:hAnsi="Arial" w:cs="Arial"/>
          <w:sz w:val="22"/>
          <w:szCs w:val="22"/>
        </w:rPr>
        <w:t xml:space="preserve">The two adjacent RTOs are operated in standby mode in the event of a primary regenerative thermal oxidizer malfunction. </w:t>
      </w:r>
      <w:r w:rsidR="003C6EFE">
        <w:rPr>
          <w:rFonts w:ascii="Arial" w:hAnsi="Arial" w:cs="Arial"/>
          <w:sz w:val="22"/>
          <w:szCs w:val="22"/>
        </w:rPr>
        <w:t xml:space="preserve"> </w:t>
      </w:r>
      <w:r w:rsidRPr="00222526">
        <w:rPr>
          <w:rFonts w:ascii="Arial" w:hAnsi="Arial" w:cs="Arial"/>
          <w:sz w:val="22"/>
          <w:szCs w:val="22"/>
        </w:rPr>
        <w:t xml:space="preserve">To ensure proper operation of the </w:t>
      </w:r>
      <w:r>
        <w:rPr>
          <w:rFonts w:ascii="Arial" w:eastAsia="Calibri" w:hAnsi="Arial" w:cs="Arial"/>
          <w:sz w:val="22"/>
          <w:szCs w:val="22"/>
        </w:rPr>
        <w:t>RTOs</w:t>
      </w:r>
      <w:r w:rsidRPr="00222526">
        <w:rPr>
          <w:rFonts w:ascii="Arial" w:eastAsia="Calibri" w:hAnsi="Arial" w:cs="Arial"/>
          <w:sz w:val="22"/>
          <w:szCs w:val="22"/>
        </w:rPr>
        <w:t>,</w:t>
      </w:r>
      <w:r>
        <w:rPr>
          <w:rFonts w:ascii="Arial" w:eastAsia="Calibri" w:hAnsi="Arial" w:cs="Arial"/>
          <w:sz w:val="22"/>
          <w:szCs w:val="22"/>
        </w:rPr>
        <w:t xml:space="preserve"> these will be </w:t>
      </w:r>
      <w:r w:rsidRPr="00222526">
        <w:rPr>
          <w:rFonts w:ascii="Arial" w:eastAsia="Calibri" w:hAnsi="Arial" w:cs="Arial"/>
          <w:sz w:val="22"/>
          <w:szCs w:val="22"/>
        </w:rPr>
        <w:t xml:space="preserve">operated </w:t>
      </w:r>
      <w:r w:rsidRPr="00222526">
        <w:rPr>
          <w:rFonts w:ascii="Arial" w:hAnsi="Arial" w:cs="Arial"/>
          <w:sz w:val="22"/>
          <w:szCs w:val="22"/>
        </w:rPr>
        <w:t xml:space="preserve">with a combustion chamber temperature of </w:t>
      </w:r>
      <w:r>
        <w:rPr>
          <w:rFonts w:ascii="Arial" w:hAnsi="Arial" w:cs="Arial"/>
          <w:sz w:val="22"/>
          <w:szCs w:val="22"/>
        </w:rPr>
        <w:t>minimum 1</w:t>
      </w:r>
      <w:r w:rsidRPr="00222526">
        <w:rPr>
          <w:rFonts w:ascii="Arial" w:hAnsi="Arial" w:cs="Arial"/>
          <w:sz w:val="22"/>
          <w:szCs w:val="22"/>
        </w:rPr>
        <w:t>400</w:t>
      </w:r>
      <w:r w:rsidR="003C6EFE">
        <w:rPr>
          <w:rFonts w:ascii="Arial" w:hAnsi="Arial" w:cs="Arial"/>
          <w:sz w:val="22"/>
          <w:szCs w:val="22"/>
        </w:rPr>
        <w:t>°</w:t>
      </w:r>
      <w:r w:rsidRPr="00222526">
        <w:rPr>
          <w:rFonts w:ascii="Arial" w:hAnsi="Arial" w:cs="Arial"/>
          <w:sz w:val="22"/>
          <w:szCs w:val="22"/>
        </w:rPr>
        <w:t>F</w:t>
      </w:r>
      <w:r>
        <w:rPr>
          <w:rFonts w:ascii="Arial" w:hAnsi="Arial" w:cs="Arial"/>
          <w:sz w:val="22"/>
          <w:szCs w:val="22"/>
        </w:rPr>
        <w:t xml:space="preserve">. </w:t>
      </w:r>
      <w:r w:rsidR="003C6EFE">
        <w:rPr>
          <w:rFonts w:ascii="Arial" w:hAnsi="Arial" w:cs="Arial"/>
          <w:sz w:val="22"/>
          <w:szCs w:val="22"/>
        </w:rPr>
        <w:t xml:space="preserve"> </w:t>
      </w:r>
      <w:r>
        <w:rPr>
          <w:rFonts w:ascii="Arial" w:hAnsi="Arial" w:cs="Arial"/>
          <w:sz w:val="22"/>
          <w:szCs w:val="22"/>
        </w:rPr>
        <w:t>The facility would also</w:t>
      </w:r>
      <w:r w:rsidRPr="00222526">
        <w:rPr>
          <w:rFonts w:ascii="Arial" w:hAnsi="Arial" w:cs="Arial"/>
          <w:sz w:val="22"/>
          <w:szCs w:val="22"/>
        </w:rPr>
        <w:t xml:space="preserve"> conduct performance checks of the combustion chamber thermocouples, conduct inspections of the heat exchange/heat transfer media, and conduct inspections of inlet/outlet valve seals to ensure proper retention time. </w:t>
      </w:r>
      <w:r w:rsidR="003C6EFE">
        <w:rPr>
          <w:rFonts w:ascii="Arial" w:hAnsi="Arial" w:cs="Arial"/>
          <w:sz w:val="22"/>
          <w:szCs w:val="22"/>
        </w:rPr>
        <w:t xml:space="preserve"> </w:t>
      </w:r>
      <w:r>
        <w:rPr>
          <w:rFonts w:ascii="Arial" w:hAnsi="Arial" w:cs="Arial"/>
          <w:sz w:val="22"/>
          <w:szCs w:val="22"/>
        </w:rPr>
        <w:t xml:space="preserve">The temperature is monitored on a continuous basis and recorded at a minimum of once every 15 minutes. </w:t>
      </w:r>
    </w:p>
    <w:p w14:paraId="5DFA73CB" w14:textId="77777777" w:rsidR="00474DBE" w:rsidRDefault="00474DBE" w:rsidP="00474DBE">
      <w:pPr>
        <w:jc w:val="both"/>
        <w:rPr>
          <w:rFonts w:ascii="Arial" w:hAnsi="Arial" w:cs="Arial"/>
          <w:sz w:val="22"/>
          <w:szCs w:val="22"/>
        </w:rPr>
      </w:pPr>
    </w:p>
    <w:p w14:paraId="6C392828" w14:textId="77777777" w:rsidR="00474DBE" w:rsidRPr="008E66F2" w:rsidRDefault="00474DBE" w:rsidP="00474DBE">
      <w:pPr>
        <w:jc w:val="both"/>
        <w:rPr>
          <w:rFonts w:ascii="Arial" w:hAnsi="Arial" w:cs="Arial"/>
          <w:sz w:val="22"/>
          <w:szCs w:val="22"/>
        </w:rPr>
      </w:pPr>
      <w:r w:rsidRPr="008E66F2">
        <w:rPr>
          <w:rFonts w:ascii="Arial" w:hAnsi="Arial" w:cs="Arial"/>
          <w:sz w:val="22"/>
          <w:szCs w:val="22"/>
        </w:rPr>
        <w:t>Thermal oxidizers are commonly used to control VOC and CO emissions from dynamometer cells and other similar units.  This is a well-established technology and referenced in existing federal regulations, such as the Engine Test Maximum Achievable Control Technology (MACT) Standard as an appropriate control technology for engine emissions.</w:t>
      </w:r>
    </w:p>
    <w:p w14:paraId="67C67892" w14:textId="77777777" w:rsidR="00474DBE" w:rsidRPr="00684B16" w:rsidRDefault="00474DBE" w:rsidP="00474DBE">
      <w:pPr>
        <w:jc w:val="both"/>
        <w:rPr>
          <w:rFonts w:ascii="Arial" w:hAnsi="Arial" w:cs="Arial"/>
          <w:sz w:val="22"/>
          <w:szCs w:val="22"/>
        </w:rPr>
      </w:pPr>
    </w:p>
    <w:p w14:paraId="440C6490" w14:textId="77777777" w:rsidR="00474DBE" w:rsidRPr="008E66F2" w:rsidRDefault="00474DBE" w:rsidP="00474DBE">
      <w:pPr>
        <w:jc w:val="both"/>
        <w:rPr>
          <w:rFonts w:ascii="Arial" w:hAnsi="Arial" w:cs="Arial"/>
          <w:sz w:val="22"/>
          <w:szCs w:val="22"/>
        </w:rPr>
      </w:pPr>
      <w:r w:rsidRPr="008E66F2">
        <w:rPr>
          <w:rFonts w:ascii="Arial" w:hAnsi="Arial" w:cs="Arial"/>
          <w:sz w:val="22"/>
          <w:szCs w:val="22"/>
        </w:rPr>
        <w:t>The thermal oxidizer combustion chamber temperature of 1,400 degrees is also a well-established temperature necessary to destroy VOC and CO emissions.  This temperature is also the manufacturer’s recommended operating temperature for this type of thermal oxidizer.</w:t>
      </w:r>
    </w:p>
    <w:p w14:paraId="11418E18" w14:textId="77777777" w:rsidR="000F73C3" w:rsidRPr="004E13FD" w:rsidRDefault="000F73C3" w:rsidP="000F73C3">
      <w:pPr>
        <w:jc w:val="both"/>
        <w:rPr>
          <w:rFonts w:ascii="Arial" w:hAnsi="Arial" w:cs="Arial"/>
          <w:sz w:val="22"/>
          <w:szCs w:val="22"/>
        </w:rPr>
      </w:pPr>
    </w:p>
    <w:p w14:paraId="1AF4E14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F73EB63" w14:textId="77777777" w:rsidR="000F73C3" w:rsidRDefault="000F73C3" w:rsidP="000F73C3">
      <w:pPr>
        <w:jc w:val="both"/>
        <w:rPr>
          <w:rFonts w:ascii="Arial" w:hAnsi="Arial" w:cs="Arial"/>
          <w:sz w:val="22"/>
          <w:szCs w:val="22"/>
        </w:rPr>
      </w:pPr>
    </w:p>
    <w:p w14:paraId="5D1A1971"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D4EF425" w14:textId="77777777" w:rsidR="000F73C3" w:rsidRPr="00290754" w:rsidRDefault="000F73C3" w:rsidP="000F73C3">
      <w:pPr>
        <w:jc w:val="both"/>
        <w:rPr>
          <w:rFonts w:ascii="Arial" w:hAnsi="Arial" w:cs="Arial"/>
          <w:sz w:val="22"/>
          <w:szCs w:val="22"/>
        </w:rPr>
      </w:pPr>
    </w:p>
    <w:p w14:paraId="68F8FF1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35EF26B" w14:textId="4C33B227" w:rsidR="00144052" w:rsidRDefault="00144052">
      <w:pPr>
        <w:rPr>
          <w:rFonts w:ascii="Arial" w:hAnsi="Arial" w:cs="Arial"/>
          <w:sz w:val="22"/>
          <w:szCs w:val="22"/>
        </w:rPr>
      </w:pPr>
      <w:r>
        <w:rPr>
          <w:rFonts w:ascii="Arial" w:hAnsi="Arial" w:cs="Arial"/>
          <w:sz w:val="22"/>
          <w:szCs w:val="22"/>
        </w:rPr>
        <w:br w:type="page"/>
      </w:r>
    </w:p>
    <w:p w14:paraId="764651AA" w14:textId="77777777" w:rsidR="000F73C3" w:rsidRDefault="000F73C3" w:rsidP="000F73C3">
      <w:pPr>
        <w:jc w:val="both"/>
        <w:rPr>
          <w:rFonts w:ascii="Arial" w:hAnsi="Arial" w:cs="Arial"/>
          <w:sz w:val="22"/>
          <w:szCs w:val="22"/>
        </w:rPr>
      </w:pPr>
    </w:p>
    <w:p w14:paraId="0DEE704D" w14:textId="1FA67E27"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51B50">
        <w:rPr>
          <w:rFonts w:ascii="Arial" w:hAnsi="Arial" w:cs="Arial"/>
          <w:bCs/>
          <w:sz w:val="22"/>
        </w:rPr>
        <w:t>MI-ROP-M4734-2011</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0F56E163"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37"/>
        <w:gridCol w:w="2193"/>
        <w:gridCol w:w="2565"/>
        <w:gridCol w:w="2565"/>
      </w:tblGrid>
      <w:tr w:rsidR="000F73C3" w:rsidRPr="00290754" w14:paraId="1BE74AC6"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3115B4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351B50" w:rsidRPr="00290754" w14:paraId="5EFC6438" w14:textId="77777777" w:rsidTr="00351B50">
        <w:tc>
          <w:tcPr>
            <w:tcW w:w="2937" w:type="dxa"/>
            <w:tcBorders>
              <w:top w:val="single" w:sz="4" w:space="0" w:color="auto"/>
              <w:left w:val="double" w:sz="4" w:space="0" w:color="auto"/>
            </w:tcBorders>
          </w:tcPr>
          <w:p w14:paraId="132C4634" w14:textId="5DDD2E61" w:rsidR="00351B50" w:rsidRPr="00290754" w:rsidRDefault="00351B50" w:rsidP="00351B50">
            <w:pPr>
              <w:rPr>
                <w:rFonts w:ascii="Arial" w:hAnsi="Arial" w:cs="Arial"/>
                <w:sz w:val="22"/>
                <w:szCs w:val="22"/>
              </w:rPr>
            </w:pPr>
            <w:r>
              <w:rPr>
                <w:rFonts w:ascii="Arial" w:hAnsi="Arial" w:cs="Arial"/>
                <w:sz w:val="22"/>
                <w:szCs w:val="22"/>
              </w:rPr>
              <w:t>C</w:t>
            </w:r>
            <w:r w:rsidRPr="00CA07E0">
              <w:rPr>
                <w:rFonts w:ascii="Arial" w:hAnsi="Arial" w:cs="Arial"/>
                <w:sz w:val="22"/>
                <w:szCs w:val="22"/>
              </w:rPr>
              <w:t>-11388 through C-11393</w:t>
            </w:r>
          </w:p>
        </w:tc>
        <w:tc>
          <w:tcPr>
            <w:tcW w:w="2193" w:type="dxa"/>
            <w:tcBorders>
              <w:top w:val="single" w:sz="4" w:space="0" w:color="auto"/>
            </w:tcBorders>
          </w:tcPr>
          <w:p w14:paraId="248DFC2E" w14:textId="40E85100" w:rsidR="00351B50" w:rsidRPr="00290754" w:rsidRDefault="00351B50" w:rsidP="00351B50">
            <w:pPr>
              <w:rPr>
                <w:rFonts w:ascii="Arial" w:hAnsi="Arial" w:cs="Arial"/>
                <w:sz w:val="22"/>
                <w:szCs w:val="22"/>
              </w:rPr>
            </w:pPr>
            <w:r w:rsidRPr="00CA07E0">
              <w:rPr>
                <w:rFonts w:ascii="Arial" w:hAnsi="Arial" w:cs="Arial"/>
                <w:sz w:val="22"/>
                <w:szCs w:val="22"/>
              </w:rPr>
              <w:t>292-05</w:t>
            </w:r>
          </w:p>
        </w:tc>
        <w:tc>
          <w:tcPr>
            <w:tcW w:w="2565" w:type="dxa"/>
            <w:tcBorders>
              <w:top w:val="single" w:sz="4" w:space="0" w:color="auto"/>
            </w:tcBorders>
          </w:tcPr>
          <w:p w14:paraId="76102888" w14:textId="14FC046A" w:rsidR="00351B50" w:rsidRPr="00290754" w:rsidRDefault="00351B50" w:rsidP="00351B50">
            <w:pPr>
              <w:rPr>
                <w:rFonts w:ascii="Arial" w:hAnsi="Arial" w:cs="Arial"/>
                <w:sz w:val="22"/>
                <w:szCs w:val="22"/>
              </w:rPr>
            </w:pPr>
            <w:r>
              <w:rPr>
                <w:rFonts w:ascii="Arial" w:hAnsi="Arial" w:cs="Arial"/>
                <w:sz w:val="22"/>
                <w:szCs w:val="22"/>
              </w:rPr>
              <w:t>401-94A</w:t>
            </w:r>
          </w:p>
        </w:tc>
        <w:tc>
          <w:tcPr>
            <w:tcW w:w="2565" w:type="dxa"/>
            <w:tcBorders>
              <w:top w:val="single" w:sz="4" w:space="0" w:color="auto"/>
              <w:right w:val="double" w:sz="4" w:space="0" w:color="auto"/>
            </w:tcBorders>
          </w:tcPr>
          <w:p w14:paraId="64EFCF9B" w14:textId="77777777" w:rsidR="00351B50" w:rsidRPr="00290754" w:rsidRDefault="00351B50" w:rsidP="00351B5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B10352C" w14:textId="77777777" w:rsidR="000F73C3" w:rsidRDefault="000F73C3" w:rsidP="000F73C3">
      <w:pPr>
        <w:rPr>
          <w:rFonts w:ascii="Arial" w:hAnsi="Arial" w:cs="Arial"/>
          <w:sz w:val="22"/>
          <w:szCs w:val="22"/>
        </w:rPr>
      </w:pPr>
    </w:p>
    <w:p w14:paraId="77D4B11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59AFD4D" w14:textId="77777777" w:rsidR="000F73C3" w:rsidRPr="00DA122E" w:rsidRDefault="000F73C3" w:rsidP="000F73C3">
      <w:pPr>
        <w:rPr>
          <w:rFonts w:ascii="Arial" w:hAnsi="Arial" w:cs="Arial"/>
          <w:sz w:val="22"/>
          <w:szCs w:val="22"/>
        </w:rPr>
      </w:pPr>
    </w:p>
    <w:p w14:paraId="7B6A1143"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F252F74" w14:textId="77777777" w:rsidR="000F73C3" w:rsidRPr="00DA122E" w:rsidRDefault="000F73C3" w:rsidP="000F73C3">
      <w:pPr>
        <w:rPr>
          <w:rFonts w:ascii="Arial" w:hAnsi="Arial" w:cs="Arial"/>
          <w:sz w:val="22"/>
          <w:szCs w:val="22"/>
        </w:rPr>
      </w:pPr>
    </w:p>
    <w:p w14:paraId="409A2F3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7611FBB0" w14:textId="77777777" w:rsidR="000F73C3" w:rsidRPr="00D122B6" w:rsidRDefault="000F73C3" w:rsidP="000F73C3">
      <w:pPr>
        <w:rPr>
          <w:rFonts w:ascii="Arial" w:hAnsi="Arial" w:cs="Arial"/>
          <w:sz w:val="22"/>
          <w:szCs w:val="22"/>
        </w:rPr>
      </w:pPr>
    </w:p>
    <w:p w14:paraId="2AF17D4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D61089C" w14:textId="77777777" w:rsidR="000F73C3" w:rsidRPr="00D122B6" w:rsidRDefault="000F73C3" w:rsidP="000F73C3">
      <w:pPr>
        <w:rPr>
          <w:rFonts w:ascii="Arial" w:hAnsi="Arial" w:cs="Arial"/>
          <w:sz w:val="22"/>
          <w:szCs w:val="22"/>
        </w:rPr>
      </w:pPr>
    </w:p>
    <w:p w14:paraId="5E93F20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6CB900EF" w14:textId="77777777" w:rsidR="000F73C3" w:rsidRPr="00290754" w:rsidRDefault="000F73C3" w:rsidP="000F73C3">
      <w:pPr>
        <w:rPr>
          <w:rFonts w:ascii="Arial" w:hAnsi="Arial" w:cs="Arial"/>
          <w:sz w:val="22"/>
          <w:szCs w:val="22"/>
        </w:rPr>
      </w:pPr>
    </w:p>
    <w:p w14:paraId="2A228D1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0A8CA0A7"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9"/>
        <w:gridCol w:w="3330"/>
        <w:gridCol w:w="2070"/>
        <w:gridCol w:w="2201"/>
      </w:tblGrid>
      <w:tr w:rsidR="00AE6262" w:rsidRPr="00290754" w14:paraId="6A493270" w14:textId="77777777" w:rsidTr="003C6EFE">
        <w:trPr>
          <w:tblHeader/>
        </w:trPr>
        <w:tc>
          <w:tcPr>
            <w:tcW w:w="2569" w:type="dxa"/>
            <w:tcBorders>
              <w:top w:val="double" w:sz="6" w:space="0" w:color="auto"/>
              <w:bottom w:val="double" w:sz="6" w:space="0" w:color="auto"/>
              <w:right w:val="single" w:sz="6" w:space="0" w:color="auto"/>
            </w:tcBorders>
            <w:shd w:val="pct10" w:color="auto" w:fill="auto"/>
          </w:tcPr>
          <w:p w14:paraId="4FFBD798"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330" w:type="dxa"/>
            <w:tcBorders>
              <w:top w:val="double" w:sz="6" w:space="0" w:color="auto"/>
              <w:bottom w:val="double" w:sz="6" w:space="0" w:color="auto"/>
              <w:right w:val="single" w:sz="6" w:space="0" w:color="auto"/>
            </w:tcBorders>
            <w:shd w:val="pct10" w:color="auto" w:fill="auto"/>
          </w:tcPr>
          <w:p w14:paraId="0B8AD384"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70" w:type="dxa"/>
            <w:tcBorders>
              <w:top w:val="double" w:sz="6" w:space="0" w:color="auto"/>
              <w:bottom w:val="double" w:sz="6" w:space="0" w:color="auto"/>
              <w:right w:val="single" w:sz="4" w:space="0" w:color="auto"/>
            </w:tcBorders>
            <w:shd w:val="pct10" w:color="auto" w:fill="auto"/>
          </w:tcPr>
          <w:p w14:paraId="67E114A4"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40E1BF6E"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2F79AF5C"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351B50" w:rsidRPr="003C6EFE" w14:paraId="7F2710CD" w14:textId="77777777" w:rsidTr="003C6EFE">
        <w:tc>
          <w:tcPr>
            <w:tcW w:w="2569" w:type="dxa"/>
          </w:tcPr>
          <w:p w14:paraId="1520E09C" w14:textId="793C397F" w:rsidR="00351B50" w:rsidRPr="003C6EFE" w:rsidRDefault="00351B50" w:rsidP="00351B50">
            <w:pPr>
              <w:rPr>
                <w:rFonts w:ascii="Arial" w:hAnsi="Arial" w:cs="Arial"/>
                <w:sz w:val="22"/>
                <w:szCs w:val="22"/>
              </w:rPr>
            </w:pPr>
            <w:r w:rsidRPr="003C6EFE">
              <w:rPr>
                <w:rFonts w:ascii="Arial" w:hAnsi="Arial" w:cs="Arial"/>
                <w:sz w:val="22"/>
                <w:szCs w:val="22"/>
              </w:rPr>
              <w:t>EU-RTACU1</w:t>
            </w:r>
          </w:p>
        </w:tc>
        <w:tc>
          <w:tcPr>
            <w:tcW w:w="3330" w:type="dxa"/>
            <w:vMerge w:val="restart"/>
          </w:tcPr>
          <w:p w14:paraId="2955860F" w14:textId="445C823B" w:rsidR="00351B50" w:rsidRPr="003C6EFE" w:rsidRDefault="00351B50" w:rsidP="00351B50">
            <w:pPr>
              <w:rPr>
                <w:rFonts w:ascii="Arial" w:hAnsi="Arial" w:cs="Arial"/>
                <w:sz w:val="22"/>
                <w:szCs w:val="22"/>
              </w:rPr>
            </w:pPr>
            <w:r w:rsidRPr="003C6EFE">
              <w:rPr>
                <w:rFonts w:ascii="Arial" w:hAnsi="Arial" w:cs="Arial"/>
                <w:sz w:val="22"/>
                <w:szCs w:val="22"/>
              </w:rPr>
              <w:t>Rooftop heating units.  Total design capacity of all-natural gas fired heating units ~53.15 MMBTU/hr; with individual heat inputs of 4.2 MMBTU/hr or less.</w:t>
            </w:r>
          </w:p>
        </w:tc>
        <w:tc>
          <w:tcPr>
            <w:tcW w:w="2070" w:type="dxa"/>
            <w:vMerge w:val="restart"/>
          </w:tcPr>
          <w:p w14:paraId="5104A891" w14:textId="2C5698FE" w:rsidR="00351B50" w:rsidRPr="003C6EFE" w:rsidRDefault="00351B50" w:rsidP="00351B50">
            <w:pPr>
              <w:jc w:val="center"/>
              <w:rPr>
                <w:rFonts w:ascii="Arial" w:hAnsi="Arial" w:cs="Arial"/>
                <w:sz w:val="22"/>
                <w:szCs w:val="22"/>
              </w:rPr>
            </w:pPr>
            <w:r w:rsidRPr="003C6EFE">
              <w:rPr>
                <w:rFonts w:ascii="Arial" w:hAnsi="Arial" w:cs="Arial"/>
                <w:sz w:val="22"/>
                <w:szCs w:val="22"/>
              </w:rPr>
              <w:t>R 336.1212(4)(b)</w:t>
            </w:r>
          </w:p>
        </w:tc>
        <w:tc>
          <w:tcPr>
            <w:tcW w:w="2201" w:type="dxa"/>
            <w:vMerge w:val="restart"/>
          </w:tcPr>
          <w:p w14:paraId="3AC3A894" w14:textId="113822DD" w:rsidR="00351B50" w:rsidRPr="003C6EFE" w:rsidRDefault="00351B50" w:rsidP="00351B50">
            <w:pPr>
              <w:jc w:val="center"/>
              <w:rPr>
                <w:rFonts w:ascii="Arial" w:hAnsi="Arial" w:cs="Arial"/>
                <w:sz w:val="22"/>
                <w:szCs w:val="22"/>
              </w:rPr>
            </w:pPr>
            <w:r w:rsidRPr="003C6EFE">
              <w:rPr>
                <w:rFonts w:ascii="Arial" w:hAnsi="Arial" w:cs="Arial"/>
                <w:sz w:val="22"/>
                <w:szCs w:val="22"/>
              </w:rPr>
              <w:t>R 336.1282(2)(b)(i)</w:t>
            </w:r>
          </w:p>
        </w:tc>
      </w:tr>
      <w:tr w:rsidR="00351B50" w:rsidRPr="003C6EFE" w14:paraId="47520A69" w14:textId="77777777" w:rsidTr="003C6EFE">
        <w:tc>
          <w:tcPr>
            <w:tcW w:w="2569" w:type="dxa"/>
          </w:tcPr>
          <w:p w14:paraId="18BC7CEA" w14:textId="6153A67E" w:rsidR="00351B50" w:rsidRPr="003C6EFE" w:rsidRDefault="00351B50" w:rsidP="00351B50">
            <w:pPr>
              <w:rPr>
                <w:rFonts w:ascii="Arial" w:hAnsi="Arial" w:cs="Arial"/>
                <w:sz w:val="22"/>
                <w:szCs w:val="22"/>
              </w:rPr>
            </w:pPr>
            <w:r w:rsidRPr="003C6EFE">
              <w:rPr>
                <w:rFonts w:ascii="Arial" w:hAnsi="Arial" w:cs="Arial"/>
                <w:sz w:val="22"/>
                <w:szCs w:val="22"/>
              </w:rPr>
              <w:t>EU-RTACU2</w:t>
            </w:r>
          </w:p>
        </w:tc>
        <w:tc>
          <w:tcPr>
            <w:tcW w:w="3330" w:type="dxa"/>
            <w:vMerge/>
          </w:tcPr>
          <w:p w14:paraId="1210DAFA" w14:textId="6CC13BF6" w:rsidR="00351B50" w:rsidRPr="003C6EFE" w:rsidRDefault="00351B50" w:rsidP="00351B50">
            <w:pPr>
              <w:rPr>
                <w:rFonts w:ascii="Arial" w:hAnsi="Arial" w:cs="Arial"/>
                <w:sz w:val="22"/>
                <w:szCs w:val="22"/>
              </w:rPr>
            </w:pPr>
          </w:p>
        </w:tc>
        <w:tc>
          <w:tcPr>
            <w:tcW w:w="2070" w:type="dxa"/>
            <w:vMerge/>
          </w:tcPr>
          <w:p w14:paraId="2BAD649D" w14:textId="7D1881CE" w:rsidR="00351B50" w:rsidRPr="003C6EFE" w:rsidRDefault="00351B50" w:rsidP="00351B50">
            <w:pPr>
              <w:jc w:val="center"/>
              <w:rPr>
                <w:rFonts w:ascii="Arial" w:hAnsi="Arial" w:cs="Arial"/>
                <w:sz w:val="22"/>
                <w:szCs w:val="22"/>
              </w:rPr>
            </w:pPr>
          </w:p>
        </w:tc>
        <w:tc>
          <w:tcPr>
            <w:tcW w:w="2201" w:type="dxa"/>
            <w:vMerge/>
          </w:tcPr>
          <w:p w14:paraId="35F9B2ED" w14:textId="68E63384" w:rsidR="00351B50" w:rsidRPr="003C6EFE" w:rsidRDefault="00351B50" w:rsidP="00351B50">
            <w:pPr>
              <w:jc w:val="center"/>
              <w:rPr>
                <w:rFonts w:ascii="Arial" w:hAnsi="Arial" w:cs="Arial"/>
                <w:sz w:val="22"/>
                <w:szCs w:val="22"/>
              </w:rPr>
            </w:pPr>
          </w:p>
        </w:tc>
      </w:tr>
      <w:tr w:rsidR="00351B50" w:rsidRPr="003C6EFE" w14:paraId="4C702E1B" w14:textId="77777777" w:rsidTr="003C6EFE">
        <w:tc>
          <w:tcPr>
            <w:tcW w:w="2569" w:type="dxa"/>
          </w:tcPr>
          <w:p w14:paraId="31662F98" w14:textId="34B39AA9" w:rsidR="00351B50" w:rsidRPr="003C6EFE" w:rsidRDefault="00351B50" w:rsidP="00351B50">
            <w:pPr>
              <w:rPr>
                <w:rFonts w:ascii="Arial" w:hAnsi="Arial" w:cs="Arial"/>
                <w:sz w:val="22"/>
                <w:szCs w:val="22"/>
              </w:rPr>
            </w:pPr>
            <w:r w:rsidRPr="003C6EFE">
              <w:rPr>
                <w:rFonts w:ascii="Arial" w:hAnsi="Arial" w:cs="Arial"/>
                <w:sz w:val="22"/>
                <w:szCs w:val="22"/>
              </w:rPr>
              <w:t>EU-RTACU3</w:t>
            </w:r>
          </w:p>
        </w:tc>
        <w:tc>
          <w:tcPr>
            <w:tcW w:w="3330" w:type="dxa"/>
            <w:vMerge/>
          </w:tcPr>
          <w:p w14:paraId="383C9EB4" w14:textId="09E6F024" w:rsidR="00351B50" w:rsidRPr="003C6EFE" w:rsidRDefault="00351B50" w:rsidP="00351B50">
            <w:pPr>
              <w:rPr>
                <w:rFonts w:ascii="Arial" w:hAnsi="Arial" w:cs="Arial"/>
                <w:sz w:val="22"/>
                <w:szCs w:val="22"/>
              </w:rPr>
            </w:pPr>
          </w:p>
        </w:tc>
        <w:tc>
          <w:tcPr>
            <w:tcW w:w="2070" w:type="dxa"/>
            <w:vMerge/>
          </w:tcPr>
          <w:p w14:paraId="08A139FC" w14:textId="14149EEC" w:rsidR="00351B50" w:rsidRPr="003C6EFE" w:rsidRDefault="00351B50" w:rsidP="00351B50">
            <w:pPr>
              <w:jc w:val="center"/>
              <w:rPr>
                <w:rFonts w:ascii="Arial" w:hAnsi="Arial" w:cs="Arial"/>
                <w:sz w:val="22"/>
                <w:szCs w:val="22"/>
              </w:rPr>
            </w:pPr>
          </w:p>
        </w:tc>
        <w:tc>
          <w:tcPr>
            <w:tcW w:w="2201" w:type="dxa"/>
            <w:vMerge/>
          </w:tcPr>
          <w:p w14:paraId="2C3A1CD0" w14:textId="24353618" w:rsidR="00351B50" w:rsidRPr="003C6EFE" w:rsidRDefault="00351B50" w:rsidP="00351B50">
            <w:pPr>
              <w:jc w:val="center"/>
              <w:rPr>
                <w:rFonts w:ascii="Arial" w:hAnsi="Arial" w:cs="Arial"/>
                <w:sz w:val="22"/>
                <w:szCs w:val="22"/>
              </w:rPr>
            </w:pPr>
          </w:p>
        </w:tc>
      </w:tr>
      <w:tr w:rsidR="00351B50" w:rsidRPr="003C6EFE" w14:paraId="4EEFD58D" w14:textId="77777777" w:rsidTr="003C6EFE">
        <w:tc>
          <w:tcPr>
            <w:tcW w:w="2569" w:type="dxa"/>
          </w:tcPr>
          <w:p w14:paraId="06A593C9" w14:textId="01A2FA9F" w:rsidR="00351B50" w:rsidRPr="003C6EFE" w:rsidRDefault="00351B50" w:rsidP="00351B50">
            <w:pPr>
              <w:rPr>
                <w:rFonts w:ascii="Arial" w:hAnsi="Arial" w:cs="Arial"/>
                <w:sz w:val="22"/>
                <w:szCs w:val="22"/>
              </w:rPr>
            </w:pPr>
            <w:r w:rsidRPr="003C6EFE">
              <w:rPr>
                <w:rFonts w:ascii="Arial" w:hAnsi="Arial" w:cs="Arial"/>
                <w:sz w:val="22"/>
                <w:szCs w:val="22"/>
              </w:rPr>
              <w:t>EU-RTACU4</w:t>
            </w:r>
          </w:p>
        </w:tc>
        <w:tc>
          <w:tcPr>
            <w:tcW w:w="3330" w:type="dxa"/>
            <w:vMerge/>
          </w:tcPr>
          <w:p w14:paraId="19232E8F" w14:textId="0F5889BB" w:rsidR="00351B50" w:rsidRPr="003C6EFE" w:rsidRDefault="00351B50" w:rsidP="00351B50">
            <w:pPr>
              <w:rPr>
                <w:rFonts w:ascii="Arial" w:hAnsi="Arial" w:cs="Arial"/>
                <w:sz w:val="22"/>
                <w:szCs w:val="22"/>
              </w:rPr>
            </w:pPr>
          </w:p>
        </w:tc>
        <w:tc>
          <w:tcPr>
            <w:tcW w:w="2070" w:type="dxa"/>
            <w:vMerge/>
          </w:tcPr>
          <w:p w14:paraId="75BDE1B0" w14:textId="41B1BEB1" w:rsidR="00351B50" w:rsidRPr="003C6EFE" w:rsidRDefault="00351B50" w:rsidP="00351B50">
            <w:pPr>
              <w:jc w:val="center"/>
              <w:rPr>
                <w:rFonts w:ascii="Arial" w:hAnsi="Arial" w:cs="Arial"/>
                <w:sz w:val="22"/>
                <w:szCs w:val="22"/>
              </w:rPr>
            </w:pPr>
          </w:p>
        </w:tc>
        <w:tc>
          <w:tcPr>
            <w:tcW w:w="2201" w:type="dxa"/>
            <w:vMerge/>
          </w:tcPr>
          <w:p w14:paraId="1088108E" w14:textId="7338BF6F" w:rsidR="00351B50" w:rsidRPr="003C6EFE" w:rsidRDefault="00351B50" w:rsidP="00351B50">
            <w:pPr>
              <w:jc w:val="center"/>
              <w:rPr>
                <w:rFonts w:ascii="Arial" w:hAnsi="Arial" w:cs="Arial"/>
                <w:sz w:val="22"/>
                <w:szCs w:val="22"/>
              </w:rPr>
            </w:pPr>
          </w:p>
        </w:tc>
      </w:tr>
      <w:tr w:rsidR="00351B50" w:rsidRPr="003C6EFE" w14:paraId="374749B8" w14:textId="77777777" w:rsidTr="003C6EFE">
        <w:tc>
          <w:tcPr>
            <w:tcW w:w="2569" w:type="dxa"/>
          </w:tcPr>
          <w:p w14:paraId="61E06461" w14:textId="0385FB01" w:rsidR="00351B50" w:rsidRPr="003C6EFE" w:rsidRDefault="00351B50" w:rsidP="00351B50">
            <w:pPr>
              <w:rPr>
                <w:rFonts w:ascii="Arial" w:hAnsi="Arial" w:cs="Arial"/>
                <w:sz w:val="22"/>
                <w:szCs w:val="22"/>
              </w:rPr>
            </w:pPr>
            <w:r w:rsidRPr="003C6EFE">
              <w:rPr>
                <w:rFonts w:ascii="Arial" w:hAnsi="Arial" w:cs="Arial"/>
                <w:sz w:val="22"/>
                <w:szCs w:val="22"/>
              </w:rPr>
              <w:t>EU-RTACU5</w:t>
            </w:r>
          </w:p>
        </w:tc>
        <w:tc>
          <w:tcPr>
            <w:tcW w:w="3330" w:type="dxa"/>
            <w:vMerge/>
          </w:tcPr>
          <w:p w14:paraId="7877B520" w14:textId="0097F7F0" w:rsidR="00351B50" w:rsidRPr="003C6EFE" w:rsidRDefault="00351B50" w:rsidP="00351B50">
            <w:pPr>
              <w:rPr>
                <w:rFonts w:ascii="Arial" w:hAnsi="Arial" w:cs="Arial"/>
                <w:sz w:val="22"/>
                <w:szCs w:val="22"/>
              </w:rPr>
            </w:pPr>
          </w:p>
        </w:tc>
        <w:tc>
          <w:tcPr>
            <w:tcW w:w="2070" w:type="dxa"/>
            <w:vMerge/>
          </w:tcPr>
          <w:p w14:paraId="236C8F4D" w14:textId="4B8BF101" w:rsidR="00351B50" w:rsidRPr="003C6EFE" w:rsidRDefault="00351B50" w:rsidP="00351B50">
            <w:pPr>
              <w:jc w:val="center"/>
              <w:rPr>
                <w:rFonts w:ascii="Arial" w:hAnsi="Arial" w:cs="Arial"/>
                <w:sz w:val="22"/>
                <w:szCs w:val="22"/>
              </w:rPr>
            </w:pPr>
          </w:p>
        </w:tc>
        <w:tc>
          <w:tcPr>
            <w:tcW w:w="2201" w:type="dxa"/>
            <w:vMerge/>
          </w:tcPr>
          <w:p w14:paraId="16C24E6C" w14:textId="21EC3D22" w:rsidR="00351B50" w:rsidRPr="003C6EFE" w:rsidRDefault="00351B50" w:rsidP="00351B50">
            <w:pPr>
              <w:jc w:val="center"/>
              <w:rPr>
                <w:rFonts w:ascii="Arial" w:hAnsi="Arial" w:cs="Arial"/>
                <w:sz w:val="22"/>
                <w:szCs w:val="22"/>
              </w:rPr>
            </w:pPr>
          </w:p>
        </w:tc>
      </w:tr>
      <w:tr w:rsidR="00351B50" w:rsidRPr="003C6EFE" w14:paraId="4C555121" w14:textId="77777777" w:rsidTr="003C6EFE">
        <w:tc>
          <w:tcPr>
            <w:tcW w:w="2569" w:type="dxa"/>
          </w:tcPr>
          <w:p w14:paraId="44E3F26F" w14:textId="48EB44A9" w:rsidR="00351B50" w:rsidRPr="003C6EFE" w:rsidRDefault="00351B50" w:rsidP="00351B50">
            <w:pPr>
              <w:rPr>
                <w:rFonts w:ascii="Arial" w:hAnsi="Arial" w:cs="Arial"/>
                <w:sz w:val="22"/>
                <w:szCs w:val="22"/>
              </w:rPr>
            </w:pPr>
            <w:r w:rsidRPr="003C6EFE">
              <w:rPr>
                <w:rFonts w:ascii="Arial" w:hAnsi="Arial" w:cs="Arial"/>
                <w:sz w:val="22"/>
                <w:szCs w:val="22"/>
              </w:rPr>
              <w:t>EU-RTACU6</w:t>
            </w:r>
          </w:p>
        </w:tc>
        <w:tc>
          <w:tcPr>
            <w:tcW w:w="3330" w:type="dxa"/>
            <w:vMerge/>
          </w:tcPr>
          <w:p w14:paraId="77D856F3" w14:textId="55FFBED6" w:rsidR="00351B50" w:rsidRPr="003C6EFE" w:rsidRDefault="00351B50" w:rsidP="00351B50">
            <w:pPr>
              <w:rPr>
                <w:rFonts w:ascii="Arial" w:hAnsi="Arial" w:cs="Arial"/>
                <w:sz w:val="22"/>
                <w:szCs w:val="22"/>
              </w:rPr>
            </w:pPr>
          </w:p>
        </w:tc>
        <w:tc>
          <w:tcPr>
            <w:tcW w:w="2070" w:type="dxa"/>
            <w:vMerge/>
          </w:tcPr>
          <w:p w14:paraId="418CA52F" w14:textId="61C6B811" w:rsidR="00351B50" w:rsidRPr="003C6EFE" w:rsidRDefault="00351B50" w:rsidP="00351B50">
            <w:pPr>
              <w:jc w:val="center"/>
              <w:rPr>
                <w:rFonts w:ascii="Arial" w:hAnsi="Arial" w:cs="Arial"/>
                <w:sz w:val="22"/>
                <w:szCs w:val="22"/>
              </w:rPr>
            </w:pPr>
          </w:p>
        </w:tc>
        <w:tc>
          <w:tcPr>
            <w:tcW w:w="2201" w:type="dxa"/>
            <w:vMerge/>
          </w:tcPr>
          <w:p w14:paraId="4BA9CE1F" w14:textId="44964A5A" w:rsidR="00351B50" w:rsidRPr="003C6EFE" w:rsidRDefault="00351B50" w:rsidP="00351B50">
            <w:pPr>
              <w:jc w:val="center"/>
              <w:rPr>
                <w:rFonts w:ascii="Arial" w:hAnsi="Arial" w:cs="Arial"/>
                <w:sz w:val="22"/>
                <w:szCs w:val="22"/>
              </w:rPr>
            </w:pPr>
          </w:p>
        </w:tc>
      </w:tr>
      <w:tr w:rsidR="00351B50" w:rsidRPr="003C6EFE" w14:paraId="2969045E" w14:textId="77777777" w:rsidTr="003C6EFE">
        <w:tc>
          <w:tcPr>
            <w:tcW w:w="2569" w:type="dxa"/>
          </w:tcPr>
          <w:p w14:paraId="00163EFA" w14:textId="4EABA232" w:rsidR="00351B50" w:rsidRPr="003C6EFE" w:rsidRDefault="00351B50" w:rsidP="00351B50">
            <w:pPr>
              <w:rPr>
                <w:rFonts w:ascii="Arial" w:hAnsi="Arial" w:cs="Arial"/>
                <w:sz w:val="22"/>
                <w:szCs w:val="22"/>
              </w:rPr>
            </w:pPr>
            <w:r w:rsidRPr="003C6EFE">
              <w:rPr>
                <w:rFonts w:ascii="Arial" w:hAnsi="Arial" w:cs="Arial"/>
                <w:sz w:val="22"/>
                <w:szCs w:val="22"/>
              </w:rPr>
              <w:t>EU-RTACU7</w:t>
            </w:r>
          </w:p>
        </w:tc>
        <w:tc>
          <w:tcPr>
            <w:tcW w:w="3330" w:type="dxa"/>
            <w:vMerge/>
          </w:tcPr>
          <w:p w14:paraId="707AA415" w14:textId="5A4BB04F" w:rsidR="00351B50" w:rsidRPr="003C6EFE" w:rsidRDefault="00351B50" w:rsidP="00351B50">
            <w:pPr>
              <w:rPr>
                <w:rFonts w:ascii="Arial" w:hAnsi="Arial" w:cs="Arial"/>
                <w:sz w:val="22"/>
                <w:szCs w:val="22"/>
              </w:rPr>
            </w:pPr>
          </w:p>
        </w:tc>
        <w:tc>
          <w:tcPr>
            <w:tcW w:w="2070" w:type="dxa"/>
            <w:vMerge/>
          </w:tcPr>
          <w:p w14:paraId="2BF59A5D" w14:textId="384CAADF" w:rsidR="00351B50" w:rsidRPr="003C6EFE" w:rsidRDefault="00351B50" w:rsidP="00351B50">
            <w:pPr>
              <w:jc w:val="center"/>
              <w:rPr>
                <w:rFonts w:ascii="Arial" w:hAnsi="Arial" w:cs="Arial"/>
                <w:sz w:val="22"/>
                <w:szCs w:val="22"/>
              </w:rPr>
            </w:pPr>
          </w:p>
        </w:tc>
        <w:tc>
          <w:tcPr>
            <w:tcW w:w="2201" w:type="dxa"/>
            <w:vMerge/>
          </w:tcPr>
          <w:p w14:paraId="082FB615" w14:textId="0B0B15E4" w:rsidR="00351B50" w:rsidRPr="003C6EFE" w:rsidRDefault="00351B50" w:rsidP="00351B50">
            <w:pPr>
              <w:jc w:val="center"/>
              <w:rPr>
                <w:rFonts w:ascii="Arial" w:hAnsi="Arial" w:cs="Arial"/>
                <w:sz w:val="22"/>
                <w:szCs w:val="22"/>
              </w:rPr>
            </w:pPr>
          </w:p>
        </w:tc>
      </w:tr>
      <w:tr w:rsidR="00351B50" w:rsidRPr="003C6EFE" w14:paraId="2711AF50" w14:textId="77777777" w:rsidTr="003C6EFE">
        <w:tc>
          <w:tcPr>
            <w:tcW w:w="2569" w:type="dxa"/>
          </w:tcPr>
          <w:p w14:paraId="3CD96197" w14:textId="5010DFB5" w:rsidR="00351B50" w:rsidRPr="003C6EFE" w:rsidRDefault="00351B50" w:rsidP="00351B50">
            <w:pPr>
              <w:rPr>
                <w:rFonts w:ascii="Arial" w:hAnsi="Arial" w:cs="Arial"/>
                <w:sz w:val="22"/>
                <w:szCs w:val="22"/>
              </w:rPr>
            </w:pPr>
            <w:r w:rsidRPr="003C6EFE">
              <w:rPr>
                <w:rFonts w:ascii="Arial" w:hAnsi="Arial" w:cs="Arial"/>
                <w:sz w:val="22"/>
                <w:szCs w:val="22"/>
              </w:rPr>
              <w:t>EU-RTACU8</w:t>
            </w:r>
          </w:p>
        </w:tc>
        <w:tc>
          <w:tcPr>
            <w:tcW w:w="3330" w:type="dxa"/>
            <w:vMerge/>
          </w:tcPr>
          <w:p w14:paraId="7A81B6B8" w14:textId="58DDEC1B" w:rsidR="00351B50" w:rsidRPr="003C6EFE" w:rsidRDefault="00351B50" w:rsidP="00351B50">
            <w:pPr>
              <w:rPr>
                <w:rFonts w:ascii="Arial" w:hAnsi="Arial" w:cs="Arial"/>
                <w:sz w:val="22"/>
                <w:szCs w:val="22"/>
              </w:rPr>
            </w:pPr>
          </w:p>
        </w:tc>
        <w:tc>
          <w:tcPr>
            <w:tcW w:w="2070" w:type="dxa"/>
            <w:vMerge/>
          </w:tcPr>
          <w:p w14:paraId="5D4B9B04" w14:textId="63745EB5" w:rsidR="00351B50" w:rsidRPr="003C6EFE" w:rsidRDefault="00351B50" w:rsidP="00351B50">
            <w:pPr>
              <w:jc w:val="center"/>
              <w:rPr>
                <w:rFonts w:ascii="Arial" w:hAnsi="Arial" w:cs="Arial"/>
                <w:sz w:val="22"/>
                <w:szCs w:val="22"/>
              </w:rPr>
            </w:pPr>
          </w:p>
        </w:tc>
        <w:tc>
          <w:tcPr>
            <w:tcW w:w="2201" w:type="dxa"/>
            <w:vMerge/>
          </w:tcPr>
          <w:p w14:paraId="3886D121" w14:textId="76963AB1" w:rsidR="00351B50" w:rsidRPr="003C6EFE" w:rsidRDefault="00351B50" w:rsidP="00351B50">
            <w:pPr>
              <w:jc w:val="center"/>
              <w:rPr>
                <w:rFonts w:ascii="Arial" w:hAnsi="Arial" w:cs="Arial"/>
                <w:sz w:val="22"/>
                <w:szCs w:val="22"/>
              </w:rPr>
            </w:pPr>
          </w:p>
        </w:tc>
      </w:tr>
      <w:tr w:rsidR="00351B50" w:rsidRPr="003C6EFE" w14:paraId="726C43CD" w14:textId="77777777" w:rsidTr="003C6EFE">
        <w:tc>
          <w:tcPr>
            <w:tcW w:w="2569" w:type="dxa"/>
          </w:tcPr>
          <w:p w14:paraId="6C7F5F1C" w14:textId="1AD1A146" w:rsidR="00351B50" w:rsidRPr="003C6EFE" w:rsidRDefault="00351B50" w:rsidP="00351B50">
            <w:pPr>
              <w:rPr>
                <w:rFonts w:ascii="Arial" w:hAnsi="Arial" w:cs="Arial"/>
                <w:sz w:val="22"/>
                <w:szCs w:val="22"/>
              </w:rPr>
            </w:pPr>
            <w:r w:rsidRPr="003C6EFE">
              <w:rPr>
                <w:rFonts w:ascii="Arial" w:hAnsi="Arial" w:cs="Arial"/>
                <w:sz w:val="22"/>
                <w:szCs w:val="22"/>
              </w:rPr>
              <w:t>EU-RTACU9</w:t>
            </w:r>
          </w:p>
        </w:tc>
        <w:tc>
          <w:tcPr>
            <w:tcW w:w="3330" w:type="dxa"/>
            <w:vMerge/>
          </w:tcPr>
          <w:p w14:paraId="6D70A736" w14:textId="5DA5815B" w:rsidR="00351B50" w:rsidRPr="003C6EFE" w:rsidRDefault="00351B50" w:rsidP="00351B50">
            <w:pPr>
              <w:rPr>
                <w:rFonts w:ascii="Arial" w:hAnsi="Arial" w:cs="Arial"/>
                <w:sz w:val="22"/>
                <w:szCs w:val="22"/>
              </w:rPr>
            </w:pPr>
          </w:p>
        </w:tc>
        <w:tc>
          <w:tcPr>
            <w:tcW w:w="2070" w:type="dxa"/>
            <w:vMerge/>
          </w:tcPr>
          <w:p w14:paraId="15CBAE24" w14:textId="3A19E4E1" w:rsidR="00351B50" w:rsidRPr="003C6EFE" w:rsidRDefault="00351B50" w:rsidP="00351B50">
            <w:pPr>
              <w:jc w:val="center"/>
              <w:rPr>
                <w:rFonts w:ascii="Arial" w:hAnsi="Arial" w:cs="Arial"/>
                <w:sz w:val="22"/>
                <w:szCs w:val="22"/>
              </w:rPr>
            </w:pPr>
          </w:p>
        </w:tc>
        <w:tc>
          <w:tcPr>
            <w:tcW w:w="2201" w:type="dxa"/>
            <w:vMerge/>
          </w:tcPr>
          <w:p w14:paraId="41E467BB" w14:textId="61746552" w:rsidR="00351B50" w:rsidRPr="003C6EFE" w:rsidRDefault="00351B50" w:rsidP="00351B50">
            <w:pPr>
              <w:jc w:val="center"/>
              <w:rPr>
                <w:rFonts w:ascii="Arial" w:hAnsi="Arial" w:cs="Arial"/>
                <w:sz w:val="22"/>
                <w:szCs w:val="22"/>
              </w:rPr>
            </w:pPr>
          </w:p>
        </w:tc>
      </w:tr>
      <w:tr w:rsidR="00351B50" w:rsidRPr="003C6EFE" w14:paraId="21409837" w14:textId="77777777" w:rsidTr="003C6EFE">
        <w:tc>
          <w:tcPr>
            <w:tcW w:w="2569" w:type="dxa"/>
          </w:tcPr>
          <w:p w14:paraId="3E720BA1" w14:textId="5513B03F" w:rsidR="00351B50" w:rsidRPr="003C6EFE" w:rsidRDefault="00351B50" w:rsidP="00351B50">
            <w:pPr>
              <w:rPr>
                <w:rFonts w:ascii="Arial" w:hAnsi="Arial" w:cs="Arial"/>
                <w:sz w:val="22"/>
                <w:szCs w:val="22"/>
              </w:rPr>
            </w:pPr>
            <w:r w:rsidRPr="003C6EFE">
              <w:rPr>
                <w:rFonts w:ascii="Arial" w:hAnsi="Arial" w:cs="Arial"/>
                <w:sz w:val="22"/>
                <w:szCs w:val="22"/>
              </w:rPr>
              <w:t>EU-RTACU10</w:t>
            </w:r>
          </w:p>
        </w:tc>
        <w:tc>
          <w:tcPr>
            <w:tcW w:w="3330" w:type="dxa"/>
            <w:vMerge/>
          </w:tcPr>
          <w:p w14:paraId="3834F894" w14:textId="3C176F2B" w:rsidR="00351B50" w:rsidRPr="003C6EFE" w:rsidRDefault="00351B50" w:rsidP="00351B50">
            <w:pPr>
              <w:rPr>
                <w:rFonts w:ascii="Arial" w:hAnsi="Arial" w:cs="Arial"/>
                <w:sz w:val="22"/>
                <w:szCs w:val="22"/>
              </w:rPr>
            </w:pPr>
          </w:p>
        </w:tc>
        <w:tc>
          <w:tcPr>
            <w:tcW w:w="2070" w:type="dxa"/>
            <w:vMerge/>
          </w:tcPr>
          <w:p w14:paraId="63311E7B" w14:textId="1D812782" w:rsidR="00351B50" w:rsidRPr="003C6EFE" w:rsidRDefault="00351B50" w:rsidP="00351B50">
            <w:pPr>
              <w:jc w:val="center"/>
              <w:rPr>
                <w:rFonts w:ascii="Arial" w:hAnsi="Arial" w:cs="Arial"/>
                <w:sz w:val="22"/>
                <w:szCs w:val="22"/>
              </w:rPr>
            </w:pPr>
          </w:p>
        </w:tc>
        <w:tc>
          <w:tcPr>
            <w:tcW w:w="2201" w:type="dxa"/>
            <w:vMerge/>
          </w:tcPr>
          <w:p w14:paraId="6E6B30EB" w14:textId="15109044" w:rsidR="00351B50" w:rsidRPr="003C6EFE" w:rsidRDefault="00351B50" w:rsidP="00351B50">
            <w:pPr>
              <w:jc w:val="center"/>
              <w:rPr>
                <w:rFonts w:ascii="Arial" w:hAnsi="Arial" w:cs="Arial"/>
                <w:sz w:val="22"/>
                <w:szCs w:val="22"/>
              </w:rPr>
            </w:pPr>
          </w:p>
        </w:tc>
      </w:tr>
      <w:tr w:rsidR="00351B50" w:rsidRPr="003C6EFE" w14:paraId="6D8F2702" w14:textId="77777777" w:rsidTr="003C6EFE">
        <w:tc>
          <w:tcPr>
            <w:tcW w:w="2569" w:type="dxa"/>
          </w:tcPr>
          <w:p w14:paraId="461C3EBC" w14:textId="66FEBF1A" w:rsidR="00351B50" w:rsidRPr="003C6EFE" w:rsidRDefault="00351B50" w:rsidP="00351B50">
            <w:pPr>
              <w:rPr>
                <w:rFonts w:ascii="Arial" w:hAnsi="Arial" w:cs="Arial"/>
                <w:sz w:val="22"/>
                <w:szCs w:val="22"/>
              </w:rPr>
            </w:pPr>
            <w:r w:rsidRPr="003C6EFE">
              <w:rPr>
                <w:rFonts w:ascii="Arial" w:hAnsi="Arial" w:cs="Arial"/>
                <w:sz w:val="22"/>
                <w:szCs w:val="22"/>
              </w:rPr>
              <w:t>EU-RTACU11</w:t>
            </w:r>
          </w:p>
        </w:tc>
        <w:tc>
          <w:tcPr>
            <w:tcW w:w="3330" w:type="dxa"/>
            <w:vMerge/>
          </w:tcPr>
          <w:p w14:paraId="449F9A72" w14:textId="6C1D5493" w:rsidR="00351B50" w:rsidRPr="003C6EFE" w:rsidRDefault="00351B50" w:rsidP="00351B50">
            <w:pPr>
              <w:rPr>
                <w:rFonts w:ascii="Arial" w:hAnsi="Arial" w:cs="Arial"/>
                <w:sz w:val="22"/>
                <w:szCs w:val="22"/>
              </w:rPr>
            </w:pPr>
          </w:p>
        </w:tc>
        <w:tc>
          <w:tcPr>
            <w:tcW w:w="2070" w:type="dxa"/>
            <w:vMerge/>
          </w:tcPr>
          <w:p w14:paraId="39F4F3B0" w14:textId="384D4C45" w:rsidR="00351B50" w:rsidRPr="003C6EFE" w:rsidRDefault="00351B50" w:rsidP="00351B50">
            <w:pPr>
              <w:jc w:val="center"/>
              <w:rPr>
                <w:rFonts w:ascii="Arial" w:hAnsi="Arial" w:cs="Arial"/>
                <w:sz w:val="22"/>
                <w:szCs w:val="22"/>
              </w:rPr>
            </w:pPr>
          </w:p>
        </w:tc>
        <w:tc>
          <w:tcPr>
            <w:tcW w:w="2201" w:type="dxa"/>
            <w:vMerge/>
          </w:tcPr>
          <w:p w14:paraId="05356C7A" w14:textId="48A577B4" w:rsidR="00351B50" w:rsidRPr="003C6EFE" w:rsidRDefault="00351B50" w:rsidP="00351B50">
            <w:pPr>
              <w:jc w:val="center"/>
              <w:rPr>
                <w:rFonts w:ascii="Arial" w:hAnsi="Arial" w:cs="Arial"/>
                <w:sz w:val="22"/>
                <w:szCs w:val="22"/>
              </w:rPr>
            </w:pPr>
          </w:p>
        </w:tc>
      </w:tr>
      <w:tr w:rsidR="00351B50" w:rsidRPr="003C6EFE" w14:paraId="5DB2823A" w14:textId="77777777" w:rsidTr="003C6EFE">
        <w:tc>
          <w:tcPr>
            <w:tcW w:w="2569" w:type="dxa"/>
          </w:tcPr>
          <w:p w14:paraId="27D87BC1" w14:textId="61BE7776" w:rsidR="00351B50" w:rsidRPr="003C6EFE" w:rsidRDefault="00351B50" w:rsidP="00351B50">
            <w:pPr>
              <w:rPr>
                <w:rFonts w:ascii="Arial" w:hAnsi="Arial" w:cs="Arial"/>
                <w:sz w:val="22"/>
                <w:szCs w:val="22"/>
              </w:rPr>
            </w:pPr>
            <w:r w:rsidRPr="003C6EFE">
              <w:rPr>
                <w:rFonts w:ascii="Arial" w:hAnsi="Arial" w:cs="Arial"/>
                <w:sz w:val="22"/>
                <w:szCs w:val="22"/>
              </w:rPr>
              <w:t>EU-RTACU12</w:t>
            </w:r>
          </w:p>
        </w:tc>
        <w:tc>
          <w:tcPr>
            <w:tcW w:w="3330" w:type="dxa"/>
            <w:vMerge/>
          </w:tcPr>
          <w:p w14:paraId="371050B0" w14:textId="2CEF7059" w:rsidR="00351B50" w:rsidRPr="003C6EFE" w:rsidRDefault="00351B50" w:rsidP="00351B50">
            <w:pPr>
              <w:rPr>
                <w:rFonts w:ascii="Arial" w:hAnsi="Arial" w:cs="Arial"/>
                <w:sz w:val="22"/>
                <w:szCs w:val="22"/>
              </w:rPr>
            </w:pPr>
          </w:p>
        </w:tc>
        <w:tc>
          <w:tcPr>
            <w:tcW w:w="2070" w:type="dxa"/>
            <w:vMerge/>
          </w:tcPr>
          <w:p w14:paraId="07F444E9" w14:textId="037551B7" w:rsidR="00351B50" w:rsidRPr="003C6EFE" w:rsidRDefault="00351B50" w:rsidP="00351B50">
            <w:pPr>
              <w:jc w:val="center"/>
              <w:rPr>
                <w:rFonts w:ascii="Arial" w:hAnsi="Arial" w:cs="Arial"/>
                <w:sz w:val="22"/>
                <w:szCs w:val="22"/>
              </w:rPr>
            </w:pPr>
          </w:p>
        </w:tc>
        <w:tc>
          <w:tcPr>
            <w:tcW w:w="2201" w:type="dxa"/>
            <w:vMerge/>
          </w:tcPr>
          <w:p w14:paraId="4104515F" w14:textId="20D5F232" w:rsidR="00351B50" w:rsidRPr="003C6EFE" w:rsidRDefault="00351B50" w:rsidP="00351B50">
            <w:pPr>
              <w:jc w:val="center"/>
              <w:rPr>
                <w:rFonts w:ascii="Arial" w:hAnsi="Arial" w:cs="Arial"/>
                <w:sz w:val="22"/>
                <w:szCs w:val="22"/>
              </w:rPr>
            </w:pPr>
          </w:p>
        </w:tc>
      </w:tr>
      <w:tr w:rsidR="00351B50" w:rsidRPr="003C6EFE" w14:paraId="66DD076C" w14:textId="77777777" w:rsidTr="003C6EFE">
        <w:tc>
          <w:tcPr>
            <w:tcW w:w="2569" w:type="dxa"/>
          </w:tcPr>
          <w:p w14:paraId="3455D51D" w14:textId="62F9D623" w:rsidR="00351B50" w:rsidRPr="003C6EFE" w:rsidRDefault="00351B50" w:rsidP="00351B50">
            <w:pPr>
              <w:rPr>
                <w:rFonts w:ascii="Arial" w:hAnsi="Arial" w:cs="Arial"/>
                <w:sz w:val="22"/>
                <w:szCs w:val="22"/>
              </w:rPr>
            </w:pPr>
            <w:r w:rsidRPr="003C6EFE">
              <w:rPr>
                <w:rFonts w:ascii="Arial" w:hAnsi="Arial" w:cs="Arial"/>
                <w:sz w:val="22"/>
                <w:szCs w:val="22"/>
              </w:rPr>
              <w:t>EU-RTACU13</w:t>
            </w:r>
          </w:p>
        </w:tc>
        <w:tc>
          <w:tcPr>
            <w:tcW w:w="3330" w:type="dxa"/>
            <w:vMerge/>
          </w:tcPr>
          <w:p w14:paraId="5BDD976B" w14:textId="77777777" w:rsidR="00351B50" w:rsidRPr="003C6EFE" w:rsidRDefault="00351B50" w:rsidP="00351B50">
            <w:pPr>
              <w:rPr>
                <w:rFonts w:ascii="Arial" w:hAnsi="Arial" w:cs="Arial"/>
                <w:sz w:val="22"/>
                <w:szCs w:val="22"/>
              </w:rPr>
            </w:pPr>
          </w:p>
        </w:tc>
        <w:tc>
          <w:tcPr>
            <w:tcW w:w="2070" w:type="dxa"/>
            <w:vMerge/>
          </w:tcPr>
          <w:p w14:paraId="5F06D490" w14:textId="77777777" w:rsidR="00351B50" w:rsidRPr="003C6EFE" w:rsidRDefault="00351B50" w:rsidP="00351B50">
            <w:pPr>
              <w:jc w:val="center"/>
              <w:rPr>
                <w:rFonts w:ascii="Arial" w:hAnsi="Arial" w:cs="Arial"/>
                <w:sz w:val="22"/>
                <w:szCs w:val="22"/>
              </w:rPr>
            </w:pPr>
          </w:p>
        </w:tc>
        <w:tc>
          <w:tcPr>
            <w:tcW w:w="2201" w:type="dxa"/>
            <w:vMerge/>
          </w:tcPr>
          <w:p w14:paraId="24157959" w14:textId="77777777" w:rsidR="00351B50" w:rsidRPr="003C6EFE" w:rsidRDefault="00351B50" w:rsidP="00351B50">
            <w:pPr>
              <w:jc w:val="center"/>
              <w:rPr>
                <w:rFonts w:ascii="Arial" w:hAnsi="Arial" w:cs="Arial"/>
                <w:sz w:val="22"/>
                <w:szCs w:val="22"/>
              </w:rPr>
            </w:pPr>
          </w:p>
        </w:tc>
      </w:tr>
      <w:tr w:rsidR="00351B50" w:rsidRPr="003C6EFE" w14:paraId="2E34069A" w14:textId="77777777" w:rsidTr="003C6EFE">
        <w:tc>
          <w:tcPr>
            <w:tcW w:w="2569" w:type="dxa"/>
          </w:tcPr>
          <w:p w14:paraId="5493D61D" w14:textId="0AFAE1D2" w:rsidR="00351B50" w:rsidRPr="003C6EFE" w:rsidRDefault="00351B50" w:rsidP="00351B50">
            <w:pPr>
              <w:rPr>
                <w:rFonts w:ascii="Arial" w:hAnsi="Arial" w:cs="Arial"/>
                <w:sz w:val="22"/>
                <w:szCs w:val="22"/>
              </w:rPr>
            </w:pPr>
            <w:r w:rsidRPr="003C6EFE">
              <w:rPr>
                <w:rFonts w:ascii="Arial" w:hAnsi="Arial" w:cs="Arial"/>
                <w:sz w:val="22"/>
                <w:szCs w:val="22"/>
              </w:rPr>
              <w:t>EU-EXEMPTBOILER1</w:t>
            </w:r>
          </w:p>
        </w:tc>
        <w:tc>
          <w:tcPr>
            <w:tcW w:w="3330" w:type="dxa"/>
          </w:tcPr>
          <w:p w14:paraId="4689F3BF" w14:textId="0884E6A9" w:rsidR="00351B50" w:rsidRPr="003C6EFE" w:rsidRDefault="00351B50" w:rsidP="00351B50">
            <w:pPr>
              <w:rPr>
                <w:rFonts w:ascii="Arial" w:hAnsi="Arial" w:cs="Arial"/>
                <w:sz w:val="22"/>
                <w:szCs w:val="22"/>
              </w:rPr>
            </w:pPr>
            <w:r w:rsidRPr="003C6EFE">
              <w:rPr>
                <w:rFonts w:ascii="Arial" w:hAnsi="Arial" w:cs="Arial"/>
                <w:sz w:val="22"/>
                <w:szCs w:val="22"/>
              </w:rPr>
              <w:t>Natural gas fired NDE Glycol boiler, 285,000 BTU/hr</w:t>
            </w:r>
          </w:p>
        </w:tc>
        <w:tc>
          <w:tcPr>
            <w:tcW w:w="2070" w:type="dxa"/>
            <w:vMerge w:val="restart"/>
          </w:tcPr>
          <w:p w14:paraId="3558BEBA" w14:textId="319E42EA" w:rsidR="00351B50" w:rsidRPr="003C6EFE" w:rsidRDefault="00351B50" w:rsidP="00351B50">
            <w:pPr>
              <w:jc w:val="center"/>
              <w:rPr>
                <w:rFonts w:ascii="Arial" w:hAnsi="Arial" w:cs="Arial"/>
                <w:sz w:val="22"/>
                <w:szCs w:val="22"/>
              </w:rPr>
            </w:pPr>
            <w:r w:rsidRPr="003C6EFE">
              <w:rPr>
                <w:rFonts w:ascii="Arial" w:hAnsi="Arial" w:cs="Arial"/>
                <w:sz w:val="22"/>
                <w:szCs w:val="22"/>
              </w:rPr>
              <w:t>R 336.1212(4)(b)</w:t>
            </w:r>
          </w:p>
        </w:tc>
        <w:tc>
          <w:tcPr>
            <w:tcW w:w="2201" w:type="dxa"/>
            <w:vMerge w:val="restart"/>
          </w:tcPr>
          <w:p w14:paraId="2899C555" w14:textId="1F79E18D" w:rsidR="00351B50" w:rsidRPr="003C6EFE" w:rsidRDefault="00351B50" w:rsidP="00351B50">
            <w:pPr>
              <w:jc w:val="center"/>
              <w:rPr>
                <w:rFonts w:ascii="Arial" w:hAnsi="Arial" w:cs="Arial"/>
                <w:sz w:val="22"/>
                <w:szCs w:val="22"/>
              </w:rPr>
            </w:pPr>
            <w:r w:rsidRPr="003C6EFE">
              <w:rPr>
                <w:rFonts w:ascii="Arial" w:hAnsi="Arial" w:cs="Arial"/>
                <w:sz w:val="22"/>
                <w:szCs w:val="22"/>
              </w:rPr>
              <w:t>R 336.1282(2)(b)(i)</w:t>
            </w:r>
          </w:p>
        </w:tc>
      </w:tr>
      <w:tr w:rsidR="00351B50" w:rsidRPr="003C6EFE" w14:paraId="0BCFC5B8" w14:textId="77777777" w:rsidTr="003C6EFE">
        <w:tc>
          <w:tcPr>
            <w:tcW w:w="2569" w:type="dxa"/>
          </w:tcPr>
          <w:p w14:paraId="382EAE04" w14:textId="29F6B610" w:rsidR="00351B50" w:rsidRPr="003C6EFE" w:rsidRDefault="00351B50" w:rsidP="00351B50">
            <w:pPr>
              <w:rPr>
                <w:rFonts w:ascii="Arial" w:hAnsi="Arial" w:cs="Arial"/>
                <w:sz w:val="22"/>
                <w:szCs w:val="22"/>
              </w:rPr>
            </w:pPr>
            <w:r w:rsidRPr="003C6EFE">
              <w:rPr>
                <w:rFonts w:ascii="Arial" w:hAnsi="Arial" w:cs="Arial"/>
                <w:sz w:val="22"/>
                <w:szCs w:val="22"/>
              </w:rPr>
              <w:t>EU-EXEMPTBOILER2</w:t>
            </w:r>
          </w:p>
        </w:tc>
        <w:tc>
          <w:tcPr>
            <w:tcW w:w="3330" w:type="dxa"/>
          </w:tcPr>
          <w:p w14:paraId="71D6AAA3" w14:textId="0ACDE156" w:rsidR="00351B50" w:rsidRPr="003C6EFE" w:rsidRDefault="00351B50" w:rsidP="00351B50">
            <w:pPr>
              <w:rPr>
                <w:rFonts w:ascii="Arial" w:hAnsi="Arial" w:cs="Arial"/>
                <w:sz w:val="22"/>
                <w:szCs w:val="22"/>
              </w:rPr>
            </w:pPr>
            <w:r w:rsidRPr="003C6EFE">
              <w:rPr>
                <w:rFonts w:ascii="Arial" w:hAnsi="Arial" w:cs="Arial"/>
                <w:sz w:val="22"/>
                <w:szCs w:val="22"/>
              </w:rPr>
              <w:t>Natural gas fired GFE00010 Glycol Boiler 625,000 BTU/hr</w:t>
            </w:r>
          </w:p>
        </w:tc>
        <w:tc>
          <w:tcPr>
            <w:tcW w:w="2070" w:type="dxa"/>
            <w:vMerge/>
          </w:tcPr>
          <w:p w14:paraId="535D3197" w14:textId="77777777" w:rsidR="00351B50" w:rsidRPr="003C6EFE" w:rsidRDefault="00351B50" w:rsidP="00351B50">
            <w:pPr>
              <w:jc w:val="center"/>
              <w:rPr>
                <w:rFonts w:ascii="Arial" w:hAnsi="Arial" w:cs="Arial"/>
                <w:sz w:val="22"/>
                <w:szCs w:val="22"/>
              </w:rPr>
            </w:pPr>
          </w:p>
        </w:tc>
        <w:tc>
          <w:tcPr>
            <w:tcW w:w="2201" w:type="dxa"/>
            <w:vMerge/>
          </w:tcPr>
          <w:p w14:paraId="394449CB" w14:textId="77777777" w:rsidR="00351B50" w:rsidRPr="003C6EFE" w:rsidRDefault="00351B50" w:rsidP="00351B50">
            <w:pPr>
              <w:jc w:val="center"/>
              <w:rPr>
                <w:rFonts w:ascii="Arial" w:hAnsi="Arial" w:cs="Arial"/>
                <w:sz w:val="22"/>
                <w:szCs w:val="22"/>
              </w:rPr>
            </w:pPr>
          </w:p>
        </w:tc>
      </w:tr>
      <w:tr w:rsidR="00351B50" w:rsidRPr="003C6EFE" w14:paraId="43006504" w14:textId="77777777" w:rsidTr="003C6EFE">
        <w:tc>
          <w:tcPr>
            <w:tcW w:w="2569" w:type="dxa"/>
          </w:tcPr>
          <w:p w14:paraId="4B7DACF4" w14:textId="14789D34" w:rsidR="00351B50" w:rsidRPr="003C6EFE" w:rsidRDefault="00351B50" w:rsidP="00351B50">
            <w:pPr>
              <w:rPr>
                <w:rFonts w:ascii="Arial" w:hAnsi="Arial" w:cs="Arial"/>
                <w:sz w:val="22"/>
                <w:szCs w:val="22"/>
              </w:rPr>
            </w:pPr>
            <w:r w:rsidRPr="003C6EFE">
              <w:rPr>
                <w:rFonts w:ascii="Arial" w:hAnsi="Arial" w:cs="Arial"/>
                <w:sz w:val="22"/>
                <w:szCs w:val="22"/>
              </w:rPr>
              <w:t>EU-EXEMPTBOILER3</w:t>
            </w:r>
          </w:p>
        </w:tc>
        <w:tc>
          <w:tcPr>
            <w:tcW w:w="3330" w:type="dxa"/>
          </w:tcPr>
          <w:p w14:paraId="2F60E6DB" w14:textId="4308699B" w:rsidR="00351B50" w:rsidRPr="003C6EFE" w:rsidRDefault="00351B50" w:rsidP="00351B50">
            <w:pPr>
              <w:rPr>
                <w:rFonts w:ascii="Arial" w:hAnsi="Arial" w:cs="Arial"/>
                <w:sz w:val="22"/>
                <w:szCs w:val="22"/>
              </w:rPr>
            </w:pPr>
            <w:r w:rsidRPr="003C6EFE">
              <w:rPr>
                <w:rFonts w:ascii="Arial" w:hAnsi="Arial" w:cs="Arial"/>
                <w:sz w:val="22"/>
                <w:szCs w:val="22"/>
              </w:rPr>
              <w:t>Natural gas fired West Car wash water heater, 380,000 BTU/hr</w:t>
            </w:r>
          </w:p>
        </w:tc>
        <w:tc>
          <w:tcPr>
            <w:tcW w:w="2070" w:type="dxa"/>
            <w:vMerge/>
          </w:tcPr>
          <w:p w14:paraId="33852DB6" w14:textId="77777777" w:rsidR="00351B50" w:rsidRPr="003C6EFE" w:rsidRDefault="00351B50" w:rsidP="00351B50">
            <w:pPr>
              <w:jc w:val="center"/>
              <w:rPr>
                <w:rFonts w:ascii="Arial" w:hAnsi="Arial" w:cs="Arial"/>
                <w:sz w:val="22"/>
                <w:szCs w:val="22"/>
              </w:rPr>
            </w:pPr>
          </w:p>
        </w:tc>
        <w:tc>
          <w:tcPr>
            <w:tcW w:w="2201" w:type="dxa"/>
            <w:vMerge/>
          </w:tcPr>
          <w:p w14:paraId="173763E7" w14:textId="77777777" w:rsidR="00351B50" w:rsidRPr="003C6EFE" w:rsidRDefault="00351B50" w:rsidP="00351B50">
            <w:pPr>
              <w:jc w:val="center"/>
              <w:rPr>
                <w:rFonts w:ascii="Arial" w:hAnsi="Arial" w:cs="Arial"/>
                <w:sz w:val="22"/>
                <w:szCs w:val="22"/>
              </w:rPr>
            </w:pPr>
          </w:p>
        </w:tc>
      </w:tr>
      <w:tr w:rsidR="00351B50" w:rsidRPr="00290754" w14:paraId="060A8094" w14:textId="77777777" w:rsidTr="003C6EFE">
        <w:tc>
          <w:tcPr>
            <w:tcW w:w="2569" w:type="dxa"/>
          </w:tcPr>
          <w:p w14:paraId="7DC038EA" w14:textId="410D4E18" w:rsidR="00351B50" w:rsidRPr="003C6EFE" w:rsidRDefault="00351B50" w:rsidP="00351B50">
            <w:pPr>
              <w:rPr>
                <w:rFonts w:ascii="Arial" w:hAnsi="Arial" w:cs="Arial"/>
                <w:sz w:val="22"/>
                <w:szCs w:val="22"/>
              </w:rPr>
            </w:pPr>
            <w:r w:rsidRPr="003C6EFE">
              <w:rPr>
                <w:rFonts w:ascii="Arial" w:hAnsi="Arial" w:cs="Arial"/>
                <w:sz w:val="22"/>
                <w:szCs w:val="22"/>
              </w:rPr>
              <w:t>EU-EXEMPTBOILER4</w:t>
            </w:r>
          </w:p>
        </w:tc>
        <w:tc>
          <w:tcPr>
            <w:tcW w:w="3330" w:type="dxa"/>
          </w:tcPr>
          <w:p w14:paraId="52546354" w14:textId="6FCFBE1E" w:rsidR="00351B50" w:rsidRPr="003C6EFE" w:rsidRDefault="00351B50" w:rsidP="00351B50">
            <w:pPr>
              <w:rPr>
                <w:rFonts w:ascii="Arial" w:hAnsi="Arial" w:cs="Arial"/>
                <w:sz w:val="22"/>
                <w:szCs w:val="22"/>
              </w:rPr>
            </w:pPr>
            <w:r w:rsidRPr="003C6EFE">
              <w:rPr>
                <w:rFonts w:ascii="Arial" w:hAnsi="Arial" w:cs="Arial"/>
                <w:sz w:val="22"/>
                <w:szCs w:val="22"/>
              </w:rPr>
              <w:t>Natural gas fired East Car wash water heater, 380,000 BTU/hr</w:t>
            </w:r>
          </w:p>
        </w:tc>
        <w:tc>
          <w:tcPr>
            <w:tcW w:w="2070" w:type="dxa"/>
            <w:vMerge/>
          </w:tcPr>
          <w:p w14:paraId="0A73688F" w14:textId="77777777" w:rsidR="00351B50" w:rsidRDefault="00351B50" w:rsidP="00351B50">
            <w:pPr>
              <w:jc w:val="center"/>
              <w:rPr>
                <w:rFonts w:ascii="Arial" w:hAnsi="Arial" w:cs="Arial"/>
              </w:rPr>
            </w:pPr>
          </w:p>
        </w:tc>
        <w:tc>
          <w:tcPr>
            <w:tcW w:w="2201" w:type="dxa"/>
            <w:vMerge/>
          </w:tcPr>
          <w:p w14:paraId="087EDDAA" w14:textId="77777777" w:rsidR="00351B50" w:rsidRDefault="00351B50" w:rsidP="00351B50">
            <w:pPr>
              <w:jc w:val="center"/>
              <w:rPr>
                <w:rFonts w:ascii="Arial" w:hAnsi="Arial" w:cs="Arial"/>
              </w:rPr>
            </w:pPr>
          </w:p>
        </w:tc>
      </w:tr>
    </w:tbl>
    <w:p w14:paraId="6AFD6950" w14:textId="77777777" w:rsidR="000F73C3" w:rsidRPr="00290754" w:rsidRDefault="000F73C3" w:rsidP="000F73C3">
      <w:pPr>
        <w:jc w:val="both"/>
        <w:rPr>
          <w:rFonts w:ascii="Arial" w:hAnsi="Arial" w:cs="Arial"/>
          <w:sz w:val="22"/>
          <w:szCs w:val="22"/>
        </w:rPr>
      </w:pPr>
    </w:p>
    <w:p w14:paraId="0ACF037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42C55209" w14:textId="77777777" w:rsidR="000F73C3" w:rsidRPr="00290754" w:rsidRDefault="000F73C3" w:rsidP="000F73C3">
      <w:pPr>
        <w:rPr>
          <w:rFonts w:ascii="Arial" w:hAnsi="Arial" w:cs="Arial"/>
          <w:sz w:val="22"/>
          <w:szCs w:val="22"/>
        </w:rPr>
      </w:pPr>
    </w:p>
    <w:p w14:paraId="1A207A57" w14:textId="58C51FD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B0224CF" w14:textId="77777777" w:rsidR="000F73C3" w:rsidRPr="00290754" w:rsidRDefault="000F73C3" w:rsidP="000F73C3">
      <w:pPr>
        <w:rPr>
          <w:rFonts w:ascii="Arial" w:hAnsi="Arial" w:cs="Arial"/>
          <w:sz w:val="22"/>
          <w:szCs w:val="22"/>
        </w:rPr>
      </w:pPr>
    </w:p>
    <w:p w14:paraId="4C4B04C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7503D9A7" w14:textId="77777777" w:rsidR="000F73C3" w:rsidRPr="00EC0D9E" w:rsidRDefault="000F73C3" w:rsidP="000F73C3">
      <w:pPr>
        <w:rPr>
          <w:rFonts w:ascii="Arial" w:hAnsi="Arial" w:cs="Arial"/>
          <w:sz w:val="22"/>
          <w:szCs w:val="22"/>
        </w:rPr>
      </w:pPr>
    </w:p>
    <w:p w14:paraId="66DAF8B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7985519C" w14:textId="77777777" w:rsidR="000F73C3" w:rsidRDefault="000F73C3" w:rsidP="000F73C3">
      <w:pPr>
        <w:jc w:val="both"/>
        <w:rPr>
          <w:rFonts w:ascii="Arial" w:hAnsi="Arial" w:cs="Arial"/>
          <w:sz w:val="22"/>
          <w:szCs w:val="22"/>
        </w:rPr>
      </w:pPr>
    </w:p>
    <w:p w14:paraId="0A98BD8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0AC3851" w14:textId="77777777" w:rsidR="000F73C3" w:rsidRPr="00290754" w:rsidRDefault="000F73C3" w:rsidP="000F73C3">
      <w:pPr>
        <w:jc w:val="both"/>
        <w:rPr>
          <w:rFonts w:ascii="Arial" w:hAnsi="Arial" w:cs="Arial"/>
          <w:sz w:val="22"/>
          <w:szCs w:val="22"/>
        </w:rPr>
      </w:pPr>
    </w:p>
    <w:p w14:paraId="09F94575" w14:textId="32425270" w:rsidR="009E483C"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51B50">
        <w:rPr>
          <w:rFonts w:ascii="Arial" w:hAnsi="Arial" w:cs="Arial"/>
          <w:sz w:val="22"/>
          <w:szCs w:val="22"/>
        </w:rPr>
        <w:t>Julie Brunner</w:t>
      </w:r>
      <w:r w:rsidRPr="00290754">
        <w:rPr>
          <w:rFonts w:ascii="Arial" w:hAnsi="Arial" w:cs="Arial"/>
          <w:sz w:val="22"/>
          <w:szCs w:val="22"/>
        </w:rPr>
        <w:t xml:space="preserve">, </w:t>
      </w:r>
      <w:r w:rsidR="00351B50">
        <w:rPr>
          <w:rFonts w:ascii="Arial" w:hAnsi="Arial" w:cs="Arial"/>
          <w:sz w:val="22"/>
          <w:szCs w:val="22"/>
        </w:rPr>
        <w:t>ROP Central Unit</w:t>
      </w:r>
      <w:r w:rsidRPr="00290754">
        <w:rPr>
          <w:rFonts w:ascii="Arial" w:hAnsi="Arial" w:cs="Arial"/>
          <w:sz w:val="22"/>
          <w:szCs w:val="22"/>
        </w:rPr>
        <w:t xml:space="preserve">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5616BC7" w14:textId="77777777" w:rsidR="009E483C" w:rsidRDefault="009E483C">
      <w:pPr>
        <w:rPr>
          <w:rFonts w:ascii="Arial" w:hAnsi="Arial" w:cs="Arial"/>
          <w:sz w:val="22"/>
          <w:szCs w:val="22"/>
        </w:rPr>
      </w:pPr>
      <w:r>
        <w:rPr>
          <w:rFonts w:ascii="Arial" w:hAnsi="Arial" w:cs="Arial"/>
          <w:sz w:val="22"/>
          <w:szCs w:val="22"/>
        </w:rPr>
        <w:br w:type="page"/>
      </w:r>
    </w:p>
    <w:p w14:paraId="7BFE4B1E" w14:textId="77777777" w:rsidR="009E483C" w:rsidRDefault="009E483C">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9E483C" w14:paraId="4D8FB58F" w14:textId="77777777" w:rsidTr="001F29E7">
        <w:tc>
          <w:tcPr>
            <w:tcW w:w="2250" w:type="dxa"/>
          </w:tcPr>
          <w:p w14:paraId="6594B8B4" w14:textId="77777777" w:rsidR="009E483C" w:rsidRDefault="009E483C" w:rsidP="001F29E7">
            <w:pPr>
              <w:jc w:val="center"/>
              <w:rPr>
                <w:rFonts w:ascii="Arial" w:hAnsi="Arial"/>
                <w:sz w:val="16"/>
              </w:rPr>
            </w:pPr>
          </w:p>
        </w:tc>
        <w:tc>
          <w:tcPr>
            <w:tcW w:w="5670" w:type="dxa"/>
          </w:tcPr>
          <w:p w14:paraId="157EC682" w14:textId="77777777" w:rsidR="009E483C" w:rsidRDefault="009E483C" w:rsidP="001F29E7">
            <w:pPr>
              <w:ind w:left="-108" w:right="-140"/>
              <w:jc w:val="center"/>
              <w:rPr>
                <w:rFonts w:ascii="Arial" w:hAnsi="Arial"/>
              </w:rPr>
            </w:pPr>
            <w:r>
              <w:rPr>
                <w:rFonts w:ascii="Arial" w:hAnsi="Arial"/>
              </w:rPr>
              <w:t>Michigan Department of Environment, Great Lakes, and Energy</w:t>
            </w:r>
          </w:p>
          <w:p w14:paraId="3B921908" w14:textId="77777777" w:rsidR="009E483C" w:rsidRDefault="009E483C" w:rsidP="001F29E7">
            <w:pPr>
              <w:jc w:val="center"/>
              <w:rPr>
                <w:rFonts w:ascii="Arial" w:hAnsi="Arial"/>
                <w:sz w:val="16"/>
              </w:rPr>
            </w:pPr>
            <w:r>
              <w:rPr>
                <w:rFonts w:ascii="Arial" w:hAnsi="Arial"/>
              </w:rPr>
              <w:t>Air Quality Division</w:t>
            </w:r>
          </w:p>
        </w:tc>
        <w:tc>
          <w:tcPr>
            <w:tcW w:w="2430" w:type="dxa"/>
          </w:tcPr>
          <w:p w14:paraId="6ED71D66" w14:textId="77777777" w:rsidR="009E483C" w:rsidRDefault="009E483C" w:rsidP="001F29E7">
            <w:pPr>
              <w:jc w:val="center"/>
              <w:rPr>
                <w:rFonts w:ascii="Arial" w:hAnsi="Arial"/>
                <w:b/>
                <w:sz w:val="24"/>
              </w:rPr>
            </w:pPr>
          </w:p>
        </w:tc>
      </w:tr>
      <w:tr w:rsidR="009E483C" w14:paraId="7EF54E40" w14:textId="77777777" w:rsidTr="001F29E7">
        <w:trPr>
          <w:cantSplit/>
          <w:trHeight w:val="146"/>
        </w:trPr>
        <w:tc>
          <w:tcPr>
            <w:tcW w:w="2250" w:type="dxa"/>
          </w:tcPr>
          <w:p w14:paraId="1D35112F" w14:textId="77777777" w:rsidR="009E483C" w:rsidRPr="00DB5924" w:rsidRDefault="009E483C"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7E0F093" w14:textId="77777777" w:rsidR="009E483C" w:rsidRDefault="009E483C" w:rsidP="001F29E7">
            <w:pPr>
              <w:pStyle w:val="Header"/>
              <w:jc w:val="center"/>
              <w:rPr>
                <w:rFonts w:ascii="Arial" w:hAnsi="Arial"/>
                <w:b/>
                <w:sz w:val="28"/>
              </w:rPr>
            </w:pPr>
            <w:r>
              <w:rPr>
                <w:rFonts w:ascii="Arial" w:hAnsi="Arial"/>
                <w:b/>
                <w:sz w:val="28"/>
              </w:rPr>
              <w:t>RENEWABLE OPERATING PERMIT</w:t>
            </w:r>
          </w:p>
        </w:tc>
        <w:tc>
          <w:tcPr>
            <w:tcW w:w="2430" w:type="dxa"/>
          </w:tcPr>
          <w:p w14:paraId="2B79E93B" w14:textId="77777777" w:rsidR="009E483C" w:rsidRPr="00DB5924" w:rsidRDefault="009E483C"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E483C" w14:paraId="21224D42" w14:textId="77777777" w:rsidTr="001F29E7">
        <w:trPr>
          <w:cantSplit/>
          <w:trHeight w:val="145"/>
        </w:trPr>
        <w:tc>
          <w:tcPr>
            <w:tcW w:w="2250" w:type="dxa"/>
          </w:tcPr>
          <w:p w14:paraId="23C7FAF1" w14:textId="564E52EB" w:rsidR="009E483C" w:rsidRPr="00910FEA" w:rsidRDefault="009E483C" w:rsidP="001F29E7">
            <w:pPr>
              <w:pStyle w:val="Header"/>
              <w:jc w:val="center"/>
              <w:rPr>
                <w:rFonts w:ascii="Arial" w:hAnsi="Arial"/>
                <w:sz w:val="22"/>
                <w:szCs w:val="22"/>
              </w:rPr>
            </w:pPr>
            <w:r>
              <w:rPr>
                <w:rFonts w:ascii="Arial" w:hAnsi="Arial"/>
                <w:sz w:val="22"/>
              </w:rPr>
              <w:t>M4734</w:t>
            </w:r>
          </w:p>
        </w:tc>
        <w:tc>
          <w:tcPr>
            <w:tcW w:w="5670" w:type="dxa"/>
          </w:tcPr>
          <w:p w14:paraId="49F2B59C" w14:textId="5155E770" w:rsidR="009E483C" w:rsidRPr="003D3F6C" w:rsidRDefault="009E483C" w:rsidP="003D3F6C">
            <w:pPr>
              <w:pStyle w:val="Heading1"/>
              <w:spacing w:before="120"/>
              <w:rPr>
                <w:sz w:val="22"/>
                <w:szCs w:val="22"/>
              </w:rPr>
            </w:pPr>
            <w:bookmarkStart w:id="18" w:name="_Toc171504243"/>
            <w:r>
              <w:rPr>
                <w:sz w:val="22"/>
                <w:szCs w:val="22"/>
              </w:rPr>
              <w:t>May 23, 2024</w:t>
            </w:r>
            <w:r w:rsidRPr="003D3F6C">
              <w:rPr>
                <w:sz w:val="22"/>
                <w:szCs w:val="22"/>
              </w:rPr>
              <w:t xml:space="preserve"> - STAFF REPORT ADDENDUM</w:t>
            </w:r>
            <w:bookmarkEnd w:id="18"/>
          </w:p>
        </w:tc>
        <w:tc>
          <w:tcPr>
            <w:tcW w:w="2430" w:type="dxa"/>
          </w:tcPr>
          <w:p w14:paraId="7F2DF523" w14:textId="1E9559D1" w:rsidR="009E483C" w:rsidRPr="00910FEA" w:rsidRDefault="009E483C" w:rsidP="001F29E7">
            <w:pPr>
              <w:pStyle w:val="Header"/>
              <w:jc w:val="center"/>
              <w:rPr>
                <w:rFonts w:ascii="Arial" w:hAnsi="Arial"/>
                <w:sz w:val="22"/>
                <w:szCs w:val="22"/>
              </w:rPr>
            </w:pPr>
            <w:r>
              <w:rPr>
                <w:rFonts w:ascii="Arial" w:hAnsi="Arial"/>
                <w:sz w:val="22"/>
                <w:szCs w:val="22"/>
              </w:rPr>
              <w:t>MI-ROP-M4734-20</w:t>
            </w:r>
            <w:r w:rsidR="00F31EF2">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8A6866">
              <w:rPr>
                <w:rFonts w:ascii="Arial" w:hAnsi="Arial"/>
                <w:sz w:val="22"/>
                <w:szCs w:val="22"/>
              </w:rPr>
            </w:r>
            <w:r w:rsidR="008A6866">
              <w:rPr>
                <w:rFonts w:ascii="Arial" w:hAnsi="Arial"/>
                <w:sz w:val="22"/>
                <w:szCs w:val="22"/>
              </w:rPr>
              <w:fldChar w:fldCharType="separate"/>
            </w:r>
            <w:r w:rsidRPr="00910FEA">
              <w:rPr>
                <w:rFonts w:ascii="Arial" w:hAnsi="Arial"/>
                <w:sz w:val="22"/>
                <w:szCs w:val="22"/>
              </w:rPr>
              <w:fldChar w:fldCharType="end"/>
            </w:r>
          </w:p>
        </w:tc>
      </w:tr>
    </w:tbl>
    <w:p w14:paraId="3BFA9519" w14:textId="77777777" w:rsidR="009E483C" w:rsidRDefault="009E483C">
      <w:pPr>
        <w:pStyle w:val="Header"/>
        <w:tabs>
          <w:tab w:val="clear" w:pos="4320"/>
          <w:tab w:val="clear" w:pos="8640"/>
        </w:tabs>
        <w:rPr>
          <w:rFonts w:ascii="Arial" w:hAnsi="Arial"/>
          <w:sz w:val="18"/>
        </w:rPr>
      </w:pPr>
    </w:p>
    <w:p w14:paraId="1736BBCC" w14:textId="77777777" w:rsidR="009E483C" w:rsidRDefault="009E483C">
      <w:pPr>
        <w:rPr>
          <w:rFonts w:ascii="Arial" w:hAnsi="Arial"/>
          <w:sz w:val="22"/>
        </w:rPr>
      </w:pPr>
    </w:p>
    <w:p w14:paraId="29CF412D" w14:textId="77777777" w:rsidR="009E483C" w:rsidRDefault="009E483C">
      <w:pPr>
        <w:rPr>
          <w:rFonts w:ascii="Arial" w:hAnsi="Arial"/>
          <w:b/>
          <w:sz w:val="22"/>
          <w:u w:val="single"/>
        </w:rPr>
      </w:pPr>
      <w:bookmarkStart w:id="19" w:name="_Toc482691122"/>
      <w:r>
        <w:rPr>
          <w:rFonts w:ascii="Arial" w:hAnsi="Arial"/>
          <w:b/>
          <w:sz w:val="22"/>
          <w:u w:val="single"/>
        </w:rPr>
        <w:t>Purpose</w:t>
      </w:r>
      <w:bookmarkEnd w:id="19"/>
    </w:p>
    <w:p w14:paraId="0F041A71" w14:textId="77777777" w:rsidR="009E483C" w:rsidRDefault="009E483C">
      <w:pPr>
        <w:rPr>
          <w:rFonts w:ascii="Arial" w:hAnsi="Arial"/>
          <w:sz w:val="22"/>
        </w:rPr>
      </w:pPr>
    </w:p>
    <w:p w14:paraId="2B771248" w14:textId="2CE21CEF" w:rsidR="009E483C" w:rsidRDefault="009E483C">
      <w:pPr>
        <w:jc w:val="both"/>
        <w:rPr>
          <w:rFonts w:ascii="Arial" w:hAnsi="Arial"/>
          <w:sz w:val="22"/>
        </w:rPr>
      </w:pPr>
      <w:r>
        <w:rPr>
          <w:rFonts w:ascii="Arial" w:hAnsi="Arial"/>
          <w:sz w:val="22"/>
        </w:rPr>
        <w:t xml:space="preserve">A Staff Report dated </w:t>
      </w:r>
      <w:r>
        <w:rPr>
          <w:rFonts w:ascii="Arial" w:hAnsi="Arial" w:cs="Arial"/>
          <w:sz w:val="22"/>
          <w:szCs w:val="22"/>
        </w:rPr>
        <w:t>April 22,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F31EF2">
        <w:rPr>
          <w:rFonts w:ascii="Arial" w:hAnsi="Arial"/>
          <w:sz w:val="22"/>
        </w:rPr>
        <w:t>30-day public</w:t>
      </w:r>
      <w:r>
        <w:rPr>
          <w:rFonts w:ascii="Arial" w:hAnsi="Arial"/>
          <w:sz w:val="22"/>
        </w:rPr>
        <w:t xml:space="preserve"> comment period as described in </w:t>
      </w:r>
      <w:r w:rsidR="00F31EF2">
        <w:rPr>
          <w:rFonts w:ascii="Arial" w:hAnsi="Arial"/>
          <w:sz w:val="22"/>
        </w:rPr>
        <w:t>Rule 214(3)</w:t>
      </w:r>
      <w:r>
        <w:rPr>
          <w:rFonts w:ascii="Arial" w:hAnsi="Arial"/>
          <w:sz w:val="22"/>
        </w:rPr>
        <w:t xml:space="preserve">.  In addition, this addendum describes any changes to the </w:t>
      </w:r>
      <w:r w:rsidR="00F31EF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2051499" w14:textId="77777777" w:rsidR="009E483C" w:rsidRDefault="009E483C">
      <w:pPr>
        <w:rPr>
          <w:rFonts w:ascii="Arial" w:hAnsi="Arial"/>
          <w:sz w:val="22"/>
        </w:rPr>
      </w:pPr>
    </w:p>
    <w:p w14:paraId="67F3ED26" w14:textId="77777777" w:rsidR="009E483C" w:rsidRDefault="009E483C">
      <w:pPr>
        <w:rPr>
          <w:rFonts w:ascii="Arial" w:hAnsi="Arial"/>
          <w:b/>
          <w:sz w:val="22"/>
          <w:u w:val="single"/>
        </w:rPr>
      </w:pPr>
      <w:r>
        <w:rPr>
          <w:rFonts w:ascii="Arial" w:hAnsi="Arial"/>
          <w:b/>
          <w:sz w:val="22"/>
          <w:u w:val="single"/>
        </w:rPr>
        <w:t>General Information</w:t>
      </w:r>
    </w:p>
    <w:p w14:paraId="13DDB428" w14:textId="77777777" w:rsidR="009E483C" w:rsidRDefault="009E483C">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E483C" w14:paraId="40B441CA" w14:textId="77777777" w:rsidTr="009E483C">
        <w:tc>
          <w:tcPr>
            <w:tcW w:w="4464" w:type="dxa"/>
          </w:tcPr>
          <w:p w14:paraId="3B5524D8" w14:textId="29277F43" w:rsidR="009E483C" w:rsidRDefault="009E483C" w:rsidP="009E483C">
            <w:pPr>
              <w:tabs>
                <w:tab w:val="left" w:pos="3424"/>
              </w:tabs>
              <w:rPr>
                <w:rFonts w:ascii="Arial" w:hAnsi="Arial"/>
                <w:sz w:val="22"/>
              </w:rPr>
            </w:pPr>
            <w:r w:rsidRPr="00290754">
              <w:rPr>
                <w:rFonts w:ascii="Arial" w:hAnsi="Arial" w:cs="Arial"/>
                <w:sz w:val="22"/>
                <w:szCs w:val="22"/>
              </w:rPr>
              <w:t>Responsible Official:</w:t>
            </w:r>
          </w:p>
        </w:tc>
        <w:tc>
          <w:tcPr>
            <w:tcW w:w="5796" w:type="dxa"/>
          </w:tcPr>
          <w:p w14:paraId="11C8C3F9" w14:textId="77777777" w:rsidR="009E483C" w:rsidRPr="00906548" w:rsidRDefault="009E483C" w:rsidP="009E483C">
            <w:pPr>
              <w:rPr>
                <w:rFonts w:ascii="Arial" w:hAnsi="Arial" w:cs="Arial"/>
                <w:sz w:val="22"/>
                <w:szCs w:val="22"/>
              </w:rPr>
            </w:pPr>
            <w:r w:rsidRPr="00906548">
              <w:rPr>
                <w:rFonts w:ascii="Arial" w:hAnsi="Arial" w:cs="Arial"/>
                <w:sz w:val="22"/>
                <w:szCs w:val="22"/>
              </w:rPr>
              <w:t>Kristina M. Karschnia, Chief New Model Programs Prototype</w:t>
            </w:r>
          </w:p>
          <w:p w14:paraId="7CD634CB" w14:textId="5E12E053" w:rsidR="009E483C" w:rsidRDefault="009E483C" w:rsidP="009E483C">
            <w:pPr>
              <w:rPr>
                <w:rFonts w:ascii="Arial" w:hAnsi="Arial"/>
                <w:sz w:val="22"/>
              </w:rPr>
            </w:pPr>
            <w:r w:rsidRPr="00906548">
              <w:rPr>
                <w:rFonts w:ascii="Arial" w:hAnsi="Arial" w:cs="Arial"/>
                <w:sz w:val="22"/>
                <w:szCs w:val="22"/>
              </w:rPr>
              <w:t>313 805 5031</w:t>
            </w:r>
          </w:p>
        </w:tc>
      </w:tr>
      <w:tr w:rsidR="009E483C" w14:paraId="616DF8C0" w14:textId="77777777" w:rsidTr="009E483C">
        <w:tc>
          <w:tcPr>
            <w:tcW w:w="4464" w:type="dxa"/>
          </w:tcPr>
          <w:p w14:paraId="5E4CA78A" w14:textId="2563ADA8" w:rsidR="009E483C" w:rsidRDefault="009E483C" w:rsidP="009E483C">
            <w:pPr>
              <w:rPr>
                <w:rFonts w:ascii="Arial" w:hAnsi="Arial"/>
                <w:sz w:val="22"/>
              </w:rPr>
            </w:pPr>
            <w:r w:rsidRPr="00290754">
              <w:rPr>
                <w:rFonts w:ascii="Arial" w:hAnsi="Arial" w:cs="Arial"/>
                <w:sz w:val="22"/>
                <w:szCs w:val="22"/>
              </w:rPr>
              <w:t>AQD Contact</w:t>
            </w:r>
            <w:r>
              <w:rPr>
                <w:rFonts w:ascii="Arial" w:hAnsi="Arial" w:cs="Arial"/>
                <w:sz w:val="22"/>
                <w:szCs w:val="22"/>
              </w:rPr>
              <w:t xml:space="preserve"> – District Inspector:</w:t>
            </w:r>
          </w:p>
        </w:tc>
        <w:tc>
          <w:tcPr>
            <w:tcW w:w="5796" w:type="dxa"/>
          </w:tcPr>
          <w:p w14:paraId="1E6BC764" w14:textId="77777777" w:rsidR="009E483C" w:rsidRDefault="009E483C" w:rsidP="009E483C">
            <w:pPr>
              <w:rPr>
                <w:rFonts w:ascii="Arial" w:hAnsi="Arial" w:cs="Arial"/>
                <w:sz w:val="22"/>
                <w:szCs w:val="22"/>
              </w:rPr>
            </w:pPr>
            <w:r>
              <w:rPr>
                <w:rFonts w:ascii="Arial" w:hAnsi="Arial" w:cs="Arial"/>
                <w:sz w:val="22"/>
                <w:szCs w:val="22"/>
              </w:rPr>
              <w:t>Samuel Liveson, Senior Environmental Engineer</w:t>
            </w:r>
          </w:p>
          <w:p w14:paraId="2EA740CE" w14:textId="27CCF99B" w:rsidR="009E483C" w:rsidRDefault="009E483C" w:rsidP="009E483C">
            <w:pPr>
              <w:rPr>
                <w:rFonts w:ascii="Arial" w:hAnsi="Arial"/>
                <w:sz w:val="22"/>
              </w:rPr>
            </w:pPr>
            <w:r>
              <w:rPr>
                <w:rFonts w:ascii="Arial" w:hAnsi="Arial" w:cs="Arial"/>
                <w:sz w:val="22"/>
                <w:szCs w:val="22"/>
              </w:rPr>
              <w:t>313-405-1357</w:t>
            </w:r>
          </w:p>
        </w:tc>
      </w:tr>
      <w:tr w:rsidR="009E483C" w14:paraId="5FCDBC95" w14:textId="77777777" w:rsidTr="009E483C">
        <w:tc>
          <w:tcPr>
            <w:tcW w:w="4464" w:type="dxa"/>
          </w:tcPr>
          <w:p w14:paraId="34F840F1" w14:textId="7D908493" w:rsidR="009E483C" w:rsidRDefault="009E483C" w:rsidP="009E483C">
            <w:pPr>
              <w:rPr>
                <w:rFonts w:ascii="Arial" w:hAnsi="Arial"/>
                <w:sz w:val="22"/>
              </w:rPr>
            </w:pPr>
            <w:r w:rsidRPr="00290754">
              <w:rPr>
                <w:rFonts w:ascii="Arial" w:hAnsi="Arial" w:cs="Arial"/>
                <w:sz w:val="22"/>
                <w:szCs w:val="22"/>
              </w:rPr>
              <w:t>AQD Contact</w:t>
            </w:r>
            <w:r>
              <w:rPr>
                <w:rFonts w:ascii="Arial" w:hAnsi="Arial" w:cs="Arial"/>
                <w:sz w:val="22"/>
                <w:szCs w:val="22"/>
              </w:rPr>
              <w:t xml:space="preserve"> – ROP Writer</w:t>
            </w:r>
            <w:r w:rsidRPr="00290754">
              <w:rPr>
                <w:rFonts w:ascii="Arial" w:hAnsi="Arial" w:cs="Arial"/>
                <w:sz w:val="22"/>
                <w:szCs w:val="22"/>
              </w:rPr>
              <w:t>:</w:t>
            </w:r>
          </w:p>
        </w:tc>
        <w:tc>
          <w:tcPr>
            <w:tcW w:w="5796" w:type="dxa"/>
          </w:tcPr>
          <w:p w14:paraId="2C3AF05E" w14:textId="77777777" w:rsidR="009E483C" w:rsidRDefault="009E483C" w:rsidP="009E483C">
            <w:pPr>
              <w:rPr>
                <w:rFonts w:ascii="Arial" w:hAnsi="Arial" w:cs="Arial"/>
                <w:sz w:val="22"/>
                <w:szCs w:val="22"/>
              </w:rPr>
            </w:pPr>
            <w:r>
              <w:rPr>
                <w:rFonts w:ascii="Arial" w:hAnsi="Arial" w:cs="Arial"/>
                <w:sz w:val="22"/>
                <w:szCs w:val="22"/>
              </w:rPr>
              <w:t xml:space="preserve">Sebastian Kallumkal, Environmental Quality Specialist </w:t>
            </w:r>
          </w:p>
          <w:p w14:paraId="32E03E96" w14:textId="6C240E74" w:rsidR="009E483C" w:rsidRDefault="009E483C" w:rsidP="009E483C">
            <w:pPr>
              <w:rPr>
                <w:rFonts w:ascii="Arial" w:hAnsi="Arial" w:cs="Arial"/>
                <w:sz w:val="22"/>
                <w:szCs w:val="22"/>
              </w:rPr>
            </w:pPr>
            <w:r>
              <w:rPr>
                <w:rFonts w:ascii="Arial" w:hAnsi="Arial" w:cs="Arial"/>
                <w:sz w:val="22"/>
                <w:szCs w:val="22"/>
              </w:rPr>
              <w:t>586-201- 0175</w:t>
            </w:r>
          </w:p>
        </w:tc>
      </w:tr>
    </w:tbl>
    <w:p w14:paraId="52ECB664" w14:textId="77777777" w:rsidR="009E483C" w:rsidRDefault="009E483C">
      <w:pPr>
        <w:jc w:val="both"/>
        <w:rPr>
          <w:rFonts w:ascii="Arial" w:hAnsi="Arial"/>
          <w:sz w:val="22"/>
        </w:rPr>
      </w:pPr>
    </w:p>
    <w:p w14:paraId="5E1DEF98" w14:textId="77777777" w:rsidR="009E483C" w:rsidRDefault="009E483C">
      <w:pPr>
        <w:rPr>
          <w:rFonts w:ascii="Arial" w:hAnsi="Arial"/>
          <w:b/>
          <w:sz w:val="22"/>
          <w:u w:val="single"/>
        </w:rPr>
      </w:pPr>
      <w:bookmarkStart w:id="20" w:name="_Toc482691123"/>
      <w:r>
        <w:rPr>
          <w:rFonts w:ascii="Arial" w:hAnsi="Arial"/>
          <w:b/>
          <w:sz w:val="22"/>
          <w:u w:val="single"/>
        </w:rPr>
        <w:t>Summary of Pertinent Comments</w:t>
      </w:r>
      <w:bookmarkEnd w:id="20"/>
    </w:p>
    <w:p w14:paraId="3D7D8F2F" w14:textId="77777777" w:rsidR="009E483C" w:rsidRDefault="009E483C">
      <w:pPr>
        <w:rPr>
          <w:rFonts w:ascii="Arial" w:hAnsi="Arial"/>
          <w:b/>
          <w:sz w:val="22"/>
          <w:u w:val="single"/>
        </w:rPr>
      </w:pPr>
    </w:p>
    <w:p w14:paraId="14EAC64F" w14:textId="0FE2A40E" w:rsidR="009E483C" w:rsidRDefault="009E483C">
      <w:pPr>
        <w:outlineLvl w:val="0"/>
        <w:rPr>
          <w:rFonts w:ascii="Arial" w:hAnsi="Arial"/>
          <w:sz w:val="22"/>
        </w:rPr>
      </w:pPr>
      <w:r>
        <w:rPr>
          <w:rFonts w:ascii="Arial" w:hAnsi="Arial"/>
          <w:sz w:val="22"/>
        </w:rPr>
        <w:t xml:space="preserve">No pertinent comments were received during the </w:t>
      </w:r>
      <w:r w:rsidR="00F31EF2">
        <w:rPr>
          <w:rFonts w:ascii="Arial" w:hAnsi="Arial"/>
          <w:sz w:val="22"/>
        </w:rPr>
        <w:t>30-day public</w:t>
      </w:r>
      <w:r>
        <w:rPr>
          <w:rFonts w:ascii="Arial" w:hAnsi="Arial"/>
          <w:sz w:val="22"/>
        </w:rPr>
        <w:t xml:space="preserve"> comment period.</w:t>
      </w:r>
    </w:p>
    <w:p w14:paraId="0DC67C13" w14:textId="77777777" w:rsidR="009E483C" w:rsidRDefault="009E483C">
      <w:pPr>
        <w:rPr>
          <w:rFonts w:ascii="Arial" w:hAnsi="Arial"/>
          <w:sz w:val="22"/>
        </w:rPr>
      </w:pPr>
    </w:p>
    <w:p w14:paraId="2EB5D9E0" w14:textId="77777777" w:rsidR="009E483C" w:rsidRDefault="009E483C">
      <w:pPr>
        <w:rPr>
          <w:rFonts w:ascii="Arial" w:hAnsi="Arial"/>
          <w:b/>
          <w:sz w:val="22"/>
        </w:rPr>
      </w:pPr>
    </w:p>
    <w:p w14:paraId="11743C8C" w14:textId="1B096D20" w:rsidR="009E483C" w:rsidRDefault="009E483C">
      <w:pPr>
        <w:rPr>
          <w:rFonts w:ascii="Arial" w:hAnsi="Arial"/>
          <w:b/>
          <w:sz w:val="22"/>
          <w:u w:val="single"/>
        </w:rPr>
      </w:pPr>
      <w:bookmarkStart w:id="21" w:name="_Toc482691124"/>
      <w:r>
        <w:rPr>
          <w:rFonts w:ascii="Arial" w:hAnsi="Arial"/>
          <w:b/>
          <w:sz w:val="22"/>
          <w:u w:val="single"/>
        </w:rPr>
        <w:t xml:space="preserve">Changes to the </w:t>
      </w:r>
      <w:r>
        <w:rPr>
          <w:rFonts w:ascii="Arial" w:hAnsi="Arial" w:cs="Arial"/>
          <w:b/>
          <w:sz w:val="22"/>
          <w:szCs w:val="22"/>
          <w:u w:val="single"/>
        </w:rPr>
        <w:t xml:space="preserve">April 22, </w:t>
      </w:r>
      <w:proofErr w:type="gramStart"/>
      <w:r>
        <w:rPr>
          <w:rFonts w:ascii="Arial" w:hAnsi="Arial" w:cs="Arial"/>
          <w:b/>
          <w:sz w:val="22"/>
          <w:szCs w:val="22"/>
          <w:u w:val="single"/>
        </w:rPr>
        <w:t>2024</w:t>
      </w:r>
      <w:proofErr w:type="gramEnd"/>
      <w:r>
        <w:rPr>
          <w:rFonts w:ascii="Arial" w:hAnsi="Arial"/>
          <w:b/>
          <w:sz w:val="22"/>
          <w:u w:val="single"/>
        </w:rPr>
        <w:t xml:space="preserve"> </w:t>
      </w:r>
      <w:r w:rsidR="00F31EF2">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1"/>
    </w:p>
    <w:p w14:paraId="334375FE" w14:textId="77777777" w:rsidR="009E483C" w:rsidRDefault="009E483C">
      <w:pPr>
        <w:rPr>
          <w:rFonts w:ascii="Arial" w:hAnsi="Arial"/>
          <w:b/>
          <w:sz w:val="22"/>
        </w:rPr>
      </w:pPr>
    </w:p>
    <w:p w14:paraId="3E124E6A" w14:textId="31E3BB2A" w:rsidR="009E483C" w:rsidRDefault="009E483C">
      <w:pPr>
        <w:outlineLvl w:val="0"/>
        <w:rPr>
          <w:rFonts w:ascii="Arial" w:hAnsi="Arial"/>
          <w:sz w:val="22"/>
        </w:rPr>
      </w:pPr>
      <w:r>
        <w:rPr>
          <w:rFonts w:ascii="Arial" w:hAnsi="Arial"/>
          <w:sz w:val="22"/>
        </w:rPr>
        <w:t xml:space="preserve">No changes were made to the </w:t>
      </w:r>
      <w:r w:rsidR="00F31EF2">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F571ABD" w14:textId="77777777" w:rsidR="009E483C" w:rsidRDefault="009E483C">
      <w:pPr>
        <w:rPr>
          <w:rFonts w:ascii="Arial" w:hAnsi="Arial"/>
          <w:sz w:val="22"/>
        </w:rPr>
      </w:pPr>
    </w:p>
    <w:sectPr w:rsidR="009E483C" w:rsidSect="003C6EF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D3B4C" w14:textId="77777777" w:rsidR="00474DBE" w:rsidRDefault="00474DBE">
      <w:r>
        <w:separator/>
      </w:r>
    </w:p>
  </w:endnote>
  <w:endnote w:type="continuationSeparator" w:id="0">
    <w:p w14:paraId="5FDD5CD9" w14:textId="77777777" w:rsidR="00474DBE" w:rsidRDefault="0047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E7D60"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60184"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CA6B5"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C84512F"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E6C56" w14:textId="77777777" w:rsidR="00474DBE" w:rsidRDefault="00474DBE">
      <w:r>
        <w:separator/>
      </w:r>
    </w:p>
  </w:footnote>
  <w:footnote w:type="continuationSeparator" w:id="0">
    <w:p w14:paraId="4A1FC45B" w14:textId="77777777" w:rsidR="00474DBE" w:rsidRDefault="0047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736F"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DB80"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F362"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BE"/>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46E70"/>
    <w:rsid w:val="00053310"/>
    <w:rsid w:val="00056A06"/>
    <w:rsid w:val="00057978"/>
    <w:rsid w:val="00060FD0"/>
    <w:rsid w:val="00070B20"/>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4052"/>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A21E9"/>
    <w:rsid w:val="001A6D8D"/>
    <w:rsid w:val="001B5D76"/>
    <w:rsid w:val="001B634B"/>
    <w:rsid w:val="001C45A8"/>
    <w:rsid w:val="001D0502"/>
    <w:rsid w:val="001D0646"/>
    <w:rsid w:val="001D6B5F"/>
    <w:rsid w:val="001D7607"/>
    <w:rsid w:val="001E1E23"/>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5D3E"/>
    <w:rsid w:val="003061C0"/>
    <w:rsid w:val="00306FD5"/>
    <w:rsid w:val="00310006"/>
    <w:rsid w:val="0031080C"/>
    <w:rsid w:val="003173E8"/>
    <w:rsid w:val="003253E4"/>
    <w:rsid w:val="0032561D"/>
    <w:rsid w:val="00333AE9"/>
    <w:rsid w:val="00335641"/>
    <w:rsid w:val="00337750"/>
    <w:rsid w:val="00340C1D"/>
    <w:rsid w:val="00345D9F"/>
    <w:rsid w:val="0034680F"/>
    <w:rsid w:val="00347E5D"/>
    <w:rsid w:val="00350573"/>
    <w:rsid w:val="00351B50"/>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29DE"/>
    <w:rsid w:val="003B36CE"/>
    <w:rsid w:val="003B3A3A"/>
    <w:rsid w:val="003B430D"/>
    <w:rsid w:val="003B598E"/>
    <w:rsid w:val="003B5E83"/>
    <w:rsid w:val="003C4B9D"/>
    <w:rsid w:val="003C6EFE"/>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03"/>
    <w:rsid w:val="00411971"/>
    <w:rsid w:val="004127B6"/>
    <w:rsid w:val="00424388"/>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4DBE"/>
    <w:rsid w:val="00475BD8"/>
    <w:rsid w:val="004764BC"/>
    <w:rsid w:val="00477C93"/>
    <w:rsid w:val="00481F2F"/>
    <w:rsid w:val="0048277E"/>
    <w:rsid w:val="00482E94"/>
    <w:rsid w:val="00485373"/>
    <w:rsid w:val="00485F9B"/>
    <w:rsid w:val="00491EF2"/>
    <w:rsid w:val="0049200A"/>
    <w:rsid w:val="00493484"/>
    <w:rsid w:val="004948C1"/>
    <w:rsid w:val="004A6FD2"/>
    <w:rsid w:val="004B0AE4"/>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37F16"/>
    <w:rsid w:val="006414DE"/>
    <w:rsid w:val="00643E45"/>
    <w:rsid w:val="00643FF9"/>
    <w:rsid w:val="00644884"/>
    <w:rsid w:val="00644FAC"/>
    <w:rsid w:val="006461E5"/>
    <w:rsid w:val="00647809"/>
    <w:rsid w:val="00650FB7"/>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A6866"/>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10CB"/>
    <w:rsid w:val="009E2122"/>
    <w:rsid w:val="009E4796"/>
    <w:rsid w:val="009E483C"/>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2F0"/>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1343D"/>
    <w:rsid w:val="00B17134"/>
    <w:rsid w:val="00B17711"/>
    <w:rsid w:val="00B20017"/>
    <w:rsid w:val="00B20A6D"/>
    <w:rsid w:val="00B2681D"/>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1150"/>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168C"/>
    <w:rsid w:val="00D22B42"/>
    <w:rsid w:val="00D26941"/>
    <w:rsid w:val="00D30940"/>
    <w:rsid w:val="00D32088"/>
    <w:rsid w:val="00D325DF"/>
    <w:rsid w:val="00D34A15"/>
    <w:rsid w:val="00D364A2"/>
    <w:rsid w:val="00D42E06"/>
    <w:rsid w:val="00D43A9A"/>
    <w:rsid w:val="00D43EB9"/>
    <w:rsid w:val="00D5459C"/>
    <w:rsid w:val="00D56811"/>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130"/>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985"/>
    <w:rsid w:val="00F208FE"/>
    <w:rsid w:val="00F21DBA"/>
    <w:rsid w:val="00F23D8B"/>
    <w:rsid w:val="00F27AF7"/>
    <w:rsid w:val="00F31EF2"/>
    <w:rsid w:val="00F3515D"/>
    <w:rsid w:val="00F352E6"/>
    <w:rsid w:val="00F37731"/>
    <w:rsid w:val="00F37B82"/>
    <w:rsid w:val="00F40DB3"/>
    <w:rsid w:val="00F41E50"/>
    <w:rsid w:val="00F477A5"/>
    <w:rsid w:val="00F478F0"/>
    <w:rsid w:val="00F5342E"/>
    <w:rsid w:val="00F545EB"/>
    <w:rsid w:val="00F546FE"/>
    <w:rsid w:val="00F55032"/>
    <w:rsid w:val="00F55BAA"/>
    <w:rsid w:val="00F64196"/>
    <w:rsid w:val="00F65467"/>
    <w:rsid w:val="00F72008"/>
    <w:rsid w:val="00F72107"/>
    <w:rsid w:val="00F734C6"/>
    <w:rsid w:val="00F73A59"/>
    <w:rsid w:val="00F77AFD"/>
    <w:rsid w:val="00F83750"/>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08C9906"/>
  <w15:chartTrackingRefBased/>
  <w15:docId w15:val="{D16086A9-8B60-4875-9DC8-FF91D243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F83750"/>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96</TotalTime>
  <Pages>11</Pages>
  <Words>3586</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24048</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12</cp:revision>
  <cp:lastPrinted>2013-10-29T20:42:00Z</cp:lastPrinted>
  <dcterms:created xsi:type="dcterms:W3CDTF">2024-04-16T18:12:00Z</dcterms:created>
  <dcterms:modified xsi:type="dcterms:W3CDTF">2024-07-10T15:43:00Z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