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380944DB" w14:textId="77777777" w:rsidTr="00846376">
        <w:trPr>
          <w:trHeight w:val="651"/>
        </w:trPr>
        <w:tc>
          <w:tcPr>
            <w:tcW w:w="810" w:type="dxa"/>
          </w:tcPr>
          <w:p w14:paraId="31B8E417" w14:textId="77777777" w:rsidR="005E5399" w:rsidRDefault="005E5399">
            <w:pPr>
              <w:jc w:val="center"/>
              <w:rPr>
                <w:sz w:val="16"/>
              </w:rPr>
            </w:pPr>
          </w:p>
        </w:tc>
        <w:tc>
          <w:tcPr>
            <w:tcW w:w="9000" w:type="dxa"/>
          </w:tcPr>
          <w:p w14:paraId="1D13176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0769EF9" w14:textId="77777777" w:rsidR="005E5399" w:rsidRDefault="00012E33">
            <w:pPr>
              <w:spacing w:before="20" w:after="20"/>
              <w:jc w:val="center"/>
              <w:rPr>
                <w:sz w:val="16"/>
              </w:rPr>
            </w:pPr>
            <w:r w:rsidRPr="00012E33">
              <w:rPr>
                <w:b/>
                <w:sz w:val="24"/>
                <w:szCs w:val="24"/>
              </w:rPr>
              <w:t>AIR QUALITY DIVISION</w:t>
            </w:r>
          </w:p>
        </w:tc>
        <w:tc>
          <w:tcPr>
            <w:tcW w:w="720" w:type="dxa"/>
          </w:tcPr>
          <w:p w14:paraId="61BD58EC" w14:textId="77777777" w:rsidR="005E5399" w:rsidRDefault="005E5399">
            <w:pPr>
              <w:jc w:val="center"/>
              <w:rPr>
                <w:b/>
                <w:sz w:val="24"/>
              </w:rPr>
            </w:pPr>
          </w:p>
        </w:tc>
      </w:tr>
      <w:tr w:rsidR="005E5399" w14:paraId="38148A00" w14:textId="77777777" w:rsidTr="00846376">
        <w:trPr>
          <w:cantSplit/>
          <w:trHeight w:val="149"/>
        </w:trPr>
        <w:tc>
          <w:tcPr>
            <w:tcW w:w="10530" w:type="dxa"/>
            <w:gridSpan w:val="3"/>
          </w:tcPr>
          <w:p w14:paraId="56A352CF" w14:textId="77777777" w:rsidR="00C7692A" w:rsidRPr="006B4E48" w:rsidRDefault="00C7692A" w:rsidP="00C2618F">
            <w:pPr>
              <w:jc w:val="center"/>
              <w:rPr>
                <w:szCs w:val="22"/>
              </w:rPr>
            </w:pPr>
          </w:p>
          <w:p w14:paraId="52ACB374" w14:textId="567A5F46"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DE5527">
              <w:rPr>
                <w:szCs w:val="22"/>
              </w:rPr>
              <w:t xml:space="preserve">October </w:t>
            </w:r>
            <w:r w:rsidR="00CF0172">
              <w:rPr>
                <w:szCs w:val="22"/>
              </w:rPr>
              <w:t>14</w:t>
            </w:r>
            <w:r w:rsidR="00DE5527">
              <w:rPr>
                <w:szCs w:val="22"/>
              </w:rPr>
              <w:t>, 2024</w:t>
            </w:r>
          </w:p>
          <w:p w14:paraId="466D4454" w14:textId="77777777" w:rsidR="006B4E48" w:rsidRPr="00927270" w:rsidRDefault="006B4E48" w:rsidP="00C2618F">
            <w:pPr>
              <w:jc w:val="center"/>
              <w:rPr>
                <w:szCs w:val="22"/>
              </w:rPr>
            </w:pPr>
          </w:p>
          <w:p w14:paraId="68E32687" w14:textId="77777777" w:rsidR="00C2618F" w:rsidRPr="00927270" w:rsidRDefault="00C2618F" w:rsidP="00C2618F">
            <w:pPr>
              <w:jc w:val="center"/>
              <w:rPr>
                <w:szCs w:val="22"/>
              </w:rPr>
            </w:pPr>
            <w:r w:rsidRPr="00927270">
              <w:rPr>
                <w:szCs w:val="22"/>
              </w:rPr>
              <w:t>ISSUED TO</w:t>
            </w:r>
          </w:p>
          <w:p w14:paraId="6D49E4FA" w14:textId="77777777" w:rsidR="00C2618F" w:rsidRPr="00927270" w:rsidRDefault="00C2618F" w:rsidP="00C2618F">
            <w:pPr>
              <w:jc w:val="center"/>
              <w:rPr>
                <w:szCs w:val="22"/>
              </w:rPr>
            </w:pPr>
          </w:p>
          <w:p w14:paraId="46E24627" w14:textId="77777777" w:rsidR="009E772C" w:rsidRDefault="009E772C" w:rsidP="00B9050D">
            <w:pPr>
              <w:jc w:val="center"/>
              <w:rPr>
                <w:b/>
                <w:szCs w:val="22"/>
              </w:rPr>
            </w:pPr>
            <w:bookmarkStart w:id="0" w:name="bCompanyName"/>
            <w:r>
              <w:rPr>
                <w:b/>
                <w:szCs w:val="22"/>
              </w:rPr>
              <w:t xml:space="preserve">Great Lakes Gas Transmission Company, LP </w:t>
            </w:r>
          </w:p>
          <w:p w14:paraId="71AA1F68" w14:textId="77777777" w:rsidR="00B9050D" w:rsidRPr="00745818" w:rsidRDefault="009E772C" w:rsidP="00B9050D">
            <w:pPr>
              <w:jc w:val="center"/>
              <w:rPr>
                <w:b/>
                <w:szCs w:val="22"/>
              </w:rPr>
            </w:pPr>
            <w:r>
              <w:rPr>
                <w:b/>
                <w:szCs w:val="22"/>
              </w:rPr>
              <w:t>Boyne Falls Compressor Station</w:t>
            </w:r>
          </w:p>
          <w:bookmarkEnd w:id="0"/>
          <w:p w14:paraId="2683BF6F" w14:textId="77777777" w:rsidR="00C2618F" w:rsidRPr="00927270" w:rsidRDefault="00C2618F" w:rsidP="00C2618F">
            <w:pPr>
              <w:jc w:val="center"/>
              <w:rPr>
                <w:szCs w:val="22"/>
              </w:rPr>
            </w:pPr>
          </w:p>
          <w:p w14:paraId="2753D978" w14:textId="77777777" w:rsidR="00C2618F" w:rsidRDefault="00C2618F" w:rsidP="00C2618F">
            <w:pPr>
              <w:jc w:val="center"/>
              <w:rPr>
                <w:szCs w:val="22"/>
              </w:rPr>
            </w:pPr>
            <w:r w:rsidRPr="00927270">
              <w:rPr>
                <w:szCs w:val="22"/>
              </w:rPr>
              <w:t xml:space="preserve">State Registration Number (SRN):  </w:t>
            </w:r>
            <w:bookmarkStart w:id="1" w:name="bSRN"/>
            <w:r w:rsidR="009E772C">
              <w:rPr>
                <w:szCs w:val="22"/>
              </w:rPr>
              <w:t>B8573</w:t>
            </w:r>
            <w:bookmarkEnd w:id="1"/>
          </w:p>
          <w:p w14:paraId="56CAA9C2" w14:textId="77777777" w:rsidR="00807634" w:rsidRPr="00927270" w:rsidRDefault="00807634" w:rsidP="00C2618F">
            <w:pPr>
              <w:jc w:val="center"/>
              <w:rPr>
                <w:szCs w:val="22"/>
              </w:rPr>
            </w:pPr>
          </w:p>
          <w:p w14:paraId="37DF5729" w14:textId="77777777" w:rsidR="00C2618F" w:rsidRPr="00927270" w:rsidRDefault="00C2618F" w:rsidP="00C2618F">
            <w:pPr>
              <w:jc w:val="center"/>
              <w:rPr>
                <w:szCs w:val="22"/>
              </w:rPr>
            </w:pPr>
            <w:r w:rsidRPr="00927270">
              <w:rPr>
                <w:szCs w:val="22"/>
              </w:rPr>
              <w:t>LOCATED AT</w:t>
            </w:r>
          </w:p>
          <w:p w14:paraId="0E1F9803" w14:textId="77777777" w:rsidR="002B29E9" w:rsidRPr="00927270" w:rsidRDefault="002B29E9" w:rsidP="002B29E9">
            <w:pPr>
              <w:jc w:val="center"/>
              <w:rPr>
                <w:szCs w:val="22"/>
              </w:rPr>
            </w:pPr>
          </w:p>
          <w:p w14:paraId="6D1775F1" w14:textId="77777777" w:rsidR="005E5399" w:rsidRPr="003F5BE8" w:rsidRDefault="009E772C" w:rsidP="002B29E9">
            <w:pPr>
              <w:jc w:val="center"/>
              <w:rPr>
                <w:szCs w:val="22"/>
              </w:rPr>
            </w:pPr>
            <w:bookmarkStart w:id="2" w:name="bStreetAddress"/>
            <w:bookmarkEnd w:id="2"/>
            <w:r>
              <w:rPr>
                <w:szCs w:val="22"/>
              </w:rPr>
              <w:t>10339 Great Lakes Road</w:t>
            </w:r>
            <w:r w:rsidR="002B29E9">
              <w:rPr>
                <w:szCs w:val="22"/>
              </w:rPr>
              <w:t xml:space="preserve">, </w:t>
            </w:r>
            <w:bookmarkStart w:id="3" w:name="bCity"/>
            <w:bookmarkEnd w:id="3"/>
            <w:r>
              <w:rPr>
                <w:szCs w:val="22"/>
              </w:rPr>
              <w:t>Boyne Falls</w:t>
            </w:r>
            <w:r w:rsidR="002B29E9">
              <w:rPr>
                <w:szCs w:val="22"/>
              </w:rPr>
              <w:t>,</w:t>
            </w:r>
            <w:r w:rsidR="00995605">
              <w:rPr>
                <w:szCs w:val="22"/>
              </w:rPr>
              <w:t xml:space="preserve"> </w:t>
            </w:r>
            <w:bookmarkStart w:id="4" w:name="bCounty"/>
            <w:bookmarkEnd w:id="4"/>
            <w:r>
              <w:rPr>
                <w:szCs w:val="22"/>
              </w:rPr>
              <w:t>Charlevoix</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49713</w:t>
            </w:r>
          </w:p>
        </w:tc>
      </w:tr>
      <w:tr w:rsidR="00C2618F" w:rsidRPr="00DF47A8" w14:paraId="7C0DDB6F" w14:textId="77777777" w:rsidTr="00846376">
        <w:trPr>
          <w:cantSplit/>
          <w:trHeight w:val="148"/>
        </w:trPr>
        <w:tc>
          <w:tcPr>
            <w:tcW w:w="10530" w:type="dxa"/>
            <w:gridSpan w:val="3"/>
          </w:tcPr>
          <w:p w14:paraId="06FEE7C3" w14:textId="77777777" w:rsidR="00C2618F" w:rsidRPr="00DF47A8" w:rsidRDefault="00C2618F" w:rsidP="00C2618F">
            <w:pPr>
              <w:pStyle w:val="Header"/>
              <w:spacing w:before="20" w:after="20"/>
              <w:rPr>
                <w:szCs w:val="22"/>
              </w:rPr>
            </w:pPr>
          </w:p>
        </w:tc>
      </w:tr>
      <w:tr w:rsidR="00C2618F" w:rsidRPr="001838ED" w14:paraId="6EEEB402"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3AA828FC" w14:textId="77777777" w:rsidR="00C2618F" w:rsidRPr="006F2C46" w:rsidRDefault="00C2618F" w:rsidP="001838ED">
            <w:pPr>
              <w:jc w:val="center"/>
              <w:rPr>
                <w:szCs w:val="22"/>
              </w:rPr>
            </w:pPr>
          </w:p>
          <w:p w14:paraId="60392888" w14:textId="77777777" w:rsidR="00C2618F" w:rsidRPr="001838ED" w:rsidRDefault="00C2618F" w:rsidP="001838ED">
            <w:pPr>
              <w:jc w:val="center"/>
              <w:rPr>
                <w:b/>
                <w:sz w:val="28"/>
              </w:rPr>
            </w:pPr>
            <w:r w:rsidRPr="001838ED">
              <w:rPr>
                <w:b/>
                <w:sz w:val="28"/>
              </w:rPr>
              <w:t>RENEWABLE OPERATING PERMIT</w:t>
            </w:r>
          </w:p>
          <w:p w14:paraId="0BD4D335" w14:textId="77777777" w:rsidR="00C2618F" w:rsidRPr="001838ED" w:rsidRDefault="00C2618F" w:rsidP="001838ED">
            <w:pPr>
              <w:ind w:left="3240"/>
              <w:rPr>
                <w:sz w:val="24"/>
              </w:rPr>
            </w:pPr>
          </w:p>
          <w:p w14:paraId="7EB75E02" w14:textId="5F0717D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9E772C">
              <w:rPr>
                <w:sz w:val="24"/>
              </w:rPr>
              <w:t>B8573</w:t>
            </w:r>
            <w:r w:rsidR="004032B7" w:rsidRPr="001838ED">
              <w:rPr>
                <w:sz w:val="24"/>
              </w:rPr>
              <w:t>-</w:t>
            </w:r>
            <w:bookmarkStart w:id="7" w:name="bIssueYear"/>
            <w:bookmarkEnd w:id="7"/>
            <w:r w:rsidR="009E772C" w:rsidRPr="00391165">
              <w:rPr>
                <w:sz w:val="24"/>
              </w:rPr>
              <w:t>20</w:t>
            </w:r>
            <w:r w:rsidR="00DE5527">
              <w:rPr>
                <w:sz w:val="24"/>
              </w:rPr>
              <w:t>24</w:t>
            </w:r>
          </w:p>
          <w:p w14:paraId="5B9E770C" w14:textId="77777777" w:rsidR="00C2618F" w:rsidRPr="001838ED" w:rsidRDefault="00C2618F" w:rsidP="001838ED">
            <w:pPr>
              <w:ind w:left="3240"/>
              <w:rPr>
                <w:sz w:val="24"/>
              </w:rPr>
            </w:pPr>
          </w:p>
          <w:p w14:paraId="6949FF2B" w14:textId="27305938" w:rsidR="00C2618F" w:rsidRPr="001838ED" w:rsidRDefault="00C2618F" w:rsidP="001838ED">
            <w:pPr>
              <w:ind w:left="2880" w:firstLine="720"/>
              <w:rPr>
                <w:sz w:val="24"/>
                <w:szCs w:val="24"/>
              </w:rPr>
            </w:pPr>
            <w:r w:rsidRPr="001838ED">
              <w:rPr>
                <w:sz w:val="24"/>
              </w:rPr>
              <w:t>Expiration Date:</w:t>
            </w:r>
            <w:r w:rsidRPr="001838ED">
              <w:rPr>
                <w:sz w:val="24"/>
              </w:rPr>
              <w:tab/>
            </w:r>
            <w:r w:rsidR="00DE5527">
              <w:rPr>
                <w:sz w:val="24"/>
              </w:rPr>
              <w:t xml:space="preserve">October </w:t>
            </w:r>
            <w:r w:rsidR="00CF0172">
              <w:rPr>
                <w:sz w:val="24"/>
              </w:rPr>
              <w:t>14</w:t>
            </w:r>
            <w:r w:rsidR="00DE5527">
              <w:rPr>
                <w:sz w:val="24"/>
              </w:rPr>
              <w:t>, 2029</w:t>
            </w:r>
          </w:p>
          <w:p w14:paraId="56CEFF78" w14:textId="77777777" w:rsidR="0025601A" w:rsidRPr="001838ED" w:rsidRDefault="0025601A" w:rsidP="001838ED">
            <w:pPr>
              <w:ind w:left="2880" w:firstLine="360"/>
              <w:rPr>
                <w:sz w:val="24"/>
              </w:rPr>
            </w:pPr>
          </w:p>
          <w:p w14:paraId="5E2B792E" w14:textId="77777777"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3E6DDA1F" w14:textId="7182CBAD" w:rsidR="00DE5527" w:rsidRPr="001838ED" w:rsidRDefault="00DE5527" w:rsidP="001838ED">
            <w:pPr>
              <w:jc w:val="center"/>
              <w:rPr>
                <w:sz w:val="24"/>
                <w:szCs w:val="24"/>
              </w:rPr>
            </w:pPr>
            <w:r>
              <w:rPr>
                <w:sz w:val="24"/>
                <w:szCs w:val="24"/>
              </w:rPr>
              <w:t xml:space="preserve">April </w:t>
            </w:r>
            <w:r w:rsidR="00CF0172">
              <w:rPr>
                <w:sz w:val="24"/>
                <w:szCs w:val="24"/>
              </w:rPr>
              <w:t>14</w:t>
            </w:r>
            <w:r>
              <w:rPr>
                <w:sz w:val="24"/>
                <w:szCs w:val="24"/>
              </w:rPr>
              <w:t xml:space="preserve">, </w:t>
            </w:r>
            <w:proofErr w:type="gramStart"/>
            <w:r>
              <w:rPr>
                <w:sz w:val="24"/>
                <w:szCs w:val="24"/>
              </w:rPr>
              <w:t>202</w:t>
            </w:r>
            <w:r w:rsidR="001E7A9F">
              <w:rPr>
                <w:sz w:val="24"/>
                <w:szCs w:val="24"/>
              </w:rPr>
              <w:t>8</w:t>
            </w:r>
            <w:proofErr w:type="gramEnd"/>
            <w:r>
              <w:rPr>
                <w:sz w:val="24"/>
                <w:szCs w:val="24"/>
              </w:rPr>
              <w:t xml:space="preserve"> to April </w:t>
            </w:r>
            <w:r w:rsidR="00CF0172">
              <w:rPr>
                <w:sz w:val="24"/>
                <w:szCs w:val="24"/>
              </w:rPr>
              <w:t>14</w:t>
            </w:r>
            <w:r>
              <w:rPr>
                <w:sz w:val="24"/>
                <w:szCs w:val="24"/>
              </w:rPr>
              <w:t>, 20</w:t>
            </w:r>
            <w:r w:rsidR="001E7A9F">
              <w:rPr>
                <w:sz w:val="24"/>
                <w:szCs w:val="24"/>
              </w:rPr>
              <w:t>29</w:t>
            </w:r>
          </w:p>
          <w:p w14:paraId="327131EF" w14:textId="77777777" w:rsidR="00DF47A8" w:rsidRPr="001838ED" w:rsidRDefault="00DF47A8" w:rsidP="00DF47A8">
            <w:pPr>
              <w:rPr>
                <w:sz w:val="24"/>
              </w:rPr>
            </w:pPr>
            <w:bookmarkStart w:id="9" w:name="bAppDueDate2"/>
            <w:bookmarkEnd w:id="9"/>
          </w:p>
          <w:p w14:paraId="3B956FC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67C94D4"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11A24F9" w14:textId="77777777" w:rsidTr="00846376">
        <w:trPr>
          <w:trHeight w:val="2914"/>
        </w:trPr>
        <w:tc>
          <w:tcPr>
            <w:tcW w:w="10562" w:type="dxa"/>
            <w:shd w:val="clear" w:color="auto" w:fill="auto"/>
          </w:tcPr>
          <w:p w14:paraId="04667CA2" w14:textId="77777777" w:rsidR="00461E40" w:rsidRPr="00846376" w:rsidRDefault="00461E40" w:rsidP="00846376">
            <w:pPr>
              <w:ind w:right="108"/>
              <w:jc w:val="center"/>
              <w:rPr>
                <w:bCs/>
                <w:szCs w:val="22"/>
              </w:rPr>
            </w:pPr>
          </w:p>
          <w:p w14:paraId="6AC810BD" w14:textId="77777777" w:rsidR="005D5FBE" w:rsidRDefault="0058429B" w:rsidP="0025601A">
            <w:pPr>
              <w:jc w:val="center"/>
              <w:rPr>
                <w:b/>
                <w:sz w:val="28"/>
                <w:szCs w:val="28"/>
              </w:rPr>
            </w:pPr>
            <w:r>
              <w:rPr>
                <w:b/>
                <w:sz w:val="28"/>
                <w:szCs w:val="28"/>
              </w:rPr>
              <w:t>SOURCE-WIDE PERMIT TO INSTALL</w:t>
            </w:r>
          </w:p>
          <w:p w14:paraId="18372437" w14:textId="77777777" w:rsidR="009E772C" w:rsidRDefault="009E772C" w:rsidP="00F15F33">
            <w:pPr>
              <w:jc w:val="center"/>
              <w:rPr>
                <w:sz w:val="24"/>
              </w:rPr>
            </w:pPr>
          </w:p>
          <w:p w14:paraId="167507B5" w14:textId="41D99300"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9E772C">
              <w:rPr>
                <w:sz w:val="24"/>
                <w:szCs w:val="24"/>
              </w:rPr>
              <w:t>B8573</w:t>
            </w:r>
            <w:r w:rsidR="000D5F06" w:rsidRPr="00391165">
              <w:rPr>
                <w:sz w:val="24"/>
                <w:szCs w:val="24"/>
              </w:rPr>
              <w:t>-</w:t>
            </w:r>
            <w:bookmarkStart w:id="11" w:name="bIssueYear2"/>
            <w:bookmarkEnd w:id="11"/>
            <w:r w:rsidR="009E772C" w:rsidRPr="00391165">
              <w:rPr>
                <w:sz w:val="24"/>
                <w:szCs w:val="24"/>
              </w:rPr>
              <w:t>20</w:t>
            </w:r>
            <w:r w:rsidR="00DE5527">
              <w:rPr>
                <w:sz w:val="24"/>
                <w:szCs w:val="24"/>
              </w:rPr>
              <w:t>24</w:t>
            </w:r>
          </w:p>
          <w:p w14:paraId="22B5674C" w14:textId="77777777" w:rsidR="00C2618F" w:rsidRPr="00846376" w:rsidRDefault="00C2618F" w:rsidP="0025601A">
            <w:pPr>
              <w:jc w:val="center"/>
              <w:rPr>
                <w:szCs w:val="22"/>
              </w:rPr>
            </w:pPr>
          </w:p>
          <w:p w14:paraId="24489F76"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309134A"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E35C583" w14:textId="77777777" w:rsidR="00233961" w:rsidRDefault="00233961" w:rsidP="00F73D71">
      <w:pPr>
        <w:ind w:left="-180"/>
        <w:rPr>
          <w:szCs w:val="22"/>
        </w:rPr>
      </w:pPr>
    </w:p>
    <w:p w14:paraId="6FE7254D" w14:textId="77777777" w:rsidR="006F2C46" w:rsidRDefault="006F2C46" w:rsidP="00F73D71">
      <w:pPr>
        <w:ind w:left="-180"/>
        <w:rPr>
          <w:szCs w:val="22"/>
        </w:rPr>
      </w:pPr>
    </w:p>
    <w:p w14:paraId="118EFEC6" w14:textId="77777777" w:rsidR="002332C3" w:rsidRPr="006A1190" w:rsidRDefault="00AB2375" w:rsidP="002332C3">
      <w:pPr>
        <w:ind w:left="-180"/>
        <w:rPr>
          <w:szCs w:val="22"/>
        </w:rPr>
      </w:pPr>
      <w:r w:rsidRPr="006A1190">
        <w:rPr>
          <w:szCs w:val="22"/>
        </w:rPr>
        <w:t>______________________________________</w:t>
      </w:r>
    </w:p>
    <w:p w14:paraId="35D0B8E3" w14:textId="77777777" w:rsidR="002F4C64" w:rsidRPr="007521DF" w:rsidRDefault="009E772C" w:rsidP="00862ED1">
      <w:pPr>
        <w:rPr>
          <w:bCs/>
          <w:sz w:val="20"/>
        </w:rPr>
      </w:pPr>
      <w:bookmarkStart w:id="12" w:name="bDS"/>
      <w:bookmarkEnd w:id="12"/>
      <w:r>
        <w:rPr>
          <w:szCs w:val="22"/>
        </w:rPr>
        <w:t>Shane Nixon, Cadillac/Gaylord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2351B6D5" w14:textId="77777777" w:rsidR="002F4C64" w:rsidRDefault="002F4C64" w:rsidP="002F4C64"/>
    <w:p w14:paraId="0CFED98D" w14:textId="29F8378E" w:rsidR="00CF0172" w:rsidRDefault="0053776A">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79797527" w:history="1">
        <w:r w:rsidR="00CF0172" w:rsidRPr="00166F70">
          <w:rPr>
            <w:rStyle w:val="Hyperlink"/>
            <w:noProof/>
          </w:rPr>
          <w:t>AUTHORITY AND ENFORCEABILITY</w:t>
        </w:r>
        <w:r w:rsidR="00CF0172">
          <w:rPr>
            <w:noProof/>
            <w:webHidden/>
          </w:rPr>
          <w:tab/>
        </w:r>
        <w:r w:rsidR="00CF0172">
          <w:rPr>
            <w:noProof/>
            <w:webHidden/>
          </w:rPr>
          <w:fldChar w:fldCharType="begin"/>
        </w:r>
        <w:r w:rsidR="00CF0172">
          <w:rPr>
            <w:noProof/>
            <w:webHidden/>
          </w:rPr>
          <w:instrText xml:space="preserve"> PAGEREF _Toc179797527 \h </w:instrText>
        </w:r>
        <w:r w:rsidR="00CF0172">
          <w:rPr>
            <w:noProof/>
            <w:webHidden/>
          </w:rPr>
        </w:r>
        <w:r w:rsidR="00CF0172">
          <w:rPr>
            <w:noProof/>
            <w:webHidden/>
          </w:rPr>
          <w:fldChar w:fldCharType="separate"/>
        </w:r>
        <w:r w:rsidR="00CF0172">
          <w:rPr>
            <w:noProof/>
            <w:webHidden/>
          </w:rPr>
          <w:t>3</w:t>
        </w:r>
        <w:r w:rsidR="00CF0172">
          <w:rPr>
            <w:noProof/>
            <w:webHidden/>
          </w:rPr>
          <w:fldChar w:fldCharType="end"/>
        </w:r>
      </w:hyperlink>
    </w:p>
    <w:p w14:paraId="27ECBF5B" w14:textId="67B8C158" w:rsidR="00CF0172" w:rsidRDefault="00CF0172">
      <w:pPr>
        <w:pStyle w:val="TOC1"/>
        <w:rPr>
          <w:rFonts w:asciiTheme="minorHAnsi" w:eastAsiaTheme="minorEastAsia" w:hAnsiTheme="minorHAnsi" w:cstheme="minorBidi"/>
          <w:b w:val="0"/>
          <w:noProof/>
          <w:kern w:val="2"/>
          <w:sz w:val="24"/>
          <w:szCs w:val="24"/>
          <w14:ligatures w14:val="standardContextual"/>
        </w:rPr>
      </w:pPr>
      <w:hyperlink w:anchor="_Toc179797528" w:history="1">
        <w:r w:rsidRPr="00166F70">
          <w:rPr>
            <w:rStyle w:val="Hyperlink"/>
            <w:noProof/>
          </w:rPr>
          <w:t>A.  GENERAL CONDITIONS</w:t>
        </w:r>
        <w:r>
          <w:rPr>
            <w:noProof/>
            <w:webHidden/>
          </w:rPr>
          <w:tab/>
        </w:r>
        <w:r>
          <w:rPr>
            <w:noProof/>
            <w:webHidden/>
          </w:rPr>
          <w:fldChar w:fldCharType="begin"/>
        </w:r>
        <w:r>
          <w:rPr>
            <w:noProof/>
            <w:webHidden/>
          </w:rPr>
          <w:instrText xml:space="preserve"> PAGEREF _Toc179797528 \h </w:instrText>
        </w:r>
        <w:r>
          <w:rPr>
            <w:noProof/>
            <w:webHidden/>
          </w:rPr>
        </w:r>
        <w:r>
          <w:rPr>
            <w:noProof/>
            <w:webHidden/>
          </w:rPr>
          <w:fldChar w:fldCharType="separate"/>
        </w:r>
        <w:r>
          <w:rPr>
            <w:noProof/>
            <w:webHidden/>
          </w:rPr>
          <w:t>4</w:t>
        </w:r>
        <w:r>
          <w:rPr>
            <w:noProof/>
            <w:webHidden/>
          </w:rPr>
          <w:fldChar w:fldCharType="end"/>
        </w:r>
      </w:hyperlink>
    </w:p>
    <w:p w14:paraId="4075C453" w14:textId="12EA94D3"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29" w:history="1">
        <w:r w:rsidRPr="00166F70">
          <w:rPr>
            <w:rStyle w:val="Hyperlink"/>
            <w:noProof/>
          </w:rPr>
          <w:t>Permit Enforceability</w:t>
        </w:r>
        <w:r>
          <w:rPr>
            <w:noProof/>
            <w:webHidden/>
          </w:rPr>
          <w:tab/>
        </w:r>
        <w:r>
          <w:rPr>
            <w:noProof/>
            <w:webHidden/>
          </w:rPr>
          <w:fldChar w:fldCharType="begin"/>
        </w:r>
        <w:r>
          <w:rPr>
            <w:noProof/>
            <w:webHidden/>
          </w:rPr>
          <w:instrText xml:space="preserve"> PAGEREF _Toc179797529 \h </w:instrText>
        </w:r>
        <w:r>
          <w:rPr>
            <w:noProof/>
            <w:webHidden/>
          </w:rPr>
        </w:r>
        <w:r>
          <w:rPr>
            <w:noProof/>
            <w:webHidden/>
          </w:rPr>
          <w:fldChar w:fldCharType="separate"/>
        </w:r>
        <w:r>
          <w:rPr>
            <w:noProof/>
            <w:webHidden/>
          </w:rPr>
          <w:t>4</w:t>
        </w:r>
        <w:r>
          <w:rPr>
            <w:noProof/>
            <w:webHidden/>
          </w:rPr>
          <w:fldChar w:fldCharType="end"/>
        </w:r>
      </w:hyperlink>
    </w:p>
    <w:p w14:paraId="00F97BD3" w14:textId="30D282C6"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0" w:history="1">
        <w:r w:rsidRPr="00166F70">
          <w:rPr>
            <w:rStyle w:val="Hyperlink"/>
            <w:noProof/>
          </w:rPr>
          <w:t>General Provisions</w:t>
        </w:r>
        <w:r>
          <w:rPr>
            <w:noProof/>
            <w:webHidden/>
          </w:rPr>
          <w:tab/>
        </w:r>
        <w:r>
          <w:rPr>
            <w:noProof/>
            <w:webHidden/>
          </w:rPr>
          <w:fldChar w:fldCharType="begin"/>
        </w:r>
        <w:r>
          <w:rPr>
            <w:noProof/>
            <w:webHidden/>
          </w:rPr>
          <w:instrText xml:space="preserve"> PAGEREF _Toc179797530 \h </w:instrText>
        </w:r>
        <w:r>
          <w:rPr>
            <w:noProof/>
            <w:webHidden/>
          </w:rPr>
        </w:r>
        <w:r>
          <w:rPr>
            <w:noProof/>
            <w:webHidden/>
          </w:rPr>
          <w:fldChar w:fldCharType="separate"/>
        </w:r>
        <w:r>
          <w:rPr>
            <w:noProof/>
            <w:webHidden/>
          </w:rPr>
          <w:t>4</w:t>
        </w:r>
        <w:r>
          <w:rPr>
            <w:noProof/>
            <w:webHidden/>
          </w:rPr>
          <w:fldChar w:fldCharType="end"/>
        </w:r>
      </w:hyperlink>
    </w:p>
    <w:p w14:paraId="7E0FEEB1" w14:textId="41D3C76C"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1" w:history="1">
        <w:r w:rsidRPr="00166F70">
          <w:rPr>
            <w:rStyle w:val="Hyperlink"/>
            <w:noProof/>
          </w:rPr>
          <w:t>Equipment &amp; Design</w:t>
        </w:r>
        <w:r>
          <w:rPr>
            <w:noProof/>
            <w:webHidden/>
          </w:rPr>
          <w:tab/>
        </w:r>
        <w:r>
          <w:rPr>
            <w:noProof/>
            <w:webHidden/>
          </w:rPr>
          <w:fldChar w:fldCharType="begin"/>
        </w:r>
        <w:r>
          <w:rPr>
            <w:noProof/>
            <w:webHidden/>
          </w:rPr>
          <w:instrText xml:space="preserve"> PAGEREF _Toc179797531 \h </w:instrText>
        </w:r>
        <w:r>
          <w:rPr>
            <w:noProof/>
            <w:webHidden/>
          </w:rPr>
        </w:r>
        <w:r>
          <w:rPr>
            <w:noProof/>
            <w:webHidden/>
          </w:rPr>
          <w:fldChar w:fldCharType="separate"/>
        </w:r>
        <w:r>
          <w:rPr>
            <w:noProof/>
            <w:webHidden/>
          </w:rPr>
          <w:t>5</w:t>
        </w:r>
        <w:r>
          <w:rPr>
            <w:noProof/>
            <w:webHidden/>
          </w:rPr>
          <w:fldChar w:fldCharType="end"/>
        </w:r>
      </w:hyperlink>
    </w:p>
    <w:p w14:paraId="4445007A" w14:textId="2A485932"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2" w:history="1">
        <w:r w:rsidRPr="00166F70">
          <w:rPr>
            <w:rStyle w:val="Hyperlink"/>
            <w:noProof/>
          </w:rPr>
          <w:t>Emission Limits</w:t>
        </w:r>
        <w:r>
          <w:rPr>
            <w:noProof/>
            <w:webHidden/>
          </w:rPr>
          <w:tab/>
        </w:r>
        <w:r>
          <w:rPr>
            <w:noProof/>
            <w:webHidden/>
          </w:rPr>
          <w:fldChar w:fldCharType="begin"/>
        </w:r>
        <w:r>
          <w:rPr>
            <w:noProof/>
            <w:webHidden/>
          </w:rPr>
          <w:instrText xml:space="preserve"> PAGEREF _Toc179797532 \h </w:instrText>
        </w:r>
        <w:r>
          <w:rPr>
            <w:noProof/>
            <w:webHidden/>
          </w:rPr>
        </w:r>
        <w:r>
          <w:rPr>
            <w:noProof/>
            <w:webHidden/>
          </w:rPr>
          <w:fldChar w:fldCharType="separate"/>
        </w:r>
        <w:r>
          <w:rPr>
            <w:noProof/>
            <w:webHidden/>
          </w:rPr>
          <w:t>5</w:t>
        </w:r>
        <w:r>
          <w:rPr>
            <w:noProof/>
            <w:webHidden/>
          </w:rPr>
          <w:fldChar w:fldCharType="end"/>
        </w:r>
      </w:hyperlink>
    </w:p>
    <w:p w14:paraId="26301739" w14:textId="54494614"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3" w:history="1">
        <w:r w:rsidRPr="00166F70">
          <w:rPr>
            <w:rStyle w:val="Hyperlink"/>
            <w:noProof/>
          </w:rPr>
          <w:t>Testing/Sampling</w:t>
        </w:r>
        <w:r>
          <w:rPr>
            <w:noProof/>
            <w:webHidden/>
          </w:rPr>
          <w:tab/>
        </w:r>
        <w:r>
          <w:rPr>
            <w:noProof/>
            <w:webHidden/>
          </w:rPr>
          <w:fldChar w:fldCharType="begin"/>
        </w:r>
        <w:r>
          <w:rPr>
            <w:noProof/>
            <w:webHidden/>
          </w:rPr>
          <w:instrText xml:space="preserve"> PAGEREF _Toc179797533 \h </w:instrText>
        </w:r>
        <w:r>
          <w:rPr>
            <w:noProof/>
            <w:webHidden/>
          </w:rPr>
        </w:r>
        <w:r>
          <w:rPr>
            <w:noProof/>
            <w:webHidden/>
          </w:rPr>
          <w:fldChar w:fldCharType="separate"/>
        </w:r>
        <w:r>
          <w:rPr>
            <w:noProof/>
            <w:webHidden/>
          </w:rPr>
          <w:t>5</w:t>
        </w:r>
        <w:r>
          <w:rPr>
            <w:noProof/>
            <w:webHidden/>
          </w:rPr>
          <w:fldChar w:fldCharType="end"/>
        </w:r>
      </w:hyperlink>
    </w:p>
    <w:p w14:paraId="1DF7A373" w14:textId="511EBB22"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4" w:history="1">
        <w:r w:rsidRPr="00166F70">
          <w:rPr>
            <w:rStyle w:val="Hyperlink"/>
            <w:noProof/>
          </w:rPr>
          <w:t>Monitoring/Recordkeeping</w:t>
        </w:r>
        <w:r>
          <w:rPr>
            <w:noProof/>
            <w:webHidden/>
          </w:rPr>
          <w:tab/>
        </w:r>
        <w:r>
          <w:rPr>
            <w:noProof/>
            <w:webHidden/>
          </w:rPr>
          <w:fldChar w:fldCharType="begin"/>
        </w:r>
        <w:r>
          <w:rPr>
            <w:noProof/>
            <w:webHidden/>
          </w:rPr>
          <w:instrText xml:space="preserve"> PAGEREF _Toc179797534 \h </w:instrText>
        </w:r>
        <w:r>
          <w:rPr>
            <w:noProof/>
            <w:webHidden/>
          </w:rPr>
        </w:r>
        <w:r>
          <w:rPr>
            <w:noProof/>
            <w:webHidden/>
          </w:rPr>
          <w:fldChar w:fldCharType="separate"/>
        </w:r>
        <w:r>
          <w:rPr>
            <w:noProof/>
            <w:webHidden/>
          </w:rPr>
          <w:t>6</w:t>
        </w:r>
        <w:r>
          <w:rPr>
            <w:noProof/>
            <w:webHidden/>
          </w:rPr>
          <w:fldChar w:fldCharType="end"/>
        </w:r>
      </w:hyperlink>
    </w:p>
    <w:p w14:paraId="40464007" w14:textId="30AA4B9F"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5" w:history="1">
        <w:r w:rsidRPr="00166F70">
          <w:rPr>
            <w:rStyle w:val="Hyperlink"/>
            <w:noProof/>
          </w:rPr>
          <w:t>Certification &amp; Reporting</w:t>
        </w:r>
        <w:r>
          <w:rPr>
            <w:noProof/>
            <w:webHidden/>
          </w:rPr>
          <w:tab/>
        </w:r>
        <w:r>
          <w:rPr>
            <w:noProof/>
            <w:webHidden/>
          </w:rPr>
          <w:fldChar w:fldCharType="begin"/>
        </w:r>
        <w:r>
          <w:rPr>
            <w:noProof/>
            <w:webHidden/>
          </w:rPr>
          <w:instrText xml:space="preserve"> PAGEREF _Toc179797535 \h </w:instrText>
        </w:r>
        <w:r>
          <w:rPr>
            <w:noProof/>
            <w:webHidden/>
          </w:rPr>
        </w:r>
        <w:r>
          <w:rPr>
            <w:noProof/>
            <w:webHidden/>
          </w:rPr>
          <w:fldChar w:fldCharType="separate"/>
        </w:r>
        <w:r>
          <w:rPr>
            <w:noProof/>
            <w:webHidden/>
          </w:rPr>
          <w:t>6</w:t>
        </w:r>
        <w:r>
          <w:rPr>
            <w:noProof/>
            <w:webHidden/>
          </w:rPr>
          <w:fldChar w:fldCharType="end"/>
        </w:r>
      </w:hyperlink>
    </w:p>
    <w:p w14:paraId="621330CC" w14:textId="16349A5E"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6" w:history="1">
        <w:r w:rsidRPr="00166F70">
          <w:rPr>
            <w:rStyle w:val="Hyperlink"/>
            <w:noProof/>
          </w:rPr>
          <w:t>Permit Shield</w:t>
        </w:r>
        <w:r>
          <w:rPr>
            <w:noProof/>
            <w:webHidden/>
          </w:rPr>
          <w:tab/>
        </w:r>
        <w:r>
          <w:rPr>
            <w:noProof/>
            <w:webHidden/>
          </w:rPr>
          <w:fldChar w:fldCharType="begin"/>
        </w:r>
        <w:r>
          <w:rPr>
            <w:noProof/>
            <w:webHidden/>
          </w:rPr>
          <w:instrText xml:space="preserve"> PAGEREF _Toc179797536 \h </w:instrText>
        </w:r>
        <w:r>
          <w:rPr>
            <w:noProof/>
            <w:webHidden/>
          </w:rPr>
        </w:r>
        <w:r>
          <w:rPr>
            <w:noProof/>
            <w:webHidden/>
          </w:rPr>
          <w:fldChar w:fldCharType="separate"/>
        </w:r>
        <w:r>
          <w:rPr>
            <w:noProof/>
            <w:webHidden/>
          </w:rPr>
          <w:t>7</w:t>
        </w:r>
        <w:r>
          <w:rPr>
            <w:noProof/>
            <w:webHidden/>
          </w:rPr>
          <w:fldChar w:fldCharType="end"/>
        </w:r>
      </w:hyperlink>
    </w:p>
    <w:p w14:paraId="1543DD4D" w14:textId="7860CCA6"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7" w:history="1">
        <w:r w:rsidRPr="00166F70">
          <w:rPr>
            <w:rStyle w:val="Hyperlink"/>
            <w:noProof/>
          </w:rPr>
          <w:t>Revisions</w:t>
        </w:r>
        <w:r>
          <w:rPr>
            <w:noProof/>
            <w:webHidden/>
          </w:rPr>
          <w:tab/>
        </w:r>
        <w:r>
          <w:rPr>
            <w:noProof/>
            <w:webHidden/>
          </w:rPr>
          <w:fldChar w:fldCharType="begin"/>
        </w:r>
        <w:r>
          <w:rPr>
            <w:noProof/>
            <w:webHidden/>
          </w:rPr>
          <w:instrText xml:space="preserve"> PAGEREF _Toc179797537 \h </w:instrText>
        </w:r>
        <w:r>
          <w:rPr>
            <w:noProof/>
            <w:webHidden/>
          </w:rPr>
        </w:r>
        <w:r>
          <w:rPr>
            <w:noProof/>
            <w:webHidden/>
          </w:rPr>
          <w:fldChar w:fldCharType="separate"/>
        </w:r>
        <w:r>
          <w:rPr>
            <w:noProof/>
            <w:webHidden/>
          </w:rPr>
          <w:t>8</w:t>
        </w:r>
        <w:r>
          <w:rPr>
            <w:noProof/>
            <w:webHidden/>
          </w:rPr>
          <w:fldChar w:fldCharType="end"/>
        </w:r>
      </w:hyperlink>
    </w:p>
    <w:p w14:paraId="678D889F" w14:textId="5D843F6A"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8" w:history="1">
        <w:r w:rsidRPr="00166F70">
          <w:rPr>
            <w:rStyle w:val="Hyperlink"/>
            <w:noProof/>
          </w:rPr>
          <w:t>Reopenings</w:t>
        </w:r>
        <w:r>
          <w:rPr>
            <w:noProof/>
            <w:webHidden/>
          </w:rPr>
          <w:tab/>
        </w:r>
        <w:r>
          <w:rPr>
            <w:noProof/>
            <w:webHidden/>
          </w:rPr>
          <w:fldChar w:fldCharType="begin"/>
        </w:r>
        <w:r>
          <w:rPr>
            <w:noProof/>
            <w:webHidden/>
          </w:rPr>
          <w:instrText xml:space="preserve"> PAGEREF _Toc179797538 \h </w:instrText>
        </w:r>
        <w:r>
          <w:rPr>
            <w:noProof/>
            <w:webHidden/>
          </w:rPr>
        </w:r>
        <w:r>
          <w:rPr>
            <w:noProof/>
            <w:webHidden/>
          </w:rPr>
          <w:fldChar w:fldCharType="separate"/>
        </w:r>
        <w:r>
          <w:rPr>
            <w:noProof/>
            <w:webHidden/>
          </w:rPr>
          <w:t>8</w:t>
        </w:r>
        <w:r>
          <w:rPr>
            <w:noProof/>
            <w:webHidden/>
          </w:rPr>
          <w:fldChar w:fldCharType="end"/>
        </w:r>
      </w:hyperlink>
    </w:p>
    <w:p w14:paraId="3BBF17B3" w14:textId="15FFE369"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39" w:history="1">
        <w:r w:rsidRPr="00166F70">
          <w:rPr>
            <w:rStyle w:val="Hyperlink"/>
            <w:noProof/>
          </w:rPr>
          <w:t>Renewals</w:t>
        </w:r>
        <w:r>
          <w:rPr>
            <w:noProof/>
            <w:webHidden/>
          </w:rPr>
          <w:tab/>
        </w:r>
        <w:r>
          <w:rPr>
            <w:noProof/>
            <w:webHidden/>
          </w:rPr>
          <w:fldChar w:fldCharType="begin"/>
        </w:r>
        <w:r>
          <w:rPr>
            <w:noProof/>
            <w:webHidden/>
          </w:rPr>
          <w:instrText xml:space="preserve"> PAGEREF _Toc179797539 \h </w:instrText>
        </w:r>
        <w:r>
          <w:rPr>
            <w:noProof/>
            <w:webHidden/>
          </w:rPr>
        </w:r>
        <w:r>
          <w:rPr>
            <w:noProof/>
            <w:webHidden/>
          </w:rPr>
          <w:fldChar w:fldCharType="separate"/>
        </w:r>
        <w:r>
          <w:rPr>
            <w:noProof/>
            <w:webHidden/>
          </w:rPr>
          <w:t>9</w:t>
        </w:r>
        <w:r>
          <w:rPr>
            <w:noProof/>
            <w:webHidden/>
          </w:rPr>
          <w:fldChar w:fldCharType="end"/>
        </w:r>
      </w:hyperlink>
    </w:p>
    <w:p w14:paraId="2CFD02FF" w14:textId="4C7A44F6"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40" w:history="1">
        <w:r w:rsidRPr="00166F70">
          <w:rPr>
            <w:rStyle w:val="Hyperlink"/>
            <w:bCs/>
            <w:noProof/>
          </w:rPr>
          <w:t>Stratospheric Ozone Protection</w:t>
        </w:r>
        <w:r>
          <w:rPr>
            <w:noProof/>
            <w:webHidden/>
          </w:rPr>
          <w:tab/>
        </w:r>
        <w:r>
          <w:rPr>
            <w:noProof/>
            <w:webHidden/>
          </w:rPr>
          <w:fldChar w:fldCharType="begin"/>
        </w:r>
        <w:r>
          <w:rPr>
            <w:noProof/>
            <w:webHidden/>
          </w:rPr>
          <w:instrText xml:space="preserve"> PAGEREF _Toc179797540 \h </w:instrText>
        </w:r>
        <w:r>
          <w:rPr>
            <w:noProof/>
            <w:webHidden/>
          </w:rPr>
        </w:r>
        <w:r>
          <w:rPr>
            <w:noProof/>
            <w:webHidden/>
          </w:rPr>
          <w:fldChar w:fldCharType="separate"/>
        </w:r>
        <w:r>
          <w:rPr>
            <w:noProof/>
            <w:webHidden/>
          </w:rPr>
          <w:t>9</w:t>
        </w:r>
        <w:r>
          <w:rPr>
            <w:noProof/>
            <w:webHidden/>
          </w:rPr>
          <w:fldChar w:fldCharType="end"/>
        </w:r>
      </w:hyperlink>
    </w:p>
    <w:p w14:paraId="0168C9BB" w14:textId="0DC6B09D"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41" w:history="1">
        <w:r w:rsidRPr="00166F70">
          <w:rPr>
            <w:rStyle w:val="Hyperlink"/>
            <w:bCs/>
            <w:noProof/>
          </w:rPr>
          <w:t>Risk Management Plan</w:t>
        </w:r>
        <w:r>
          <w:rPr>
            <w:noProof/>
            <w:webHidden/>
          </w:rPr>
          <w:tab/>
        </w:r>
        <w:r>
          <w:rPr>
            <w:noProof/>
            <w:webHidden/>
          </w:rPr>
          <w:fldChar w:fldCharType="begin"/>
        </w:r>
        <w:r>
          <w:rPr>
            <w:noProof/>
            <w:webHidden/>
          </w:rPr>
          <w:instrText xml:space="preserve"> PAGEREF _Toc179797541 \h </w:instrText>
        </w:r>
        <w:r>
          <w:rPr>
            <w:noProof/>
            <w:webHidden/>
          </w:rPr>
        </w:r>
        <w:r>
          <w:rPr>
            <w:noProof/>
            <w:webHidden/>
          </w:rPr>
          <w:fldChar w:fldCharType="separate"/>
        </w:r>
        <w:r>
          <w:rPr>
            <w:noProof/>
            <w:webHidden/>
          </w:rPr>
          <w:t>9</w:t>
        </w:r>
        <w:r>
          <w:rPr>
            <w:noProof/>
            <w:webHidden/>
          </w:rPr>
          <w:fldChar w:fldCharType="end"/>
        </w:r>
      </w:hyperlink>
    </w:p>
    <w:p w14:paraId="2C0FBD49" w14:textId="54C57E4F"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42" w:history="1">
        <w:r w:rsidRPr="00166F70">
          <w:rPr>
            <w:rStyle w:val="Hyperlink"/>
            <w:bCs/>
            <w:noProof/>
          </w:rPr>
          <w:t>Emission Trading</w:t>
        </w:r>
        <w:r>
          <w:rPr>
            <w:noProof/>
            <w:webHidden/>
          </w:rPr>
          <w:tab/>
        </w:r>
        <w:r>
          <w:rPr>
            <w:noProof/>
            <w:webHidden/>
          </w:rPr>
          <w:fldChar w:fldCharType="begin"/>
        </w:r>
        <w:r>
          <w:rPr>
            <w:noProof/>
            <w:webHidden/>
          </w:rPr>
          <w:instrText xml:space="preserve"> PAGEREF _Toc179797542 \h </w:instrText>
        </w:r>
        <w:r>
          <w:rPr>
            <w:noProof/>
            <w:webHidden/>
          </w:rPr>
        </w:r>
        <w:r>
          <w:rPr>
            <w:noProof/>
            <w:webHidden/>
          </w:rPr>
          <w:fldChar w:fldCharType="separate"/>
        </w:r>
        <w:r>
          <w:rPr>
            <w:noProof/>
            <w:webHidden/>
          </w:rPr>
          <w:t>9</w:t>
        </w:r>
        <w:r>
          <w:rPr>
            <w:noProof/>
            <w:webHidden/>
          </w:rPr>
          <w:fldChar w:fldCharType="end"/>
        </w:r>
      </w:hyperlink>
    </w:p>
    <w:p w14:paraId="72DD75C1" w14:textId="1F11A415"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43" w:history="1">
        <w:r w:rsidRPr="00166F70">
          <w:rPr>
            <w:rStyle w:val="Hyperlink"/>
            <w:bCs/>
            <w:noProof/>
          </w:rPr>
          <w:t>Permit to Install (PTI)</w:t>
        </w:r>
        <w:r>
          <w:rPr>
            <w:noProof/>
            <w:webHidden/>
          </w:rPr>
          <w:tab/>
        </w:r>
        <w:r>
          <w:rPr>
            <w:noProof/>
            <w:webHidden/>
          </w:rPr>
          <w:fldChar w:fldCharType="begin"/>
        </w:r>
        <w:r>
          <w:rPr>
            <w:noProof/>
            <w:webHidden/>
          </w:rPr>
          <w:instrText xml:space="preserve"> PAGEREF _Toc179797543 \h </w:instrText>
        </w:r>
        <w:r>
          <w:rPr>
            <w:noProof/>
            <w:webHidden/>
          </w:rPr>
        </w:r>
        <w:r>
          <w:rPr>
            <w:noProof/>
            <w:webHidden/>
          </w:rPr>
          <w:fldChar w:fldCharType="separate"/>
        </w:r>
        <w:r>
          <w:rPr>
            <w:noProof/>
            <w:webHidden/>
          </w:rPr>
          <w:t>10</w:t>
        </w:r>
        <w:r>
          <w:rPr>
            <w:noProof/>
            <w:webHidden/>
          </w:rPr>
          <w:fldChar w:fldCharType="end"/>
        </w:r>
      </w:hyperlink>
    </w:p>
    <w:p w14:paraId="34FB6975" w14:textId="4A789123" w:rsidR="00CF0172" w:rsidRDefault="00CF0172">
      <w:pPr>
        <w:pStyle w:val="TOC1"/>
        <w:rPr>
          <w:rFonts w:asciiTheme="minorHAnsi" w:eastAsiaTheme="minorEastAsia" w:hAnsiTheme="minorHAnsi" w:cstheme="minorBidi"/>
          <w:b w:val="0"/>
          <w:noProof/>
          <w:kern w:val="2"/>
          <w:sz w:val="24"/>
          <w:szCs w:val="24"/>
          <w14:ligatures w14:val="standardContextual"/>
        </w:rPr>
      </w:pPr>
      <w:hyperlink w:anchor="_Toc179797544" w:history="1">
        <w:r w:rsidRPr="00166F70">
          <w:rPr>
            <w:rStyle w:val="Hyperlink"/>
            <w:noProof/>
          </w:rPr>
          <w:t>B.  SOURCE-WIDE CONDITIONS</w:t>
        </w:r>
        <w:r>
          <w:rPr>
            <w:noProof/>
            <w:webHidden/>
          </w:rPr>
          <w:tab/>
        </w:r>
        <w:r>
          <w:rPr>
            <w:noProof/>
            <w:webHidden/>
          </w:rPr>
          <w:fldChar w:fldCharType="begin"/>
        </w:r>
        <w:r>
          <w:rPr>
            <w:noProof/>
            <w:webHidden/>
          </w:rPr>
          <w:instrText xml:space="preserve"> PAGEREF _Toc179797544 \h </w:instrText>
        </w:r>
        <w:r>
          <w:rPr>
            <w:noProof/>
            <w:webHidden/>
          </w:rPr>
        </w:r>
        <w:r>
          <w:rPr>
            <w:noProof/>
            <w:webHidden/>
          </w:rPr>
          <w:fldChar w:fldCharType="separate"/>
        </w:r>
        <w:r>
          <w:rPr>
            <w:noProof/>
            <w:webHidden/>
          </w:rPr>
          <w:t>11</w:t>
        </w:r>
        <w:r>
          <w:rPr>
            <w:noProof/>
            <w:webHidden/>
          </w:rPr>
          <w:fldChar w:fldCharType="end"/>
        </w:r>
      </w:hyperlink>
    </w:p>
    <w:p w14:paraId="2C0984CC" w14:textId="5F0C760D" w:rsidR="00CF0172" w:rsidRDefault="00CF0172">
      <w:pPr>
        <w:pStyle w:val="TOC1"/>
        <w:rPr>
          <w:rFonts w:asciiTheme="minorHAnsi" w:eastAsiaTheme="minorEastAsia" w:hAnsiTheme="minorHAnsi" w:cstheme="minorBidi"/>
          <w:b w:val="0"/>
          <w:noProof/>
          <w:kern w:val="2"/>
          <w:sz w:val="24"/>
          <w:szCs w:val="24"/>
          <w14:ligatures w14:val="standardContextual"/>
        </w:rPr>
      </w:pPr>
      <w:hyperlink w:anchor="_Toc179797545" w:history="1">
        <w:r w:rsidRPr="00166F70">
          <w:rPr>
            <w:rStyle w:val="Hyperlink"/>
            <w:noProof/>
          </w:rPr>
          <w:t>C.  EMISSION UNIT SPECIAL CONDITIONS</w:t>
        </w:r>
        <w:r>
          <w:rPr>
            <w:noProof/>
            <w:webHidden/>
          </w:rPr>
          <w:tab/>
        </w:r>
        <w:r>
          <w:rPr>
            <w:noProof/>
            <w:webHidden/>
          </w:rPr>
          <w:fldChar w:fldCharType="begin"/>
        </w:r>
        <w:r>
          <w:rPr>
            <w:noProof/>
            <w:webHidden/>
          </w:rPr>
          <w:instrText xml:space="preserve"> PAGEREF _Toc179797545 \h </w:instrText>
        </w:r>
        <w:r>
          <w:rPr>
            <w:noProof/>
            <w:webHidden/>
          </w:rPr>
        </w:r>
        <w:r>
          <w:rPr>
            <w:noProof/>
            <w:webHidden/>
          </w:rPr>
          <w:fldChar w:fldCharType="separate"/>
        </w:r>
        <w:r>
          <w:rPr>
            <w:noProof/>
            <w:webHidden/>
          </w:rPr>
          <w:t>12</w:t>
        </w:r>
        <w:r>
          <w:rPr>
            <w:noProof/>
            <w:webHidden/>
          </w:rPr>
          <w:fldChar w:fldCharType="end"/>
        </w:r>
      </w:hyperlink>
    </w:p>
    <w:p w14:paraId="0438510B" w14:textId="6B0A446A"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46" w:history="1">
        <w:r w:rsidRPr="00166F70">
          <w:rPr>
            <w:rStyle w:val="Hyperlink"/>
            <w:noProof/>
          </w:rPr>
          <w:t>EMISSION UNIT SUMMARY TABLE</w:t>
        </w:r>
        <w:r>
          <w:rPr>
            <w:noProof/>
            <w:webHidden/>
          </w:rPr>
          <w:tab/>
        </w:r>
        <w:r>
          <w:rPr>
            <w:noProof/>
            <w:webHidden/>
          </w:rPr>
          <w:fldChar w:fldCharType="begin"/>
        </w:r>
        <w:r>
          <w:rPr>
            <w:noProof/>
            <w:webHidden/>
          </w:rPr>
          <w:instrText xml:space="preserve"> PAGEREF _Toc179797546 \h </w:instrText>
        </w:r>
        <w:r>
          <w:rPr>
            <w:noProof/>
            <w:webHidden/>
          </w:rPr>
        </w:r>
        <w:r>
          <w:rPr>
            <w:noProof/>
            <w:webHidden/>
          </w:rPr>
          <w:fldChar w:fldCharType="separate"/>
        </w:r>
        <w:r>
          <w:rPr>
            <w:noProof/>
            <w:webHidden/>
          </w:rPr>
          <w:t>12</w:t>
        </w:r>
        <w:r>
          <w:rPr>
            <w:noProof/>
            <w:webHidden/>
          </w:rPr>
          <w:fldChar w:fldCharType="end"/>
        </w:r>
      </w:hyperlink>
    </w:p>
    <w:p w14:paraId="7F89B8AE" w14:textId="0A25A840" w:rsidR="00CF0172" w:rsidRDefault="00CF0172">
      <w:pPr>
        <w:pStyle w:val="TOC1"/>
        <w:rPr>
          <w:rFonts w:asciiTheme="minorHAnsi" w:eastAsiaTheme="minorEastAsia" w:hAnsiTheme="minorHAnsi" w:cstheme="minorBidi"/>
          <w:b w:val="0"/>
          <w:noProof/>
          <w:kern w:val="2"/>
          <w:sz w:val="24"/>
          <w:szCs w:val="24"/>
          <w14:ligatures w14:val="standardContextual"/>
        </w:rPr>
      </w:pPr>
      <w:hyperlink w:anchor="_Toc179797547" w:history="1">
        <w:r w:rsidRPr="00166F70">
          <w:rPr>
            <w:rStyle w:val="Hyperlink"/>
            <w:noProof/>
          </w:rPr>
          <w:t>D.  FLEXIBLE GROUP SPECIAL CONDITIONS</w:t>
        </w:r>
        <w:r>
          <w:rPr>
            <w:noProof/>
            <w:webHidden/>
          </w:rPr>
          <w:tab/>
        </w:r>
        <w:r>
          <w:rPr>
            <w:noProof/>
            <w:webHidden/>
          </w:rPr>
          <w:fldChar w:fldCharType="begin"/>
        </w:r>
        <w:r>
          <w:rPr>
            <w:noProof/>
            <w:webHidden/>
          </w:rPr>
          <w:instrText xml:space="preserve"> PAGEREF _Toc179797547 \h </w:instrText>
        </w:r>
        <w:r>
          <w:rPr>
            <w:noProof/>
            <w:webHidden/>
          </w:rPr>
        </w:r>
        <w:r>
          <w:rPr>
            <w:noProof/>
            <w:webHidden/>
          </w:rPr>
          <w:fldChar w:fldCharType="separate"/>
        </w:r>
        <w:r>
          <w:rPr>
            <w:noProof/>
            <w:webHidden/>
          </w:rPr>
          <w:t>13</w:t>
        </w:r>
        <w:r>
          <w:rPr>
            <w:noProof/>
            <w:webHidden/>
          </w:rPr>
          <w:fldChar w:fldCharType="end"/>
        </w:r>
      </w:hyperlink>
    </w:p>
    <w:p w14:paraId="617EF96C" w14:textId="15D14994"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48" w:history="1">
        <w:r w:rsidRPr="00166F70">
          <w:rPr>
            <w:rStyle w:val="Hyperlink"/>
            <w:bCs/>
            <w:noProof/>
          </w:rPr>
          <w:t>FLEXIBLE GROUP SUMMARY TABLE</w:t>
        </w:r>
        <w:r>
          <w:rPr>
            <w:noProof/>
            <w:webHidden/>
          </w:rPr>
          <w:tab/>
        </w:r>
        <w:r>
          <w:rPr>
            <w:noProof/>
            <w:webHidden/>
          </w:rPr>
          <w:fldChar w:fldCharType="begin"/>
        </w:r>
        <w:r>
          <w:rPr>
            <w:noProof/>
            <w:webHidden/>
          </w:rPr>
          <w:instrText xml:space="preserve"> PAGEREF _Toc179797548 \h </w:instrText>
        </w:r>
        <w:r>
          <w:rPr>
            <w:noProof/>
            <w:webHidden/>
          </w:rPr>
        </w:r>
        <w:r>
          <w:rPr>
            <w:noProof/>
            <w:webHidden/>
          </w:rPr>
          <w:fldChar w:fldCharType="separate"/>
        </w:r>
        <w:r>
          <w:rPr>
            <w:noProof/>
            <w:webHidden/>
          </w:rPr>
          <w:t>13</w:t>
        </w:r>
        <w:r>
          <w:rPr>
            <w:noProof/>
            <w:webHidden/>
          </w:rPr>
          <w:fldChar w:fldCharType="end"/>
        </w:r>
      </w:hyperlink>
    </w:p>
    <w:p w14:paraId="5F339B25" w14:textId="333505C9"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49" w:history="1">
        <w:r w:rsidRPr="00166F70">
          <w:rPr>
            <w:rStyle w:val="Hyperlink"/>
            <w:bCs/>
            <w:iCs/>
            <w:noProof/>
          </w:rPr>
          <w:t>FGAVONS</w:t>
        </w:r>
        <w:r>
          <w:rPr>
            <w:noProof/>
            <w:webHidden/>
          </w:rPr>
          <w:tab/>
        </w:r>
        <w:r>
          <w:rPr>
            <w:noProof/>
            <w:webHidden/>
          </w:rPr>
          <w:fldChar w:fldCharType="begin"/>
        </w:r>
        <w:r>
          <w:rPr>
            <w:noProof/>
            <w:webHidden/>
          </w:rPr>
          <w:instrText xml:space="preserve"> PAGEREF _Toc179797549 \h </w:instrText>
        </w:r>
        <w:r>
          <w:rPr>
            <w:noProof/>
            <w:webHidden/>
          </w:rPr>
        </w:r>
        <w:r>
          <w:rPr>
            <w:noProof/>
            <w:webHidden/>
          </w:rPr>
          <w:fldChar w:fldCharType="separate"/>
        </w:r>
        <w:r>
          <w:rPr>
            <w:noProof/>
            <w:webHidden/>
          </w:rPr>
          <w:t>14</w:t>
        </w:r>
        <w:r>
          <w:rPr>
            <w:noProof/>
            <w:webHidden/>
          </w:rPr>
          <w:fldChar w:fldCharType="end"/>
        </w:r>
      </w:hyperlink>
    </w:p>
    <w:p w14:paraId="59D3BE65" w14:textId="6B2F3EBC"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50" w:history="1">
        <w:r w:rsidRPr="00166F70">
          <w:rPr>
            <w:rStyle w:val="Hyperlink"/>
            <w:bCs/>
            <w:iCs/>
            <w:noProof/>
          </w:rPr>
          <w:t>FGMACTZZZZ</w:t>
        </w:r>
        <w:r w:rsidRPr="00166F70">
          <w:rPr>
            <w:rStyle w:val="Hyperlink"/>
            <w:rFonts w:cs="Arial"/>
            <w:bCs/>
            <w:iCs/>
            <w:noProof/>
          </w:rPr>
          <w:t>≤</w:t>
        </w:r>
        <w:r w:rsidRPr="00166F70">
          <w:rPr>
            <w:rStyle w:val="Hyperlink"/>
            <w:bCs/>
            <w:iCs/>
            <w:noProof/>
          </w:rPr>
          <w:t>500</w:t>
        </w:r>
        <w:r>
          <w:rPr>
            <w:noProof/>
            <w:webHidden/>
          </w:rPr>
          <w:tab/>
        </w:r>
        <w:r>
          <w:rPr>
            <w:noProof/>
            <w:webHidden/>
          </w:rPr>
          <w:fldChar w:fldCharType="begin"/>
        </w:r>
        <w:r>
          <w:rPr>
            <w:noProof/>
            <w:webHidden/>
          </w:rPr>
          <w:instrText xml:space="preserve"> PAGEREF _Toc179797550 \h </w:instrText>
        </w:r>
        <w:r>
          <w:rPr>
            <w:noProof/>
            <w:webHidden/>
          </w:rPr>
        </w:r>
        <w:r>
          <w:rPr>
            <w:noProof/>
            <w:webHidden/>
          </w:rPr>
          <w:fldChar w:fldCharType="separate"/>
        </w:r>
        <w:r>
          <w:rPr>
            <w:noProof/>
            <w:webHidden/>
          </w:rPr>
          <w:t>17</w:t>
        </w:r>
        <w:r>
          <w:rPr>
            <w:noProof/>
            <w:webHidden/>
          </w:rPr>
          <w:fldChar w:fldCharType="end"/>
        </w:r>
      </w:hyperlink>
    </w:p>
    <w:p w14:paraId="2B3C0E5F" w14:textId="0CB780B4"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51" w:history="1">
        <w:r w:rsidRPr="00166F70">
          <w:rPr>
            <w:rStyle w:val="Hyperlink"/>
            <w:noProof/>
          </w:rPr>
          <w:t>FGRULE285(2)(mm)</w:t>
        </w:r>
        <w:r>
          <w:rPr>
            <w:noProof/>
            <w:webHidden/>
          </w:rPr>
          <w:tab/>
        </w:r>
        <w:r>
          <w:rPr>
            <w:noProof/>
            <w:webHidden/>
          </w:rPr>
          <w:fldChar w:fldCharType="begin"/>
        </w:r>
        <w:r>
          <w:rPr>
            <w:noProof/>
            <w:webHidden/>
          </w:rPr>
          <w:instrText xml:space="preserve"> PAGEREF _Toc179797551 \h </w:instrText>
        </w:r>
        <w:r>
          <w:rPr>
            <w:noProof/>
            <w:webHidden/>
          </w:rPr>
        </w:r>
        <w:r>
          <w:rPr>
            <w:noProof/>
            <w:webHidden/>
          </w:rPr>
          <w:fldChar w:fldCharType="separate"/>
        </w:r>
        <w:r>
          <w:rPr>
            <w:noProof/>
            <w:webHidden/>
          </w:rPr>
          <w:t>21</w:t>
        </w:r>
        <w:r>
          <w:rPr>
            <w:noProof/>
            <w:webHidden/>
          </w:rPr>
          <w:fldChar w:fldCharType="end"/>
        </w:r>
      </w:hyperlink>
    </w:p>
    <w:p w14:paraId="3A0018A5" w14:textId="0A8A13A8" w:rsidR="00CF0172" w:rsidRDefault="00CF0172">
      <w:pPr>
        <w:pStyle w:val="TOC1"/>
        <w:rPr>
          <w:rFonts w:asciiTheme="minorHAnsi" w:eastAsiaTheme="minorEastAsia" w:hAnsiTheme="minorHAnsi" w:cstheme="minorBidi"/>
          <w:b w:val="0"/>
          <w:noProof/>
          <w:kern w:val="2"/>
          <w:sz w:val="24"/>
          <w:szCs w:val="24"/>
          <w14:ligatures w14:val="standardContextual"/>
        </w:rPr>
      </w:pPr>
      <w:hyperlink w:anchor="_Toc179797552" w:history="1">
        <w:r w:rsidRPr="00166F70">
          <w:rPr>
            <w:rStyle w:val="Hyperlink"/>
            <w:noProof/>
          </w:rPr>
          <w:t>E.  NON-APPLICABLE REQUIREMENTS</w:t>
        </w:r>
        <w:r>
          <w:rPr>
            <w:noProof/>
            <w:webHidden/>
          </w:rPr>
          <w:tab/>
        </w:r>
        <w:r>
          <w:rPr>
            <w:noProof/>
            <w:webHidden/>
          </w:rPr>
          <w:fldChar w:fldCharType="begin"/>
        </w:r>
        <w:r>
          <w:rPr>
            <w:noProof/>
            <w:webHidden/>
          </w:rPr>
          <w:instrText xml:space="preserve"> PAGEREF _Toc179797552 \h </w:instrText>
        </w:r>
        <w:r>
          <w:rPr>
            <w:noProof/>
            <w:webHidden/>
          </w:rPr>
        </w:r>
        <w:r>
          <w:rPr>
            <w:noProof/>
            <w:webHidden/>
          </w:rPr>
          <w:fldChar w:fldCharType="separate"/>
        </w:r>
        <w:r>
          <w:rPr>
            <w:noProof/>
            <w:webHidden/>
          </w:rPr>
          <w:t>23</w:t>
        </w:r>
        <w:r>
          <w:rPr>
            <w:noProof/>
            <w:webHidden/>
          </w:rPr>
          <w:fldChar w:fldCharType="end"/>
        </w:r>
      </w:hyperlink>
    </w:p>
    <w:p w14:paraId="30BE4C62" w14:textId="787AA630" w:rsidR="00CF0172" w:rsidRDefault="00CF0172">
      <w:pPr>
        <w:pStyle w:val="TOC1"/>
        <w:rPr>
          <w:rFonts w:asciiTheme="minorHAnsi" w:eastAsiaTheme="minorEastAsia" w:hAnsiTheme="minorHAnsi" w:cstheme="minorBidi"/>
          <w:b w:val="0"/>
          <w:noProof/>
          <w:kern w:val="2"/>
          <w:sz w:val="24"/>
          <w:szCs w:val="24"/>
          <w14:ligatures w14:val="standardContextual"/>
        </w:rPr>
      </w:pPr>
      <w:hyperlink w:anchor="_Toc179797553" w:history="1">
        <w:r w:rsidRPr="00166F70">
          <w:rPr>
            <w:rStyle w:val="Hyperlink"/>
            <w:noProof/>
            <w:kern w:val="28"/>
          </w:rPr>
          <w:t>APPENDICES</w:t>
        </w:r>
        <w:r>
          <w:rPr>
            <w:noProof/>
            <w:webHidden/>
          </w:rPr>
          <w:tab/>
        </w:r>
        <w:r>
          <w:rPr>
            <w:noProof/>
            <w:webHidden/>
          </w:rPr>
          <w:fldChar w:fldCharType="begin"/>
        </w:r>
        <w:r>
          <w:rPr>
            <w:noProof/>
            <w:webHidden/>
          </w:rPr>
          <w:instrText xml:space="preserve"> PAGEREF _Toc179797553 \h </w:instrText>
        </w:r>
        <w:r>
          <w:rPr>
            <w:noProof/>
            <w:webHidden/>
          </w:rPr>
        </w:r>
        <w:r>
          <w:rPr>
            <w:noProof/>
            <w:webHidden/>
          </w:rPr>
          <w:fldChar w:fldCharType="separate"/>
        </w:r>
        <w:r>
          <w:rPr>
            <w:noProof/>
            <w:webHidden/>
          </w:rPr>
          <w:t>24</w:t>
        </w:r>
        <w:r>
          <w:rPr>
            <w:noProof/>
            <w:webHidden/>
          </w:rPr>
          <w:fldChar w:fldCharType="end"/>
        </w:r>
      </w:hyperlink>
    </w:p>
    <w:p w14:paraId="0F85084C" w14:textId="5824E00B"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54" w:history="1">
        <w:r w:rsidRPr="00166F70">
          <w:rPr>
            <w:rStyle w:val="Hyperlink"/>
            <w:noProof/>
          </w:rPr>
          <w:t>Appendix 1.  Acronyms and Abbreviations</w:t>
        </w:r>
        <w:r>
          <w:rPr>
            <w:noProof/>
            <w:webHidden/>
          </w:rPr>
          <w:tab/>
        </w:r>
        <w:r>
          <w:rPr>
            <w:noProof/>
            <w:webHidden/>
          </w:rPr>
          <w:fldChar w:fldCharType="begin"/>
        </w:r>
        <w:r>
          <w:rPr>
            <w:noProof/>
            <w:webHidden/>
          </w:rPr>
          <w:instrText xml:space="preserve"> PAGEREF _Toc179797554 \h </w:instrText>
        </w:r>
        <w:r>
          <w:rPr>
            <w:noProof/>
            <w:webHidden/>
          </w:rPr>
        </w:r>
        <w:r>
          <w:rPr>
            <w:noProof/>
            <w:webHidden/>
          </w:rPr>
          <w:fldChar w:fldCharType="separate"/>
        </w:r>
        <w:r>
          <w:rPr>
            <w:noProof/>
            <w:webHidden/>
          </w:rPr>
          <w:t>24</w:t>
        </w:r>
        <w:r>
          <w:rPr>
            <w:noProof/>
            <w:webHidden/>
          </w:rPr>
          <w:fldChar w:fldCharType="end"/>
        </w:r>
      </w:hyperlink>
    </w:p>
    <w:p w14:paraId="7D9C0407" w14:textId="11FF328A"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55" w:history="1">
        <w:r w:rsidRPr="00166F70">
          <w:rPr>
            <w:rStyle w:val="Hyperlink"/>
            <w:bCs/>
            <w:noProof/>
          </w:rPr>
          <w:t>Appendix 2.  Schedule of Compliance</w:t>
        </w:r>
        <w:r>
          <w:rPr>
            <w:noProof/>
            <w:webHidden/>
          </w:rPr>
          <w:tab/>
        </w:r>
        <w:r>
          <w:rPr>
            <w:noProof/>
            <w:webHidden/>
          </w:rPr>
          <w:fldChar w:fldCharType="begin"/>
        </w:r>
        <w:r>
          <w:rPr>
            <w:noProof/>
            <w:webHidden/>
          </w:rPr>
          <w:instrText xml:space="preserve"> PAGEREF _Toc179797555 \h </w:instrText>
        </w:r>
        <w:r>
          <w:rPr>
            <w:noProof/>
            <w:webHidden/>
          </w:rPr>
        </w:r>
        <w:r>
          <w:rPr>
            <w:noProof/>
            <w:webHidden/>
          </w:rPr>
          <w:fldChar w:fldCharType="separate"/>
        </w:r>
        <w:r>
          <w:rPr>
            <w:noProof/>
            <w:webHidden/>
          </w:rPr>
          <w:t>25</w:t>
        </w:r>
        <w:r>
          <w:rPr>
            <w:noProof/>
            <w:webHidden/>
          </w:rPr>
          <w:fldChar w:fldCharType="end"/>
        </w:r>
      </w:hyperlink>
    </w:p>
    <w:p w14:paraId="65537820" w14:textId="0A856C72"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56" w:history="1">
        <w:r w:rsidRPr="00166F70">
          <w:rPr>
            <w:rStyle w:val="Hyperlink"/>
            <w:noProof/>
          </w:rPr>
          <w:t>Appendix 3.  Monitoring Requirements</w:t>
        </w:r>
        <w:r>
          <w:rPr>
            <w:noProof/>
            <w:webHidden/>
          </w:rPr>
          <w:tab/>
        </w:r>
        <w:r>
          <w:rPr>
            <w:noProof/>
            <w:webHidden/>
          </w:rPr>
          <w:fldChar w:fldCharType="begin"/>
        </w:r>
        <w:r>
          <w:rPr>
            <w:noProof/>
            <w:webHidden/>
          </w:rPr>
          <w:instrText xml:space="preserve"> PAGEREF _Toc179797556 \h </w:instrText>
        </w:r>
        <w:r>
          <w:rPr>
            <w:noProof/>
            <w:webHidden/>
          </w:rPr>
        </w:r>
        <w:r>
          <w:rPr>
            <w:noProof/>
            <w:webHidden/>
          </w:rPr>
          <w:fldChar w:fldCharType="separate"/>
        </w:r>
        <w:r>
          <w:rPr>
            <w:noProof/>
            <w:webHidden/>
          </w:rPr>
          <w:t>25</w:t>
        </w:r>
        <w:r>
          <w:rPr>
            <w:noProof/>
            <w:webHidden/>
          </w:rPr>
          <w:fldChar w:fldCharType="end"/>
        </w:r>
      </w:hyperlink>
    </w:p>
    <w:p w14:paraId="4E345FEE" w14:textId="5B10413A"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57" w:history="1">
        <w:r w:rsidRPr="00166F70">
          <w:rPr>
            <w:rStyle w:val="Hyperlink"/>
            <w:noProof/>
          </w:rPr>
          <w:t>Appendix 4.  Recordkeeping</w:t>
        </w:r>
        <w:r>
          <w:rPr>
            <w:noProof/>
            <w:webHidden/>
          </w:rPr>
          <w:tab/>
        </w:r>
        <w:r>
          <w:rPr>
            <w:noProof/>
            <w:webHidden/>
          </w:rPr>
          <w:fldChar w:fldCharType="begin"/>
        </w:r>
        <w:r>
          <w:rPr>
            <w:noProof/>
            <w:webHidden/>
          </w:rPr>
          <w:instrText xml:space="preserve"> PAGEREF _Toc179797557 \h </w:instrText>
        </w:r>
        <w:r>
          <w:rPr>
            <w:noProof/>
            <w:webHidden/>
          </w:rPr>
        </w:r>
        <w:r>
          <w:rPr>
            <w:noProof/>
            <w:webHidden/>
          </w:rPr>
          <w:fldChar w:fldCharType="separate"/>
        </w:r>
        <w:r>
          <w:rPr>
            <w:noProof/>
            <w:webHidden/>
          </w:rPr>
          <w:t>25</w:t>
        </w:r>
        <w:r>
          <w:rPr>
            <w:noProof/>
            <w:webHidden/>
          </w:rPr>
          <w:fldChar w:fldCharType="end"/>
        </w:r>
      </w:hyperlink>
    </w:p>
    <w:p w14:paraId="4A511469" w14:textId="507A097F"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58" w:history="1">
        <w:r w:rsidRPr="00166F70">
          <w:rPr>
            <w:rStyle w:val="Hyperlink"/>
            <w:noProof/>
          </w:rPr>
          <w:t>Appendix 5.  Testing Procedures</w:t>
        </w:r>
        <w:r>
          <w:rPr>
            <w:noProof/>
            <w:webHidden/>
          </w:rPr>
          <w:tab/>
        </w:r>
        <w:r>
          <w:rPr>
            <w:noProof/>
            <w:webHidden/>
          </w:rPr>
          <w:fldChar w:fldCharType="begin"/>
        </w:r>
        <w:r>
          <w:rPr>
            <w:noProof/>
            <w:webHidden/>
          </w:rPr>
          <w:instrText xml:space="preserve"> PAGEREF _Toc179797558 \h </w:instrText>
        </w:r>
        <w:r>
          <w:rPr>
            <w:noProof/>
            <w:webHidden/>
          </w:rPr>
        </w:r>
        <w:r>
          <w:rPr>
            <w:noProof/>
            <w:webHidden/>
          </w:rPr>
          <w:fldChar w:fldCharType="separate"/>
        </w:r>
        <w:r>
          <w:rPr>
            <w:noProof/>
            <w:webHidden/>
          </w:rPr>
          <w:t>25</w:t>
        </w:r>
        <w:r>
          <w:rPr>
            <w:noProof/>
            <w:webHidden/>
          </w:rPr>
          <w:fldChar w:fldCharType="end"/>
        </w:r>
      </w:hyperlink>
    </w:p>
    <w:p w14:paraId="2388F004" w14:textId="738AB4A0"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59" w:history="1">
        <w:r w:rsidRPr="00166F70">
          <w:rPr>
            <w:rStyle w:val="Hyperlink"/>
            <w:noProof/>
          </w:rPr>
          <w:t>Appendix 6.  Permits to Install</w:t>
        </w:r>
        <w:r>
          <w:rPr>
            <w:noProof/>
            <w:webHidden/>
          </w:rPr>
          <w:tab/>
        </w:r>
        <w:r>
          <w:rPr>
            <w:noProof/>
            <w:webHidden/>
          </w:rPr>
          <w:fldChar w:fldCharType="begin"/>
        </w:r>
        <w:r>
          <w:rPr>
            <w:noProof/>
            <w:webHidden/>
          </w:rPr>
          <w:instrText xml:space="preserve"> PAGEREF _Toc179797559 \h </w:instrText>
        </w:r>
        <w:r>
          <w:rPr>
            <w:noProof/>
            <w:webHidden/>
          </w:rPr>
        </w:r>
        <w:r>
          <w:rPr>
            <w:noProof/>
            <w:webHidden/>
          </w:rPr>
          <w:fldChar w:fldCharType="separate"/>
        </w:r>
        <w:r>
          <w:rPr>
            <w:noProof/>
            <w:webHidden/>
          </w:rPr>
          <w:t>25</w:t>
        </w:r>
        <w:r>
          <w:rPr>
            <w:noProof/>
            <w:webHidden/>
          </w:rPr>
          <w:fldChar w:fldCharType="end"/>
        </w:r>
      </w:hyperlink>
    </w:p>
    <w:p w14:paraId="576C8432" w14:textId="7AEF53BE"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60" w:history="1">
        <w:r w:rsidRPr="00166F70">
          <w:rPr>
            <w:rStyle w:val="Hyperlink"/>
            <w:noProof/>
          </w:rPr>
          <w:t>Appendix 7.  Emission Calculations</w:t>
        </w:r>
        <w:r>
          <w:rPr>
            <w:noProof/>
            <w:webHidden/>
          </w:rPr>
          <w:tab/>
        </w:r>
        <w:r>
          <w:rPr>
            <w:noProof/>
            <w:webHidden/>
          </w:rPr>
          <w:fldChar w:fldCharType="begin"/>
        </w:r>
        <w:r>
          <w:rPr>
            <w:noProof/>
            <w:webHidden/>
          </w:rPr>
          <w:instrText xml:space="preserve"> PAGEREF _Toc179797560 \h </w:instrText>
        </w:r>
        <w:r>
          <w:rPr>
            <w:noProof/>
            <w:webHidden/>
          </w:rPr>
        </w:r>
        <w:r>
          <w:rPr>
            <w:noProof/>
            <w:webHidden/>
          </w:rPr>
          <w:fldChar w:fldCharType="separate"/>
        </w:r>
        <w:r>
          <w:rPr>
            <w:noProof/>
            <w:webHidden/>
          </w:rPr>
          <w:t>25</w:t>
        </w:r>
        <w:r>
          <w:rPr>
            <w:noProof/>
            <w:webHidden/>
          </w:rPr>
          <w:fldChar w:fldCharType="end"/>
        </w:r>
      </w:hyperlink>
    </w:p>
    <w:p w14:paraId="79185B96" w14:textId="2B21671E" w:rsidR="00CF0172" w:rsidRDefault="00CF0172">
      <w:pPr>
        <w:pStyle w:val="TOC2"/>
        <w:rPr>
          <w:rFonts w:asciiTheme="minorHAnsi" w:eastAsiaTheme="minorEastAsia" w:hAnsiTheme="minorHAnsi" w:cstheme="minorBidi"/>
          <w:noProof/>
          <w:kern w:val="2"/>
          <w:sz w:val="24"/>
          <w:szCs w:val="24"/>
          <w14:ligatures w14:val="standardContextual"/>
        </w:rPr>
      </w:pPr>
      <w:hyperlink w:anchor="_Toc179797561" w:history="1">
        <w:r w:rsidRPr="00166F70">
          <w:rPr>
            <w:rStyle w:val="Hyperlink"/>
            <w:noProof/>
          </w:rPr>
          <w:t>Appendix 8.  Reporting</w:t>
        </w:r>
        <w:r>
          <w:rPr>
            <w:noProof/>
            <w:webHidden/>
          </w:rPr>
          <w:tab/>
        </w:r>
        <w:r>
          <w:rPr>
            <w:noProof/>
            <w:webHidden/>
          </w:rPr>
          <w:fldChar w:fldCharType="begin"/>
        </w:r>
        <w:r>
          <w:rPr>
            <w:noProof/>
            <w:webHidden/>
          </w:rPr>
          <w:instrText xml:space="preserve"> PAGEREF _Toc179797561 \h </w:instrText>
        </w:r>
        <w:r>
          <w:rPr>
            <w:noProof/>
            <w:webHidden/>
          </w:rPr>
        </w:r>
        <w:r>
          <w:rPr>
            <w:noProof/>
            <w:webHidden/>
          </w:rPr>
          <w:fldChar w:fldCharType="separate"/>
        </w:r>
        <w:r>
          <w:rPr>
            <w:noProof/>
            <w:webHidden/>
          </w:rPr>
          <w:t>25</w:t>
        </w:r>
        <w:r>
          <w:rPr>
            <w:noProof/>
            <w:webHidden/>
          </w:rPr>
          <w:fldChar w:fldCharType="end"/>
        </w:r>
      </w:hyperlink>
    </w:p>
    <w:p w14:paraId="15629178" w14:textId="367E7923" w:rsidR="00AB2375" w:rsidRPr="006A1190" w:rsidRDefault="0053776A" w:rsidP="002F4C64">
      <w:pPr>
        <w:rPr>
          <w:szCs w:val="22"/>
        </w:rPr>
      </w:pPr>
      <w:r>
        <w:rPr>
          <w:b/>
          <w:szCs w:val="22"/>
        </w:rPr>
        <w:fldChar w:fldCharType="end"/>
      </w:r>
    </w:p>
    <w:p w14:paraId="01736A3C" w14:textId="77777777" w:rsidR="00FA25C4" w:rsidRDefault="00C2618F" w:rsidP="00445C28">
      <w:r>
        <w:br w:type="page"/>
      </w:r>
      <w:bookmarkStart w:id="14" w:name="_Toc1453501"/>
    </w:p>
    <w:p w14:paraId="43BF37C5" w14:textId="77777777" w:rsidR="00FA25C4" w:rsidRDefault="00C2618F" w:rsidP="009E772C">
      <w:pPr>
        <w:pStyle w:val="Heading1"/>
        <w:rPr>
          <w:szCs w:val="22"/>
        </w:rPr>
      </w:pPr>
      <w:bookmarkStart w:id="15" w:name="_Toc179797527"/>
      <w:r w:rsidRPr="00961169">
        <w:lastRenderedPageBreak/>
        <w:t>A</w:t>
      </w:r>
      <w:r>
        <w:t>UTHORITY AND ENFORCEABILITY</w:t>
      </w:r>
      <w:bookmarkEnd w:id="14"/>
      <w:bookmarkEnd w:id="15"/>
    </w:p>
    <w:p w14:paraId="19CB4E59" w14:textId="77777777" w:rsidR="007718C6" w:rsidRDefault="007718C6" w:rsidP="00C2618F">
      <w:pPr>
        <w:jc w:val="both"/>
        <w:rPr>
          <w:szCs w:val="22"/>
        </w:rPr>
      </w:pPr>
    </w:p>
    <w:p w14:paraId="278959BE"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B448458" w14:textId="77777777" w:rsidR="00C2618F" w:rsidRPr="006A1190" w:rsidRDefault="00C2618F" w:rsidP="00C2618F">
      <w:pPr>
        <w:jc w:val="both"/>
        <w:rPr>
          <w:szCs w:val="22"/>
        </w:rPr>
      </w:pPr>
    </w:p>
    <w:p w14:paraId="6E961841"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F2D7239" w14:textId="77777777" w:rsidR="00C2618F" w:rsidRDefault="00C2618F" w:rsidP="00C2618F">
      <w:pPr>
        <w:jc w:val="both"/>
        <w:rPr>
          <w:szCs w:val="22"/>
        </w:rPr>
      </w:pPr>
    </w:p>
    <w:p w14:paraId="5D83AAE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F3F6018" w14:textId="77777777" w:rsidR="00C2618F" w:rsidRDefault="00C2618F" w:rsidP="00C2618F">
      <w:pPr>
        <w:jc w:val="both"/>
        <w:rPr>
          <w:szCs w:val="22"/>
        </w:rPr>
      </w:pPr>
    </w:p>
    <w:p w14:paraId="5D5630D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E9C83D1" w14:textId="77777777" w:rsidR="00C2618F" w:rsidRDefault="00C2618F" w:rsidP="00C2618F">
      <w:pPr>
        <w:jc w:val="both"/>
        <w:rPr>
          <w:rFonts w:cs="Arial"/>
          <w:szCs w:val="22"/>
        </w:rPr>
      </w:pPr>
    </w:p>
    <w:p w14:paraId="6579CF5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357CB7E" w14:textId="77777777" w:rsidR="002B2132" w:rsidRDefault="002B2132" w:rsidP="00C2618F">
      <w:pPr>
        <w:rPr>
          <w:szCs w:val="22"/>
        </w:rPr>
      </w:pPr>
    </w:p>
    <w:p w14:paraId="6A2682B4" w14:textId="77777777" w:rsidR="0081525C" w:rsidRDefault="002B2132" w:rsidP="0081525C">
      <w:bookmarkStart w:id="16" w:name="_Toc1453503"/>
      <w:r>
        <w:br w:type="page"/>
      </w:r>
    </w:p>
    <w:p w14:paraId="62711CBD" w14:textId="77777777" w:rsidR="005420E5" w:rsidRDefault="005E5399" w:rsidP="00CE44D8">
      <w:pPr>
        <w:pStyle w:val="Heading1"/>
      </w:pPr>
      <w:bookmarkStart w:id="17" w:name="_Toc179797528"/>
      <w:r>
        <w:lastRenderedPageBreak/>
        <w:t xml:space="preserve">A.  GENERAL </w:t>
      </w:r>
      <w:bookmarkEnd w:id="16"/>
      <w:r w:rsidR="00E9713D">
        <w:t>CONDITIONS</w:t>
      </w:r>
      <w:bookmarkEnd w:id="17"/>
    </w:p>
    <w:p w14:paraId="22943938" w14:textId="77777777" w:rsidR="00C41F4B" w:rsidRPr="00EA2214" w:rsidRDefault="00C41F4B" w:rsidP="00C41F4B">
      <w:pPr>
        <w:pStyle w:val="Heading2"/>
        <w:numPr>
          <w:ilvl w:val="0"/>
          <w:numId w:val="0"/>
        </w:numPr>
        <w:jc w:val="left"/>
        <w:rPr>
          <w:b w:val="0"/>
          <w:sz w:val="22"/>
          <w:szCs w:val="22"/>
        </w:rPr>
      </w:pPr>
      <w:bookmarkStart w:id="18" w:name="_Toc105673726"/>
      <w:bookmarkStart w:id="19" w:name="_Toc179797529"/>
      <w:r w:rsidRPr="0075518C">
        <w:rPr>
          <w:sz w:val="22"/>
          <w:szCs w:val="22"/>
        </w:rPr>
        <w:t>Permit Enforceability</w:t>
      </w:r>
      <w:bookmarkEnd w:id="18"/>
      <w:bookmarkEnd w:id="19"/>
    </w:p>
    <w:p w14:paraId="2B63E194" w14:textId="77777777" w:rsidR="00C41F4B" w:rsidRPr="00DF6609" w:rsidRDefault="00C41F4B" w:rsidP="00C41F4B">
      <w:pPr>
        <w:jc w:val="both"/>
        <w:rPr>
          <w:rFonts w:cs="Arial"/>
          <w:sz w:val="20"/>
        </w:rPr>
      </w:pPr>
    </w:p>
    <w:p w14:paraId="31D1A224" w14:textId="77777777" w:rsidR="00C41F4B" w:rsidRPr="00F21983" w:rsidRDefault="00C41F4B" w:rsidP="00C41F4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5245FB78" w14:textId="77777777" w:rsidR="00C41F4B" w:rsidRPr="00F21983" w:rsidRDefault="00C41F4B" w:rsidP="00C41F4B">
      <w:pPr>
        <w:jc w:val="both"/>
        <w:rPr>
          <w:rFonts w:cs="Arial"/>
          <w:sz w:val="20"/>
        </w:rPr>
      </w:pPr>
    </w:p>
    <w:p w14:paraId="61CD13DE" w14:textId="77777777" w:rsidR="00C41F4B" w:rsidRPr="00F6033B" w:rsidRDefault="00C41F4B" w:rsidP="00C41F4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13800D5C" w14:textId="77777777" w:rsidR="00C41F4B" w:rsidRDefault="00C41F4B" w:rsidP="00C41F4B">
      <w:pPr>
        <w:pStyle w:val="ListParagraph"/>
        <w:ind w:left="0"/>
        <w:rPr>
          <w:rFonts w:cs="Arial"/>
          <w:sz w:val="20"/>
        </w:rPr>
      </w:pPr>
    </w:p>
    <w:p w14:paraId="328D3081" w14:textId="77777777" w:rsidR="00C41F4B" w:rsidRPr="00EE57C0" w:rsidRDefault="00C41F4B" w:rsidP="00C41F4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D8A9389" w14:textId="77777777" w:rsidR="00C41F4B" w:rsidRPr="007E0212" w:rsidRDefault="00C41F4B" w:rsidP="00C41F4B">
      <w:pPr>
        <w:pStyle w:val="Heading2"/>
        <w:tabs>
          <w:tab w:val="clear" w:pos="360"/>
          <w:tab w:val="num" w:pos="0"/>
        </w:tabs>
        <w:ind w:left="0" w:firstLine="0"/>
        <w:jc w:val="left"/>
        <w:rPr>
          <w:b w:val="0"/>
          <w:sz w:val="22"/>
          <w:szCs w:val="22"/>
        </w:rPr>
      </w:pPr>
      <w:bookmarkStart w:id="20" w:name="_Toc105673727"/>
      <w:bookmarkStart w:id="21" w:name="_Toc179797530"/>
      <w:r w:rsidRPr="0075518C">
        <w:rPr>
          <w:sz w:val="22"/>
          <w:szCs w:val="22"/>
        </w:rPr>
        <w:t>General Provisions</w:t>
      </w:r>
      <w:bookmarkEnd w:id="20"/>
      <w:bookmarkEnd w:id="21"/>
    </w:p>
    <w:p w14:paraId="784AE454" w14:textId="77777777" w:rsidR="00C41F4B" w:rsidRPr="00DF6609" w:rsidRDefault="00C41F4B" w:rsidP="00C41F4B">
      <w:pPr>
        <w:jc w:val="both"/>
        <w:rPr>
          <w:rFonts w:cs="Arial"/>
          <w:sz w:val="20"/>
        </w:rPr>
      </w:pPr>
    </w:p>
    <w:p w14:paraId="6C266A91" w14:textId="77777777" w:rsidR="00C41F4B" w:rsidRPr="00F21983" w:rsidRDefault="00C41F4B" w:rsidP="00C41F4B">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18D326DA" w14:textId="77777777" w:rsidR="00C41F4B" w:rsidRPr="00F21983" w:rsidRDefault="00C41F4B" w:rsidP="00C41F4B">
      <w:pPr>
        <w:jc w:val="both"/>
        <w:rPr>
          <w:rFonts w:cs="Arial"/>
          <w:sz w:val="20"/>
        </w:rPr>
      </w:pPr>
    </w:p>
    <w:p w14:paraId="77863B81" w14:textId="77777777" w:rsidR="00C41F4B" w:rsidRPr="00F21983" w:rsidRDefault="00C41F4B" w:rsidP="00C41F4B">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73A5BA8C" w14:textId="77777777" w:rsidR="00C41F4B" w:rsidRPr="00F21983" w:rsidRDefault="00C41F4B" w:rsidP="00C41F4B">
      <w:pPr>
        <w:jc w:val="both"/>
        <w:rPr>
          <w:rFonts w:cs="Arial"/>
          <w:sz w:val="20"/>
        </w:rPr>
      </w:pPr>
    </w:p>
    <w:p w14:paraId="37F28246" w14:textId="77777777" w:rsidR="00C41F4B" w:rsidRPr="00F21983" w:rsidRDefault="00C41F4B" w:rsidP="00C41F4B">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6D7C832E" w14:textId="77777777" w:rsidR="00C41F4B" w:rsidRPr="00F21983" w:rsidRDefault="00C41F4B" w:rsidP="00C41F4B">
      <w:pPr>
        <w:jc w:val="both"/>
        <w:rPr>
          <w:rFonts w:cs="Arial"/>
          <w:sz w:val="20"/>
        </w:rPr>
      </w:pPr>
    </w:p>
    <w:p w14:paraId="5CC16E0D" w14:textId="77777777" w:rsidR="00C41F4B" w:rsidRPr="00021E1F" w:rsidRDefault="00C41F4B" w:rsidP="00C41F4B">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03A7C9C2" w14:textId="77777777" w:rsidR="00C41F4B" w:rsidRPr="00F21983" w:rsidRDefault="00C41F4B" w:rsidP="00C41F4B">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6F3D391" w14:textId="77777777" w:rsidR="00C41F4B" w:rsidRPr="00F21983" w:rsidRDefault="00C41F4B" w:rsidP="00C41F4B">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63085570" w14:textId="77777777" w:rsidR="00C41F4B" w:rsidRPr="00F21983" w:rsidRDefault="00C41F4B" w:rsidP="00C41F4B">
      <w:pPr>
        <w:numPr>
          <w:ilvl w:val="1"/>
          <w:numId w:val="4"/>
        </w:numPr>
        <w:jc w:val="both"/>
        <w:rPr>
          <w:rFonts w:cs="Arial"/>
          <w:sz w:val="20"/>
        </w:rPr>
      </w:pPr>
      <w:r w:rsidRPr="00F21983">
        <w:rPr>
          <w:rFonts w:cs="Arial"/>
          <w:sz w:val="20"/>
        </w:rPr>
        <w:t>Inspect, at reasonable times, any of the following:</w:t>
      </w:r>
    </w:p>
    <w:p w14:paraId="51C29BE1" w14:textId="77777777" w:rsidR="00C41F4B" w:rsidRPr="00F21983" w:rsidRDefault="00C41F4B" w:rsidP="00C41F4B">
      <w:pPr>
        <w:numPr>
          <w:ilvl w:val="2"/>
          <w:numId w:val="4"/>
        </w:numPr>
        <w:tabs>
          <w:tab w:val="clear" w:pos="1440"/>
          <w:tab w:val="left" w:pos="1080"/>
        </w:tabs>
        <w:jc w:val="both"/>
        <w:rPr>
          <w:rFonts w:cs="Arial"/>
          <w:sz w:val="20"/>
        </w:rPr>
      </w:pPr>
      <w:r w:rsidRPr="00F21983">
        <w:rPr>
          <w:rFonts w:cs="Arial"/>
          <w:sz w:val="20"/>
        </w:rPr>
        <w:t>Any stationary source.</w:t>
      </w:r>
    </w:p>
    <w:p w14:paraId="31E2D9AF" w14:textId="77777777" w:rsidR="00C41F4B" w:rsidRPr="00F21983" w:rsidRDefault="00C41F4B" w:rsidP="00C41F4B">
      <w:pPr>
        <w:numPr>
          <w:ilvl w:val="2"/>
          <w:numId w:val="4"/>
        </w:numPr>
        <w:tabs>
          <w:tab w:val="clear" w:pos="1440"/>
          <w:tab w:val="left" w:pos="1080"/>
        </w:tabs>
        <w:jc w:val="both"/>
        <w:rPr>
          <w:rFonts w:cs="Arial"/>
          <w:sz w:val="20"/>
        </w:rPr>
      </w:pPr>
      <w:r w:rsidRPr="00F21983">
        <w:rPr>
          <w:rFonts w:cs="Arial"/>
          <w:sz w:val="20"/>
        </w:rPr>
        <w:t>Any emission unit.</w:t>
      </w:r>
    </w:p>
    <w:p w14:paraId="66C5EB55" w14:textId="77777777" w:rsidR="00C41F4B" w:rsidRPr="00F21983" w:rsidRDefault="00C41F4B" w:rsidP="00C41F4B">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1E21723" w14:textId="77777777" w:rsidR="00C41F4B" w:rsidRPr="00F21983" w:rsidRDefault="00C41F4B" w:rsidP="00C41F4B">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99E6BD6" w14:textId="77777777" w:rsidR="00C41F4B" w:rsidRPr="00F21983" w:rsidRDefault="00C41F4B" w:rsidP="00C41F4B">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7D9BCD93" w14:textId="77777777" w:rsidR="00C41F4B" w:rsidRPr="00F21983" w:rsidRDefault="00C41F4B" w:rsidP="00C41F4B">
      <w:pPr>
        <w:jc w:val="both"/>
        <w:rPr>
          <w:rFonts w:cs="Arial"/>
          <w:sz w:val="20"/>
        </w:rPr>
      </w:pPr>
    </w:p>
    <w:p w14:paraId="5D2A82A0" w14:textId="77777777" w:rsidR="00C41F4B" w:rsidRPr="003D1052" w:rsidRDefault="00C41F4B" w:rsidP="00C41F4B">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w:t>
      </w:r>
      <w:proofErr w:type="gramStart"/>
      <w:r w:rsidRPr="00F21983">
        <w:rPr>
          <w:rFonts w:cs="Arial"/>
          <w:sz w:val="20"/>
        </w:rPr>
        <w:t>information</w:t>
      </w:r>
      <w:proofErr w:type="gramEnd"/>
      <w:r w:rsidRPr="00F21983">
        <w:rPr>
          <w:rFonts w:cs="Arial"/>
          <w:sz w:val="20"/>
        </w:rPr>
        <w:t xml:space="preserve">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2E228A3" w14:textId="77777777" w:rsidR="00C41F4B" w:rsidRPr="00F21983" w:rsidRDefault="00C41F4B" w:rsidP="00C41F4B">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93DE05C" w14:textId="77777777" w:rsidR="00C41F4B" w:rsidRPr="00F21983" w:rsidRDefault="00C41F4B" w:rsidP="00C41F4B">
      <w:pPr>
        <w:jc w:val="both"/>
        <w:rPr>
          <w:rFonts w:cs="Arial"/>
          <w:sz w:val="20"/>
        </w:rPr>
      </w:pPr>
    </w:p>
    <w:p w14:paraId="55D51FE2" w14:textId="77777777" w:rsidR="00C41F4B" w:rsidRPr="00F21983" w:rsidRDefault="00C41F4B" w:rsidP="00C41F4B">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C3501AF" w14:textId="77777777" w:rsidR="00C41F4B" w:rsidRPr="00F21983" w:rsidRDefault="00C41F4B" w:rsidP="00C41F4B">
      <w:pPr>
        <w:jc w:val="both"/>
        <w:rPr>
          <w:rFonts w:cs="Arial"/>
          <w:sz w:val="20"/>
        </w:rPr>
      </w:pPr>
    </w:p>
    <w:p w14:paraId="488E7595" w14:textId="77777777" w:rsidR="00C41F4B" w:rsidRPr="00F21983" w:rsidRDefault="00C41F4B" w:rsidP="00C41F4B">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C41BB42" w14:textId="77777777" w:rsidR="00C41F4B" w:rsidRPr="00F21983" w:rsidRDefault="00C41F4B" w:rsidP="00C41F4B">
      <w:pPr>
        <w:jc w:val="both"/>
        <w:rPr>
          <w:rFonts w:cs="Arial"/>
          <w:sz w:val="20"/>
        </w:rPr>
      </w:pPr>
    </w:p>
    <w:p w14:paraId="20B99C8F" w14:textId="77777777" w:rsidR="00C41F4B" w:rsidRPr="007E0212" w:rsidRDefault="00C41F4B" w:rsidP="00C41F4B">
      <w:pPr>
        <w:pStyle w:val="Heading2"/>
        <w:tabs>
          <w:tab w:val="clear" w:pos="360"/>
          <w:tab w:val="num" w:pos="0"/>
        </w:tabs>
        <w:ind w:left="0" w:firstLine="0"/>
        <w:jc w:val="left"/>
        <w:rPr>
          <w:b w:val="0"/>
          <w:sz w:val="22"/>
          <w:szCs w:val="22"/>
        </w:rPr>
      </w:pPr>
      <w:bookmarkStart w:id="22" w:name="_Toc105673728"/>
      <w:bookmarkStart w:id="23" w:name="_Toc179797531"/>
      <w:r w:rsidRPr="0075518C">
        <w:rPr>
          <w:sz w:val="22"/>
          <w:szCs w:val="22"/>
        </w:rPr>
        <w:t>Equipment &amp; Design</w:t>
      </w:r>
      <w:bookmarkEnd w:id="22"/>
      <w:bookmarkEnd w:id="23"/>
    </w:p>
    <w:p w14:paraId="0BB7DBAA" w14:textId="77777777" w:rsidR="00C41F4B" w:rsidRPr="00DF6609" w:rsidRDefault="00C41F4B" w:rsidP="00C41F4B">
      <w:pPr>
        <w:jc w:val="both"/>
        <w:rPr>
          <w:rFonts w:cs="Arial"/>
          <w:sz w:val="20"/>
        </w:rPr>
      </w:pPr>
    </w:p>
    <w:p w14:paraId="2772C7B3" w14:textId="77777777" w:rsidR="00C41F4B" w:rsidRPr="00F21983" w:rsidRDefault="00C41F4B" w:rsidP="00C41F4B">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Rule 370(2).</w:t>
      </w:r>
      <w:proofErr w:type="gramStart"/>
      <w:r>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7963E7AE" w14:textId="77777777" w:rsidR="00C41F4B" w:rsidRPr="00F21983" w:rsidRDefault="00C41F4B" w:rsidP="00C41F4B">
      <w:pPr>
        <w:jc w:val="both"/>
        <w:rPr>
          <w:rFonts w:cs="Arial"/>
          <w:sz w:val="20"/>
        </w:rPr>
      </w:pPr>
    </w:p>
    <w:p w14:paraId="08BBED42" w14:textId="77777777" w:rsidR="00C41F4B" w:rsidRPr="00F21983" w:rsidRDefault="00C41F4B" w:rsidP="00C41F4B">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C89B7F2" w14:textId="77777777" w:rsidR="00C41F4B" w:rsidRPr="00F21983" w:rsidRDefault="00C41F4B" w:rsidP="00C41F4B">
      <w:pPr>
        <w:jc w:val="both"/>
        <w:rPr>
          <w:rFonts w:cs="Arial"/>
          <w:sz w:val="20"/>
        </w:rPr>
      </w:pPr>
    </w:p>
    <w:p w14:paraId="3A6296E1" w14:textId="77777777" w:rsidR="00C41F4B" w:rsidRPr="007E0212" w:rsidRDefault="00C41F4B" w:rsidP="00C41F4B">
      <w:pPr>
        <w:pStyle w:val="Heading2"/>
        <w:tabs>
          <w:tab w:val="clear" w:pos="360"/>
          <w:tab w:val="num" w:pos="0"/>
        </w:tabs>
        <w:ind w:left="0" w:firstLine="0"/>
        <w:jc w:val="left"/>
        <w:rPr>
          <w:b w:val="0"/>
          <w:sz w:val="22"/>
          <w:szCs w:val="22"/>
        </w:rPr>
      </w:pPr>
      <w:bookmarkStart w:id="24" w:name="_Toc105673729"/>
      <w:bookmarkStart w:id="25" w:name="_Toc179797532"/>
      <w:r w:rsidRPr="0075518C">
        <w:rPr>
          <w:sz w:val="22"/>
          <w:szCs w:val="22"/>
        </w:rPr>
        <w:t>Emission Limits</w:t>
      </w:r>
      <w:bookmarkEnd w:id="24"/>
      <w:bookmarkEnd w:id="25"/>
    </w:p>
    <w:p w14:paraId="73431904" w14:textId="77777777" w:rsidR="00C41F4B" w:rsidRPr="00F21983" w:rsidRDefault="00C41F4B" w:rsidP="00C41F4B">
      <w:pPr>
        <w:jc w:val="both"/>
        <w:rPr>
          <w:rFonts w:cs="Arial"/>
          <w:sz w:val="20"/>
        </w:rPr>
      </w:pPr>
    </w:p>
    <w:p w14:paraId="7023A224" w14:textId="77777777" w:rsidR="00C41F4B" w:rsidRPr="00F21983" w:rsidRDefault="00C41F4B" w:rsidP="00C41F4B">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22102A4D" w14:textId="77777777" w:rsidR="00C41F4B" w:rsidRDefault="00C41F4B" w:rsidP="00C41F4B">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6133A31D" w14:textId="77777777" w:rsidR="00C41F4B" w:rsidRDefault="00C41F4B" w:rsidP="00C41F4B">
      <w:pPr>
        <w:numPr>
          <w:ilvl w:val="1"/>
          <w:numId w:val="6"/>
        </w:numPr>
        <w:jc w:val="both"/>
        <w:rPr>
          <w:rFonts w:cs="Arial"/>
          <w:sz w:val="20"/>
        </w:rPr>
      </w:pPr>
      <w:r w:rsidRPr="00F21983">
        <w:rPr>
          <w:rFonts w:cs="Arial"/>
          <w:sz w:val="20"/>
        </w:rPr>
        <w:t>A limit specified by an applicable federal new source performance standard.</w:t>
      </w:r>
    </w:p>
    <w:p w14:paraId="150572E5" w14:textId="77777777" w:rsidR="00C41F4B" w:rsidRDefault="00C41F4B" w:rsidP="00C41F4B">
      <w:pPr>
        <w:jc w:val="both"/>
        <w:rPr>
          <w:rFonts w:cs="Arial"/>
          <w:sz w:val="20"/>
        </w:rPr>
      </w:pPr>
    </w:p>
    <w:p w14:paraId="0D156920" w14:textId="77777777" w:rsidR="00C41F4B" w:rsidRPr="003163DA" w:rsidRDefault="00C41F4B" w:rsidP="00C41F4B">
      <w:pPr>
        <w:ind w:left="360"/>
        <w:jc w:val="both"/>
        <w:rPr>
          <w:rFonts w:cs="Arial"/>
          <w:sz w:val="20"/>
        </w:rPr>
      </w:pPr>
      <w:r>
        <w:rPr>
          <w:rFonts w:cs="Arial"/>
          <w:sz w:val="20"/>
        </w:rPr>
        <w:t xml:space="preserve">The grading of visible emissions shall be determined in accordance with Rule 303.  </w:t>
      </w:r>
    </w:p>
    <w:p w14:paraId="096EB15E" w14:textId="77777777" w:rsidR="00C41F4B" w:rsidRPr="00F21983" w:rsidRDefault="00C41F4B" w:rsidP="00C41F4B">
      <w:pPr>
        <w:jc w:val="both"/>
        <w:rPr>
          <w:rFonts w:cs="Arial"/>
          <w:sz w:val="20"/>
        </w:rPr>
      </w:pPr>
    </w:p>
    <w:p w14:paraId="76971439" w14:textId="77777777" w:rsidR="00C41F4B" w:rsidRPr="00F21983" w:rsidRDefault="00C41F4B" w:rsidP="00C41F4B">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CEFCDF0" w14:textId="77777777" w:rsidR="00C41F4B" w:rsidRPr="00F21983" w:rsidRDefault="00C41F4B" w:rsidP="00C41F4B">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Pr="00B55DC9">
        <w:rPr>
          <w:rFonts w:cs="Arial"/>
          <w:spacing w:val="-3"/>
          <w:sz w:val="20"/>
          <w:vertAlign w:val="superscript"/>
        </w:rPr>
        <w:t xml:space="preserve">1  </w:t>
      </w:r>
      <w:r w:rsidRPr="00F21983">
        <w:rPr>
          <w:rFonts w:cs="Arial"/>
          <w:b/>
          <w:spacing w:val="-3"/>
          <w:sz w:val="20"/>
        </w:rPr>
        <w:t>(</w:t>
      </w:r>
      <w:proofErr w:type="gramEnd"/>
      <w:r w:rsidRPr="00F21983">
        <w:rPr>
          <w:rFonts w:cs="Arial"/>
          <w:b/>
          <w:spacing w:val="-3"/>
          <w:sz w:val="20"/>
        </w:rPr>
        <w:t>R 336.1901(a))</w:t>
      </w:r>
    </w:p>
    <w:p w14:paraId="36BC3426" w14:textId="77777777" w:rsidR="00C41F4B" w:rsidRPr="00105176" w:rsidRDefault="00C41F4B" w:rsidP="00C41F4B">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6D2965FA" w14:textId="77777777" w:rsidR="00C41F4B" w:rsidRDefault="00C41F4B" w:rsidP="00C41F4B">
      <w:pPr>
        <w:jc w:val="both"/>
        <w:rPr>
          <w:rFonts w:cs="Arial"/>
          <w:sz w:val="20"/>
        </w:rPr>
      </w:pPr>
    </w:p>
    <w:p w14:paraId="683A0F4B" w14:textId="77777777" w:rsidR="00C41F4B" w:rsidRPr="007E0212" w:rsidRDefault="00C41F4B" w:rsidP="00C41F4B">
      <w:pPr>
        <w:pStyle w:val="Heading2"/>
        <w:tabs>
          <w:tab w:val="clear" w:pos="360"/>
          <w:tab w:val="num" w:pos="0"/>
        </w:tabs>
        <w:ind w:left="0" w:firstLine="0"/>
        <w:jc w:val="left"/>
        <w:rPr>
          <w:b w:val="0"/>
          <w:sz w:val="22"/>
          <w:szCs w:val="22"/>
        </w:rPr>
      </w:pPr>
      <w:bookmarkStart w:id="26" w:name="_Toc105673730"/>
      <w:bookmarkStart w:id="27" w:name="_Toc179797533"/>
      <w:r w:rsidRPr="0075518C">
        <w:rPr>
          <w:sz w:val="22"/>
          <w:szCs w:val="22"/>
        </w:rPr>
        <w:t>Testing/Sampling</w:t>
      </w:r>
      <w:bookmarkEnd w:id="26"/>
      <w:bookmarkEnd w:id="27"/>
    </w:p>
    <w:p w14:paraId="1669AA9B" w14:textId="77777777" w:rsidR="00C41F4B" w:rsidRPr="00F21983" w:rsidRDefault="00C41F4B" w:rsidP="00C41F4B">
      <w:pPr>
        <w:jc w:val="both"/>
        <w:rPr>
          <w:rFonts w:cs="Arial"/>
          <w:sz w:val="20"/>
        </w:rPr>
      </w:pPr>
    </w:p>
    <w:p w14:paraId="6EC2C789" w14:textId="77777777" w:rsidR="00C41F4B" w:rsidRPr="00F21983" w:rsidRDefault="00C41F4B" w:rsidP="00C41F4B">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proofErr w:type="gramStart"/>
      <w:r>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416DBAB2" w14:textId="77777777" w:rsidR="00C41F4B" w:rsidRPr="00F21983" w:rsidRDefault="00C41F4B" w:rsidP="00C41F4B">
      <w:pPr>
        <w:jc w:val="both"/>
        <w:rPr>
          <w:rFonts w:cs="Arial"/>
          <w:sz w:val="20"/>
        </w:rPr>
      </w:pPr>
    </w:p>
    <w:p w14:paraId="29A0161B" w14:textId="77777777" w:rsidR="00C41F4B" w:rsidRPr="00F21983" w:rsidRDefault="00C41F4B" w:rsidP="00C41F4B">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7D7CE2AC" w14:textId="77777777" w:rsidR="00C41F4B" w:rsidRPr="00F21983" w:rsidRDefault="00C41F4B" w:rsidP="00C41F4B">
      <w:pPr>
        <w:jc w:val="both"/>
        <w:rPr>
          <w:rFonts w:cs="Arial"/>
          <w:sz w:val="20"/>
        </w:rPr>
      </w:pPr>
    </w:p>
    <w:p w14:paraId="3B10CAA9" w14:textId="77777777" w:rsidR="00C41F4B" w:rsidRPr="00F21983" w:rsidRDefault="00C41F4B" w:rsidP="00C41F4B">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0E3B77B6" w14:textId="77777777" w:rsidR="00C41F4B" w:rsidRDefault="00C41F4B" w:rsidP="00C41F4B">
      <w:pPr>
        <w:jc w:val="both"/>
        <w:rPr>
          <w:rFonts w:cs="Arial"/>
          <w:sz w:val="20"/>
        </w:rPr>
      </w:pPr>
      <w:r>
        <w:rPr>
          <w:rFonts w:cs="Arial"/>
          <w:sz w:val="20"/>
        </w:rPr>
        <w:br w:type="page"/>
      </w:r>
    </w:p>
    <w:p w14:paraId="1A6C2B14" w14:textId="77777777" w:rsidR="00C41F4B" w:rsidRPr="007E0212" w:rsidRDefault="00C41F4B" w:rsidP="00C41F4B">
      <w:pPr>
        <w:pStyle w:val="Heading2"/>
        <w:tabs>
          <w:tab w:val="clear" w:pos="360"/>
          <w:tab w:val="num" w:pos="0"/>
        </w:tabs>
        <w:ind w:left="0" w:firstLine="0"/>
        <w:jc w:val="left"/>
        <w:rPr>
          <w:b w:val="0"/>
          <w:sz w:val="22"/>
          <w:szCs w:val="22"/>
        </w:rPr>
      </w:pPr>
      <w:bookmarkStart w:id="28" w:name="_Toc105673731"/>
      <w:bookmarkStart w:id="29" w:name="_Toc179797534"/>
      <w:r w:rsidRPr="0075518C">
        <w:rPr>
          <w:sz w:val="22"/>
          <w:szCs w:val="22"/>
        </w:rPr>
        <w:lastRenderedPageBreak/>
        <w:t>Monitoring/Recordkeeping</w:t>
      </w:r>
      <w:bookmarkEnd w:id="28"/>
      <w:bookmarkEnd w:id="29"/>
    </w:p>
    <w:p w14:paraId="42BD6D51" w14:textId="77777777" w:rsidR="00C41F4B" w:rsidRPr="00DF6609" w:rsidRDefault="00C41F4B" w:rsidP="00C41F4B">
      <w:pPr>
        <w:numPr>
          <w:ilvl w:val="12"/>
          <w:numId w:val="0"/>
        </w:numPr>
        <w:ind w:left="432" w:hanging="432"/>
        <w:jc w:val="both"/>
        <w:rPr>
          <w:rFonts w:cs="Arial"/>
          <w:sz w:val="20"/>
        </w:rPr>
      </w:pPr>
    </w:p>
    <w:p w14:paraId="7817881A" w14:textId="77777777" w:rsidR="00C41F4B" w:rsidRPr="00F21983" w:rsidRDefault="00C41F4B" w:rsidP="00C41F4B">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39CD38D1" w14:textId="77777777" w:rsidR="00C41F4B" w:rsidRPr="00F21983" w:rsidRDefault="00C41F4B" w:rsidP="00C41F4B">
      <w:pPr>
        <w:numPr>
          <w:ilvl w:val="1"/>
          <w:numId w:val="9"/>
        </w:numPr>
        <w:jc w:val="both"/>
        <w:rPr>
          <w:rFonts w:cs="Arial"/>
          <w:sz w:val="20"/>
        </w:rPr>
      </w:pPr>
      <w:r w:rsidRPr="00F21983">
        <w:rPr>
          <w:rFonts w:cs="Arial"/>
          <w:sz w:val="20"/>
        </w:rPr>
        <w:t>The date, location, time, and method of sampling or measurements.</w:t>
      </w:r>
    </w:p>
    <w:p w14:paraId="11098F02" w14:textId="77777777" w:rsidR="00C41F4B" w:rsidRPr="00F21983" w:rsidRDefault="00C41F4B" w:rsidP="00C41F4B">
      <w:pPr>
        <w:numPr>
          <w:ilvl w:val="1"/>
          <w:numId w:val="9"/>
        </w:numPr>
        <w:jc w:val="both"/>
        <w:rPr>
          <w:rFonts w:cs="Arial"/>
          <w:sz w:val="20"/>
        </w:rPr>
      </w:pPr>
      <w:r w:rsidRPr="00F21983">
        <w:rPr>
          <w:rFonts w:cs="Arial"/>
          <w:sz w:val="20"/>
        </w:rPr>
        <w:t>The dates the analyses of the samples were performed.</w:t>
      </w:r>
    </w:p>
    <w:p w14:paraId="36BFF47A" w14:textId="77777777" w:rsidR="00C41F4B" w:rsidRPr="00F21983" w:rsidRDefault="00C41F4B" w:rsidP="00C41F4B">
      <w:pPr>
        <w:numPr>
          <w:ilvl w:val="1"/>
          <w:numId w:val="9"/>
        </w:numPr>
        <w:jc w:val="both"/>
        <w:rPr>
          <w:rFonts w:cs="Arial"/>
          <w:sz w:val="20"/>
        </w:rPr>
      </w:pPr>
      <w:r w:rsidRPr="00F21983">
        <w:rPr>
          <w:rFonts w:cs="Arial"/>
          <w:sz w:val="20"/>
        </w:rPr>
        <w:t>The company or entity that performed the analyses of the samples.</w:t>
      </w:r>
    </w:p>
    <w:p w14:paraId="7D12C15C" w14:textId="77777777" w:rsidR="00C41F4B" w:rsidRPr="00F21983" w:rsidRDefault="00C41F4B" w:rsidP="00C41F4B">
      <w:pPr>
        <w:numPr>
          <w:ilvl w:val="1"/>
          <w:numId w:val="9"/>
        </w:numPr>
        <w:jc w:val="both"/>
        <w:rPr>
          <w:rFonts w:cs="Arial"/>
          <w:sz w:val="20"/>
        </w:rPr>
      </w:pPr>
      <w:r w:rsidRPr="00F21983">
        <w:rPr>
          <w:rFonts w:cs="Arial"/>
          <w:sz w:val="20"/>
        </w:rPr>
        <w:t>The analytical techniques or methods used.</w:t>
      </w:r>
    </w:p>
    <w:p w14:paraId="5390ECD8" w14:textId="77777777" w:rsidR="00C41F4B" w:rsidRPr="00F21983" w:rsidRDefault="00C41F4B" w:rsidP="00C41F4B">
      <w:pPr>
        <w:numPr>
          <w:ilvl w:val="1"/>
          <w:numId w:val="9"/>
        </w:numPr>
        <w:jc w:val="both"/>
        <w:rPr>
          <w:rFonts w:cs="Arial"/>
          <w:sz w:val="20"/>
        </w:rPr>
      </w:pPr>
      <w:r w:rsidRPr="00F21983">
        <w:rPr>
          <w:rFonts w:cs="Arial"/>
          <w:sz w:val="20"/>
        </w:rPr>
        <w:t>The results of the analyses.</w:t>
      </w:r>
    </w:p>
    <w:p w14:paraId="79DAEF36" w14:textId="77777777" w:rsidR="00C41F4B" w:rsidRPr="00F21983" w:rsidRDefault="00C41F4B" w:rsidP="00C41F4B">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5F17D52A" w14:textId="77777777" w:rsidR="00C41F4B" w:rsidRPr="00DF6609" w:rsidRDefault="00C41F4B" w:rsidP="00C41F4B">
      <w:pPr>
        <w:numPr>
          <w:ilvl w:val="12"/>
          <w:numId w:val="0"/>
        </w:numPr>
        <w:ind w:left="432" w:hanging="432"/>
        <w:jc w:val="both"/>
        <w:rPr>
          <w:rFonts w:cs="Arial"/>
          <w:sz w:val="20"/>
        </w:rPr>
      </w:pPr>
    </w:p>
    <w:p w14:paraId="3059917D" w14:textId="77777777" w:rsidR="00C41F4B" w:rsidRPr="00F21983" w:rsidRDefault="00C41F4B" w:rsidP="00C41F4B">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772F2B18" w14:textId="77777777" w:rsidR="00C41F4B" w:rsidRPr="00F21983" w:rsidRDefault="00C41F4B" w:rsidP="00C41F4B">
      <w:pPr>
        <w:numPr>
          <w:ilvl w:val="12"/>
          <w:numId w:val="0"/>
        </w:numPr>
        <w:ind w:left="432" w:hanging="432"/>
        <w:jc w:val="both"/>
        <w:rPr>
          <w:rFonts w:cs="Arial"/>
          <w:sz w:val="20"/>
        </w:rPr>
      </w:pPr>
    </w:p>
    <w:p w14:paraId="67952AE2" w14:textId="77777777" w:rsidR="00C41F4B" w:rsidRPr="007E0212" w:rsidRDefault="00C41F4B" w:rsidP="00C41F4B">
      <w:pPr>
        <w:pStyle w:val="Heading2"/>
        <w:tabs>
          <w:tab w:val="clear" w:pos="360"/>
          <w:tab w:val="num" w:pos="0"/>
        </w:tabs>
        <w:ind w:left="0" w:firstLine="0"/>
        <w:jc w:val="left"/>
        <w:rPr>
          <w:b w:val="0"/>
          <w:sz w:val="22"/>
          <w:szCs w:val="22"/>
        </w:rPr>
      </w:pPr>
      <w:bookmarkStart w:id="30" w:name="_Toc105673732"/>
      <w:bookmarkStart w:id="31" w:name="_Toc179797535"/>
      <w:r w:rsidRPr="0075518C">
        <w:rPr>
          <w:sz w:val="22"/>
          <w:szCs w:val="22"/>
        </w:rPr>
        <w:t>Certification &amp; Reporting</w:t>
      </w:r>
      <w:bookmarkEnd w:id="30"/>
      <w:bookmarkEnd w:id="31"/>
    </w:p>
    <w:p w14:paraId="609B00FB" w14:textId="77777777" w:rsidR="00C41F4B" w:rsidRPr="00F21983" w:rsidRDefault="00C41F4B" w:rsidP="00C41F4B">
      <w:pPr>
        <w:numPr>
          <w:ilvl w:val="12"/>
          <w:numId w:val="0"/>
        </w:numPr>
        <w:ind w:left="432" w:hanging="432"/>
        <w:jc w:val="both"/>
        <w:rPr>
          <w:rFonts w:cs="Arial"/>
          <w:sz w:val="20"/>
        </w:rPr>
      </w:pPr>
    </w:p>
    <w:p w14:paraId="35819811" w14:textId="77777777" w:rsidR="00C41F4B" w:rsidRPr="00F21983" w:rsidRDefault="00C41F4B" w:rsidP="00C41F4B">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47B399D2" w14:textId="77777777" w:rsidR="00C41F4B" w:rsidRPr="00F21983" w:rsidRDefault="00C41F4B" w:rsidP="00C41F4B">
      <w:pPr>
        <w:numPr>
          <w:ilvl w:val="12"/>
          <w:numId w:val="0"/>
        </w:numPr>
        <w:ind w:left="432" w:hanging="432"/>
        <w:jc w:val="both"/>
        <w:rPr>
          <w:rFonts w:cs="Arial"/>
          <w:sz w:val="20"/>
        </w:rPr>
      </w:pPr>
    </w:p>
    <w:p w14:paraId="5020D85E" w14:textId="7F8A74C8" w:rsidR="00C41F4B" w:rsidRPr="009F527C" w:rsidRDefault="00C41F4B" w:rsidP="00C41F4B">
      <w:pPr>
        <w:pStyle w:val="ListParagraph"/>
        <w:numPr>
          <w:ilvl w:val="0"/>
          <w:numId w:val="38"/>
        </w:numPr>
        <w:ind w:left="360"/>
        <w:jc w:val="both"/>
        <w:rPr>
          <w:rFonts w:cs="Arial"/>
          <w:b/>
          <w:bCs/>
          <w:sz w:val="20"/>
        </w:rPr>
      </w:pPr>
      <w:r w:rsidRPr="009F527C">
        <w:rPr>
          <w:rFonts w:cs="Arial"/>
          <w:sz w:val="20"/>
        </w:rPr>
        <w:t xml:space="preserve">A Responsible Official shall certify to the appropriate AQD District Office and to the USEPA that the stationary source is and has </w:t>
      </w:r>
      <w:proofErr w:type="gramStart"/>
      <w:r w:rsidRPr="009F527C">
        <w:rPr>
          <w:rFonts w:cs="Arial"/>
          <w:sz w:val="20"/>
        </w:rPr>
        <w:t>been in compliance with</w:t>
      </w:r>
      <w:proofErr w:type="gramEnd"/>
      <w:r w:rsidRPr="009F527C">
        <w:rPr>
          <w:rFonts w:cs="Arial"/>
          <w:sz w:val="20"/>
        </w:rPr>
        <w:t xml:space="preserve">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sidRPr="009F527C">
        <w:rPr>
          <w:rFonts w:cs="Arial"/>
          <w:b/>
          <w:bCs/>
          <w:sz w:val="20"/>
        </w:rPr>
        <w:t>(R 336.1213(4)(c))</w:t>
      </w:r>
    </w:p>
    <w:p w14:paraId="17196824" w14:textId="77777777" w:rsidR="00C41F4B" w:rsidRPr="00F21983" w:rsidRDefault="00C41F4B" w:rsidP="00C41F4B">
      <w:pPr>
        <w:numPr>
          <w:ilvl w:val="12"/>
          <w:numId w:val="0"/>
        </w:numPr>
        <w:jc w:val="both"/>
        <w:rPr>
          <w:rFonts w:cs="Arial"/>
          <w:sz w:val="20"/>
        </w:rPr>
      </w:pPr>
    </w:p>
    <w:p w14:paraId="44BCE653" w14:textId="77777777" w:rsidR="00C41F4B" w:rsidRPr="009F527C" w:rsidRDefault="00C41F4B" w:rsidP="00C41F4B">
      <w:pPr>
        <w:pStyle w:val="ListParagraph"/>
        <w:numPr>
          <w:ilvl w:val="0"/>
          <w:numId w:val="38"/>
        </w:numPr>
        <w:ind w:left="360"/>
        <w:jc w:val="both"/>
        <w:rPr>
          <w:rFonts w:cs="Arial"/>
          <w:sz w:val="20"/>
        </w:rPr>
      </w:pPr>
      <w:r w:rsidRPr="009F527C">
        <w:rPr>
          <w:rFonts w:cs="Arial"/>
          <w:sz w:val="20"/>
        </w:rPr>
        <w:t xml:space="preserve">The certification of compliance shall be submitted annually for the term of this ROP as detailed in the special conditions, or more frequently if specified in an applicable requirement or in this ROP.  </w:t>
      </w:r>
      <w:r w:rsidRPr="009F527C">
        <w:rPr>
          <w:rFonts w:cs="Arial"/>
          <w:b/>
          <w:sz w:val="20"/>
        </w:rPr>
        <w:t>(R 336.1213(4)(c))</w:t>
      </w:r>
    </w:p>
    <w:p w14:paraId="1DDCCF4D" w14:textId="77777777" w:rsidR="00C41F4B" w:rsidRPr="00F21983" w:rsidRDefault="00C41F4B" w:rsidP="00C41F4B">
      <w:pPr>
        <w:numPr>
          <w:ilvl w:val="12"/>
          <w:numId w:val="0"/>
        </w:numPr>
        <w:ind w:left="432" w:hanging="432"/>
        <w:jc w:val="both"/>
        <w:rPr>
          <w:rFonts w:cs="Arial"/>
          <w:sz w:val="20"/>
        </w:rPr>
      </w:pPr>
    </w:p>
    <w:p w14:paraId="3B098BF3" w14:textId="77777777" w:rsidR="00C41F4B" w:rsidRPr="009F527C" w:rsidRDefault="00C41F4B" w:rsidP="00C41F4B">
      <w:pPr>
        <w:pStyle w:val="ListParagraph"/>
        <w:numPr>
          <w:ilvl w:val="0"/>
          <w:numId w:val="38"/>
        </w:numPr>
        <w:ind w:left="360"/>
        <w:jc w:val="both"/>
        <w:rPr>
          <w:rFonts w:cs="Arial"/>
          <w:sz w:val="20"/>
        </w:rPr>
      </w:pPr>
      <w:r w:rsidRPr="009F527C">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9F527C">
        <w:rPr>
          <w:rFonts w:cs="Arial"/>
          <w:b/>
          <w:sz w:val="20"/>
        </w:rPr>
        <w:t>(R 336.1213(3)(c))</w:t>
      </w:r>
    </w:p>
    <w:p w14:paraId="784AADFC" w14:textId="77777777" w:rsidR="00C41F4B" w:rsidRPr="00F21983" w:rsidRDefault="00C41F4B" w:rsidP="00C41F4B">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64018C0A" w14:textId="77777777" w:rsidR="00C41F4B" w:rsidRPr="00F21983" w:rsidRDefault="00C41F4B" w:rsidP="00C41F4B">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A664043" w14:textId="77777777" w:rsidR="00C41F4B" w:rsidRPr="00F21983" w:rsidRDefault="00C41F4B" w:rsidP="00C41F4B">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FBC2202" w14:textId="77777777" w:rsidR="00C41F4B" w:rsidRPr="00DF6609" w:rsidRDefault="00C41F4B" w:rsidP="00C41F4B">
      <w:pPr>
        <w:numPr>
          <w:ilvl w:val="12"/>
          <w:numId w:val="0"/>
        </w:numPr>
        <w:ind w:left="432" w:hanging="432"/>
        <w:jc w:val="both"/>
        <w:rPr>
          <w:rFonts w:cs="Arial"/>
          <w:sz w:val="20"/>
        </w:rPr>
      </w:pPr>
      <w:r>
        <w:rPr>
          <w:rFonts w:cs="Arial"/>
          <w:sz w:val="20"/>
        </w:rPr>
        <w:br w:type="page"/>
      </w:r>
    </w:p>
    <w:p w14:paraId="5F716E22" w14:textId="77777777" w:rsidR="00C41F4B" w:rsidRPr="00021E1F" w:rsidRDefault="00C41F4B" w:rsidP="00C41F4B">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proofErr w:type="gramStart"/>
      <w:r w:rsidRPr="00021E1F">
        <w:rPr>
          <w:rFonts w:cs="Arial"/>
          <w:sz w:val="20"/>
        </w:rPr>
        <w:t xml:space="preserve">:  </w:t>
      </w:r>
      <w:r w:rsidRPr="00021E1F">
        <w:rPr>
          <w:rFonts w:cs="Arial"/>
          <w:b/>
          <w:sz w:val="20"/>
        </w:rPr>
        <w:t>(</w:t>
      </w:r>
      <w:proofErr w:type="gramEnd"/>
      <w:r w:rsidRPr="00021E1F">
        <w:rPr>
          <w:rFonts w:cs="Arial"/>
          <w:b/>
          <w:sz w:val="20"/>
        </w:rPr>
        <w:t>R 336.1213(3)(c))</w:t>
      </w:r>
    </w:p>
    <w:p w14:paraId="1D9AEC2A" w14:textId="77777777" w:rsidR="00C41F4B" w:rsidRPr="00F21983" w:rsidRDefault="00C41F4B" w:rsidP="00C41F4B">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B62CA9E" w14:textId="77777777" w:rsidR="00C41F4B" w:rsidRPr="00F21983" w:rsidRDefault="00C41F4B" w:rsidP="00C41F4B">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7803F48C" w14:textId="77777777" w:rsidR="00C41F4B" w:rsidRPr="00F21983" w:rsidRDefault="00C41F4B" w:rsidP="00C41F4B">
      <w:pPr>
        <w:numPr>
          <w:ilvl w:val="12"/>
          <w:numId w:val="0"/>
        </w:numPr>
        <w:ind w:left="432" w:hanging="432"/>
        <w:jc w:val="both"/>
        <w:rPr>
          <w:rFonts w:cs="Arial"/>
          <w:sz w:val="20"/>
        </w:rPr>
      </w:pPr>
    </w:p>
    <w:p w14:paraId="4AC9A74E" w14:textId="77777777" w:rsidR="00C41F4B" w:rsidRPr="00F21983" w:rsidRDefault="00C41F4B" w:rsidP="00C41F4B">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5242C56" w14:textId="77777777" w:rsidR="00C41F4B" w:rsidRPr="00F21983" w:rsidRDefault="00C41F4B" w:rsidP="00C41F4B">
      <w:pPr>
        <w:numPr>
          <w:ilvl w:val="12"/>
          <w:numId w:val="0"/>
        </w:numPr>
        <w:jc w:val="both"/>
        <w:rPr>
          <w:rFonts w:cs="Arial"/>
          <w:sz w:val="20"/>
        </w:rPr>
      </w:pPr>
    </w:p>
    <w:p w14:paraId="47C5A048" w14:textId="77777777" w:rsidR="00C41F4B" w:rsidRPr="00F21983" w:rsidRDefault="00C41F4B" w:rsidP="00C41F4B">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03A2B71D" w14:textId="77777777" w:rsidR="00C41F4B" w:rsidRPr="00F21983" w:rsidRDefault="00C41F4B" w:rsidP="00C41F4B">
      <w:pPr>
        <w:numPr>
          <w:ilvl w:val="12"/>
          <w:numId w:val="0"/>
        </w:numPr>
        <w:jc w:val="both"/>
        <w:rPr>
          <w:rFonts w:cs="Arial"/>
          <w:sz w:val="20"/>
        </w:rPr>
      </w:pPr>
    </w:p>
    <w:p w14:paraId="1457758E" w14:textId="77777777" w:rsidR="00C41F4B" w:rsidRPr="00F21983" w:rsidRDefault="00C41F4B" w:rsidP="00C41F4B">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proofErr w:type="gramStart"/>
      <w:r>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7A458DE4" w14:textId="77777777" w:rsidR="00C41F4B" w:rsidRPr="00F21983" w:rsidRDefault="00C41F4B" w:rsidP="00C41F4B">
      <w:pPr>
        <w:numPr>
          <w:ilvl w:val="12"/>
          <w:numId w:val="0"/>
        </w:numPr>
        <w:ind w:left="432" w:hanging="432"/>
        <w:jc w:val="both"/>
        <w:rPr>
          <w:rFonts w:cs="Arial"/>
          <w:sz w:val="20"/>
        </w:rPr>
      </w:pPr>
    </w:p>
    <w:p w14:paraId="596164B4" w14:textId="77777777" w:rsidR="00C41F4B" w:rsidRPr="007E0212" w:rsidRDefault="00C41F4B" w:rsidP="00C41F4B">
      <w:pPr>
        <w:pStyle w:val="Heading2"/>
        <w:tabs>
          <w:tab w:val="clear" w:pos="360"/>
          <w:tab w:val="num" w:pos="0"/>
        </w:tabs>
        <w:ind w:left="0" w:firstLine="0"/>
        <w:jc w:val="left"/>
        <w:rPr>
          <w:b w:val="0"/>
          <w:sz w:val="22"/>
          <w:szCs w:val="22"/>
        </w:rPr>
      </w:pPr>
      <w:bookmarkStart w:id="32" w:name="_Toc105673733"/>
      <w:bookmarkStart w:id="33" w:name="_Toc179797536"/>
      <w:r w:rsidRPr="0075518C">
        <w:rPr>
          <w:sz w:val="22"/>
          <w:szCs w:val="22"/>
        </w:rPr>
        <w:t>Permit Shield</w:t>
      </w:r>
      <w:bookmarkEnd w:id="32"/>
      <w:bookmarkEnd w:id="33"/>
    </w:p>
    <w:p w14:paraId="0861376B" w14:textId="77777777" w:rsidR="00C41F4B" w:rsidRPr="00DF6609" w:rsidRDefault="00C41F4B" w:rsidP="00C41F4B">
      <w:pPr>
        <w:numPr>
          <w:ilvl w:val="12"/>
          <w:numId w:val="0"/>
        </w:numPr>
        <w:ind w:left="432" w:hanging="432"/>
        <w:jc w:val="both"/>
        <w:rPr>
          <w:rFonts w:cs="Arial"/>
          <w:sz w:val="20"/>
        </w:rPr>
      </w:pPr>
    </w:p>
    <w:p w14:paraId="1497B82D" w14:textId="77777777" w:rsidR="00C41F4B" w:rsidRPr="00F21983" w:rsidRDefault="00C41F4B" w:rsidP="00C41F4B">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1B814195" w14:textId="77777777" w:rsidR="00C41F4B" w:rsidRPr="00F21983" w:rsidRDefault="00C41F4B" w:rsidP="00C41F4B">
      <w:pPr>
        <w:numPr>
          <w:ilvl w:val="1"/>
          <w:numId w:val="12"/>
        </w:numPr>
        <w:jc w:val="both"/>
        <w:rPr>
          <w:rFonts w:cs="Arial"/>
          <w:sz w:val="20"/>
        </w:rPr>
      </w:pPr>
      <w:r w:rsidRPr="00F21983">
        <w:rPr>
          <w:rFonts w:cs="Arial"/>
          <w:sz w:val="20"/>
        </w:rPr>
        <w:t>The applicable requirements are included and are specifically identified in the ROP.</w:t>
      </w:r>
    </w:p>
    <w:p w14:paraId="48BDC38D" w14:textId="77777777" w:rsidR="00C41F4B" w:rsidRPr="00F21983" w:rsidRDefault="00C41F4B" w:rsidP="00C41F4B">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3303CA92" w14:textId="77777777" w:rsidR="00C41F4B" w:rsidRPr="00F21983" w:rsidRDefault="00C41F4B" w:rsidP="00C41F4B">
      <w:pPr>
        <w:numPr>
          <w:ilvl w:val="12"/>
          <w:numId w:val="0"/>
        </w:numPr>
        <w:ind w:left="432" w:hanging="432"/>
        <w:jc w:val="both"/>
        <w:rPr>
          <w:rFonts w:cs="Arial"/>
          <w:sz w:val="20"/>
        </w:rPr>
      </w:pPr>
    </w:p>
    <w:p w14:paraId="337F0E6B" w14:textId="77777777" w:rsidR="00C41F4B" w:rsidRPr="00F21983" w:rsidRDefault="00C41F4B" w:rsidP="00C41F4B">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C58EE5F" w14:textId="77777777" w:rsidR="00C41F4B" w:rsidRPr="00F21983" w:rsidRDefault="00C41F4B" w:rsidP="00C41F4B">
      <w:pPr>
        <w:numPr>
          <w:ilvl w:val="12"/>
          <w:numId w:val="0"/>
        </w:numPr>
        <w:ind w:left="432" w:hanging="432"/>
        <w:jc w:val="both"/>
        <w:rPr>
          <w:rFonts w:cs="Arial"/>
          <w:sz w:val="20"/>
        </w:rPr>
      </w:pPr>
    </w:p>
    <w:p w14:paraId="6ABD81A2" w14:textId="77777777" w:rsidR="00C41F4B" w:rsidRPr="00F21983" w:rsidRDefault="00C41F4B" w:rsidP="00C41F4B">
      <w:pPr>
        <w:numPr>
          <w:ilvl w:val="0"/>
          <w:numId w:val="13"/>
        </w:numPr>
        <w:jc w:val="both"/>
        <w:rPr>
          <w:rFonts w:cs="Arial"/>
          <w:sz w:val="20"/>
        </w:rPr>
      </w:pPr>
      <w:r w:rsidRPr="00F21983">
        <w:rPr>
          <w:rFonts w:cs="Arial"/>
          <w:sz w:val="20"/>
        </w:rPr>
        <w:t>Nothing in this ROP shall alter or affect any of the following:</w:t>
      </w:r>
    </w:p>
    <w:p w14:paraId="03231CDD" w14:textId="77777777" w:rsidR="00C41F4B" w:rsidRPr="005E3E6D" w:rsidRDefault="00C41F4B" w:rsidP="00C41F4B">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5170B2C" w14:textId="77777777" w:rsidR="00C41F4B" w:rsidRPr="005E3E6D" w:rsidRDefault="00C41F4B" w:rsidP="00C41F4B">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10147C5E" w14:textId="77777777" w:rsidR="00C41F4B" w:rsidRDefault="00C41F4B" w:rsidP="00C41F4B">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7CF3E368" w14:textId="77777777" w:rsidR="00C41F4B" w:rsidRPr="004D007B" w:rsidRDefault="00C41F4B" w:rsidP="00C41F4B">
      <w:pPr>
        <w:pStyle w:val="ListParagraph"/>
        <w:numPr>
          <w:ilvl w:val="0"/>
          <w:numId w:val="29"/>
        </w:numPr>
        <w:jc w:val="both"/>
        <w:rPr>
          <w:rFonts w:cs="Arial"/>
          <w:sz w:val="20"/>
        </w:rPr>
      </w:pPr>
      <w:r w:rsidRPr="004D007B">
        <w:rPr>
          <w:rFonts w:cs="Arial"/>
          <w:sz w:val="20"/>
        </w:rPr>
        <w:lastRenderedPageBreak/>
        <w:t xml:space="preserve">The ability of the USEPA to obtain information from a source pursuant to Section 114 of the CAA.  </w:t>
      </w:r>
      <w:r w:rsidRPr="004D007B">
        <w:rPr>
          <w:rFonts w:cs="Arial"/>
          <w:b/>
          <w:sz w:val="20"/>
        </w:rPr>
        <w:t>(R 336.1213(6)(b)(iv))</w:t>
      </w:r>
    </w:p>
    <w:p w14:paraId="33681501" w14:textId="77777777" w:rsidR="00C41F4B" w:rsidRPr="00F21983" w:rsidRDefault="00C41F4B" w:rsidP="00C41F4B">
      <w:pPr>
        <w:numPr>
          <w:ilvl w:val="12"/>
          <w:numId w:val="0"/>
        </w:numPr>
        <w:ind w:left="432" w:hanging="432"/>
        <w:jc w:val="both"/>
        <w:rPr>
          <w:rFonts w:cs="Arial"/>
          <w:sz w:val="20"/>
        </w:rPr>
      </w:pPr>
    </w:p>
    <w:p w14:paraId="3AFA8388" w14:textId="77777777" w:rsidR="00C41F4B" w:rsidRPr="00F21983" w:rsidRDefault="00C41F4B" w:rsidP="00C41F4B">
      <w:pPr>
        <w:numPr>
          <w:ilvl w:val="0"/>
          <w:numId w:val="15"/>
        </w:numPr>
        <w:jc w:val="both"/>
        <w:rPr>
          <w:rFonts w:cs="Arial"/>
          <w:sz w:val="20"/>
        </w:rPr>
      </w:pPr>
      <w:r w:rsidRPr="00F21983">
        <w:rPr>
          <w:rFonts w:cs="Arial"/>
          <w:sz w:val="20"/>
        </w:rPr>
        <w:t>The permit shield shall not apply to provisions incorporated into this ROP through procedures for any of the following:</w:t>
      </w:r>
    </w:p>
    <w:p w14:paraId="3794CCC7" w14:textId="77777777" w:rsidR="00C41F4B" w:rsidRPr="00F21983" w:rsidRDefault="00C41F4B" w:rsidP="00C41F4B">
      <w:pPr>
        <w:numPr>
          <w:ilvl w:val="1"/>
          <w:numId w:val="16"/>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280B5FF" w14:textId="77777777" w:rsidR="00C41F4B" w:rsidRPr="00F21983" w:rsidRDefault="00C41F4B" w:rsidP="00C41F4B">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7ED2F151" w14:textId="77777777" w:rsidR="00C41F4B" w:rsidRPr="00F21983" w:rsidRDefault="00C41F4B" w:rsidP="00C41F4B">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D80B006" w14:textId="77777777" w:rsidR="00C41F4B" w:rsidRPr="00F21983" w:rsidRDefault="00C41F4B" w:rsidP="00C41F4B">
      <w:pPr>
        <w:numPr>
          <w:ilvl w:val="1"/>
          <w:numId w:val="16"/>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CEDE345" w14:textId="77777777" w:rsidR="00C41F4B" w:rsidRPr="00F21983" w:rsidRDefault="00C41F4B" w:rsidP="00C41F4B">
      <w:pPr>
        <w:numPr>
          <w:ilvl w:val="1"/>
          <w:numId w:val="16"/>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D34A91A" w14:textId="77777777" w:rsidR="00C41F4B" w:rsidRPr="00F21983" w:rsidRDefault="00C41F4B" w:rsidP="00C41F4B">
      <w:pPr>
        <w:numPr>
          <w:ilvl w:val="12"/>
          <w:numId w:val="0"/>
        </w:numPr>
        <w:ind w:left="432" w:hanging="432"/>
        <w:jc w:val="both"/>
        <w:rPr>
          <w:rFonts w:cs="Arial"/>
          <w:sz w:val="20"/>
        </w:rPr>
      </w:pPr>
    </w:p>
    <w:p w14:paraId="48483EE2" w14:textId="77777777" w:rsidR="00C41F4B" w:rsidRPr="00F21983" w:rsidRDefault="00C41F4B" w:rsidP="00C41F4B">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16A14849" w14:textId="77777777" w:rsidR="00C41F4B" w:rsidRPr="00F21983" w:rsidRDefault="00C41F4B" w:rsidP="00C41F4B">
      <w:pPr>
        <w:numPr>
          <w:ilvl w:val="12"/>
          <w:numId w:val="0"/>
        </w:numPr>
        <w:ind w:left="432" w:hanging="432"/>
        <w:jc w:val="both"/>
        <w:rPr>
          <w:rFonts w:cs="Arial"/>
          <w:sz w:val="20"/>
        </w:rPr>
      </w:pPr>
    </w:p>
    <w:p w14:paraId="445EC660" w14:textId="77777777" w:rsidR="00C41F4B" w:rsidRPr="00ED4D9A" w:rsidRDefault="00C41F4B" w:rsidP="00C41F4B">
      <w:pPr>
        <w:pStyle w:val="Heading2"/>
        <w:tabs>
          <w:tab w:val="clear" w:pos="360"/>
          <w:tab w:val="num" w:pos="0"/>
        </w:tabs>
        <w:ind w:left="0" w:firstLine="0"/>
        <w:jc w:val="left"/>
        <w:rPr>
          <w:b w:val="0"/>
          <w:sz w:val="22"/>
          <w:szCs w:val="22"/>
        </w:rPr>
      </w:pPr>
      <w:bookmarkStart w:id="34" w:name="_Toc105673734"/>
      <w:bookmarkStart w:id="35" w:name="_Toc179797537"/>
      <w:r w:rsidRPr="0075518C">
        <w:rPr>
          <w:sz w:val="22"/>
          <w:szCs w:val="22"/>
        </w:rPr>
        <w:t>Revisions</w:t>
      </w:r>
      <w:bookmarkEnd w:id="34"/>
      <w:bookmarkEnd w:id="35"/>
    </w:p>
    <w:p w14:paraId="02ED3103" w14:textId="77777777" w:rsidR="00C41F4B" w:rsidRPr="00F21983" w:rsidRDefault="00C41F4B" w:rsidP="00C41F4B">
      <w:pPr>
        <w:numPr>
          <w:ilvl w:val="12"/>
          <w:numId w:val="0"/>
        </w:numPr>
        <w:ind w:left="432" w:hanging="432"/>
        <w:jc w:val="both"/>
        <w:rPr>
          <w:rFonts w:cs="Arial"/>
          <w:sz w:val="20"/>
        </w:rPr>
      </w:pPr>
    </w:p>
    <w:p w14:paraId="607DF54A" w14:textId="77777777" w:rsidR="00C41F4B" w:rsidRPr="00F21983" w:rsidRDefault="00C41F4B" w:rsidP="00C41F4B">
      <w:pPr>
        <w:numPr>
          <w:ilvl w:val="0"/>
          <w:numId w:val="17"/>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5B37F060" w14:textId="77777777" w:rsidR="00C41F4B" w:rsidRPr="00F21983" w:rsidRDefault="00C41F4B" w:rsidP="00C41F4B">
      <w:pPr>
        <w:jc w:val="both"/>
        <w:rPr>
          <w:rFonts w:cs="Arial"/>
          <w:spacing w:val="-3"/>
          <w:sz w:val="20"/>
        </w:rPr>
      </w:pPr>
    </w:p>
    <w:p w14:paraId="0C0D7137" w14:textId="77777777" w:rsidR="00C41F4B" w:rsidRPr="00F21983" w:rsidRDefault="00C41F4B" w:rsidP="00C41F4B">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7ABCF264" w14:textId="77777777" w:rsidR="00C41F4B" w:rsidRPr="00F21983" w:rsidRDefault="00C41F4B" w:rsidP="00C41F4B">
      <w:pPr>
        <w:numPr>
          <w:ilvl w:val="12"/>
          <w:numId w:val="0"/>
        </w:numPr>
        <w:jc w:val="both"/>
        <w:rPr>
          <w:rFonts w:cs="Arial"/>
          <w:sz w:val="20"/>
        </w:rPr>
      </w:pPr>
    </w:p>
    <w:p w14:paraId="3DABD4FF" w14:textId="77777777" w:rsidR="00C41F4B" w:rsidRPr="00FF072F" w:rsidRDefault="00C41F4B" w:rsidP="00C41F4B">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04171F6B" w14:textId="77777777" w:rsidR="00C41F4B" w:rsidRPr="00FF072F" w:rsidRDefault="00C41F4B" w:rsidP="00C41F4B">
      <w:pPr>
        <w:autoSpaceDE w:val="0"/>
        <w:autoSpaceDN w:val="0"/>
        <w:adjustRightInd w:val="0"/>
        <w:jc w:val="both"/>
        <w:rPr>
          <w:rFonts w:cs="Arial"/>
          <w:sz w:val="20"/>
        </w:rPr>
      </w:pPr>
    </w:p>
    <w:p w14:paraId="061D0B1D" w14:textId="77777777" w:rsidR="00C41F4B" w:rsidRPr="00FF072F" w:rsidRDefault="00C41F4B" w:rsidP="00C41F4B">
      <w:pPr>
        <w:numPr>
          <w:ilvl w:val="0"/>
          <w:numId w:val="17"/>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w:t>
      </w:r>
      <w:proofErr w:type="gramStart"/>
      <w:r w:rsidRPr="00FF072F">
        <w:rPr>
          <w:rFonts w:cs="Arial"/>
          <w:sz w:val="20"/>
        </w:rPr>
        <w:t>time period</w:t>
      </w:r>
      <w:proofErr w:type="gramEnd"/>
      <w:r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Pr="00FF072F">
        <w:rPr>
          <w:rFonts w:cs="Arial"/>
          <w:sz w:val="20"/>
        </w:rPr>
        <w:t>time period</w:t>
      </w:r>
      <w:proofErr w:type="gramEnd"/>
      <w:r w:rsidRPr="00FF072F">
        <w:rPr>
          <w:rFonts w:cs="Arial"/>
          <w:sz w:val="20"/>
        </w:rPr>
        <w:t xml:space="preserve">, the terms and conditions in the ROP are enforceable.  </w:t>
      </w:r>
      <w:r>
        <w:rPr>
          <w:rFonts w:cs="Arial"/>
          <w:b/>
          <w:sz w:val="20"/>
        </w:rPr>
        <w:t>(R 336.1216(1)(c)(iii</w:t>
      </w:r>
      <w:r w:rsidRPr="00FF072F">
        <w:rPr>
          <w:rFonts w:cs="Arial"/>
          <w:b/>
          <w:sz w:val="20"/>
        </w:rPr>
        <w:t>), R 336.1216(2)(d), R 336.1216(4)(d))</w:t>
      </w:r>
    </w:p>
    <w:p w14:paraId="234016B4" w14:textId="77777777" w:rsidR="00C41F4B" w:rsidRPr="00FF072F" w:rsidRDefault="00C41F4B" w:rsidP="00C41F4B">
      <w:pPr>
        <w:jc w:val="both"/>
        <w:rPr>
          <w:rFonts w:cs="Arial"/>
          <w:sz w:val="20"/>
        </w:rPr>
      </w:pPr>
    </w:p>
    <w:p w14:paraId="6CB3AF96" w14:textId="77777777" w:rsidR="00C41F4B" w:rsidRPr="00ED4D9A" w:rsidRDefault="00C41F4B" w:rsidP="00C41F4B">
      <w:pPr>
        <w:pStyle w:val="Heading2"/>
        <w:tabs>
          <w:tab w:val="clear" w:pos="360"/>
          <w:tab w:val="num" w:pos="0"/>
        </w:tabs>
        <w:ind w:left="0" w:firstLine="0"/>
        <w:jc w:val="left"/>
        <w:rPr>
          <w:b w:val="0"/>
          <w:sz w:val="22"/>
          <w:szCs w:val="22"/>
        </w:rPr>
      </w:pPr>
      <w:bookmarkStart w:id="36" w:name="_Toc105673735"/>
      <w:bookmarkStart w:id="37" w:name="_Toc179797538"/>
      <w:proofErr w:type="spellStart"/>
      <w:r w:rsidRPr="0075518C">
        <w:rPr>
          <w:sz w:val="22"/>
          <w:szCs w:val="22"/>
        </w:rPr>
        <w:t>Reopenings</w:t>
      </w:r>
      <w:bookmarkEnd w:id="36"/>
      <w:bookmarkEnd w:id="37"/>
      <w:proofErr w:type="spellEnd"/>
    </w:p>
    <w:p w14:paraId="4463F02C" w14:textId="77777777" w:rsidR="00C41F4B" w:rsidRPr="00752D7A" w:rsidRDefault="00C41F4B" w:rsidP="00C41F4B">
      <w:pPr>
        <w:jc w:val="both"/>
        <w:rPr>
          <w:rFonts w:cs="Arial"/>
          <w:szCs w:val="22"/>
        </w:rPr>
      </w:pPr>
    </w:p>
    <w:p w14:paraId="4901AA5D" w14:textId="77777777" w:rsidR="00C41F4B" w:rsidRPr="00F21983" w:rsidRDefault="00C41F4B" w:rsidP="00C41F4B">
      <w:pPr>
        <w:numPr>
          <w:ilvl w:val="0"/>
          <w:numId w:val="18"/>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5FF19E94" w14:textId="77777777" w:rsidR="00C41F4B" w:rsidRPr="00F21983" w:rsidRDefault="00C41F4B" w:rsidP="00C41F4B">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35D8A14" w14:textId="77777777" w:rsidR="00C41F4B" w:rsidRPr="00F21983" w:rsidRDefault="00C41F4B" w:rsidP="00C41F4B">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686F3D6" w14:textId="77777777" w:rsidR="00C41F4B" w:rsidRPr="00F21983" w:rsidRDefault="00C41F4B" w:rsidP="00C41F4B">
      <w:pPr>
        <w:numPr>
          <w:ilvl w:val="1"/>
          <w:numId w:val="18"/>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42453906" w14:textId="77777777" w:rsidR="00C41F4B" w:rsidRPr="00F21983" w:rsidRDefault="00C41F4B" w:rsidP="00C41F4B">
      <w:pPr>
        <w:numPr>
          <w:ilvl w:val="1"/>
          <w:numId w:val="18"/>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74A984AD" w14:textId="22FD8B48" w:rsidR="00C41F4B" w:rsidRPr="00F21983" w:rsidRDefault="00C41F4B" w:rsidP="00C41F4B">
      <w:pPr>
        <w:jc w:val="both"/>
        <w:rPr>
          <w:rFonts w:cs="Arial"/>
          <w:sz w:val="20"/>
        </w:rPr>
      </w:pPr>
    </w:p>
    <w:p w14:paraId="2653D776" w14:textId="77777777" w:rsidR="00C41F4B" w:rsidRPr="00ED4D9A" w:rsidRDefault="00C41F4B" w:rsidP="00C41F4B">
      <w:pPr>
        <w:pStyle w:val="Heading2"/>
        <w:tabs>
          <w:tab w:val="clear" w:pos="360"/>
          <w:tab w:val="num" w:pos="0"/>
        </w:tabs>
        <w:ind w:left="0" w:firstLine="0"/>
        <w:jc w:val="left"/>
        <w:rPr>
          <w:b w:val="0"/>
          <w:sz w:val="22"/>
          <w:szCs w:val="22"/>
        </w:rPr>
      </w:pPr>
      <w:bookmarkStart w:id="38" w:name="_Toc105673736"/>
      <w:bookmarkStart w:id="39" w:name="_Toc179797539"/>
      <w:r w:rsidRPr="0075518C">
        <w:rPr>
          <w:sz w:val="22"/>
          <w:szCs w:val="22"/>
        </w:rPr>
        <w:lastRenderedPageBreak/>
        <w:t>Renewals</w:t>
      </w:r>
      <w:bookmarkEnd w:id="38"/>
      <w:bookmarkEnd w:id="39"/>
    </w:p>
    <w:p w14:paraId="797D9205" w14:textId="77777777" w:rsidR="00C41F4B" w:rsidRPr="005E3E6D" w:rsidRDefault="00C41F4B" w:rsidP="00C41F4B">
      <w:pPr>
        <w:jc w:val="both"/>
        <w:rPr>
          <w:rFonts w:cs="Arial"/>
          <w:sz w:val="20"/>
        </w:rPr>
      </w:pPr>
    </w:p>
    <w:p w14:paraId="6157C6F2" w14:textId="77777777" w:rsidR="00C41F4B" w:rsidRPr="005E3E6D" w:rsidRDefault="00C41F4B" w:rsidP="00C41F4B">
      <w:pPr>
        <w:numPr>
          <w:ilvl w:val="0"/>
          <w:numId w:val="19"/>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7F7818F0" w14:textId="77777777" w:rsidR="00C41F4B" w:rsidRPr="005E3E6D" w:rsidRDefault="00C41F4B" w:rsidP="00C41F4B">
      <w:pPr>
        <w:jc w:val="both"/>
        <w:rPr>
          <w:rFonts w:cs="Arial"/>
          <w:sz w:val="20"/>
        </w:rPr>
      </w:pPr>
    </w:p>
    <w:p w14:paraId="3D61A606" w14:textId="77777777" w:rsidR="00C41F4B" w:rsidRPr="00ED4D9A" w:rsidRDefault="00C41F4B" w:rsidP="00C41F4B">
      <w:pPr>
        <w:pStyle w:val="Heading2"/>
        <w:numPr>
          <w:ilvl w:val="0"/>
          <w:numId w:val="0"/>
        </w:numPr>
        <w:jc w:val="left"/>
        <w:rPr>
          <w:b w:val="0"/>
          <w:bCs/>
          <w:sz w:val="22"/>
        </w:rPr>
      </w:pPr>
      <w:bookmarkStart w:id="40" w:name="_Toc105673737"/>
      <w:bookmarkStart w:id="41" w:name="_Toc179797540"/>
      <w:r w:rsidRPr="0075518C">
        <w:rPr>
          <w:bCs/>
          <w:sz w:val="22"/>
        </w:rPr>
        <w:t>Stratospheric Ozone Protection</w:t>
      </w:r>
      <w:bookmarkEnd w:id="40"/>
      <w:bookmarkEnd w:id="41"/>
    </w:p>
    <w:p w14:paraId="662B1150" w14:textId="77777777" w:rsidR="00C41F4B" w:rsidRPr="00F21983" w:rsidRDefault="00C41F4B" w:rsidP="00C41F4B">
      <w:pPr>
        <w:jc w:val="both"/>
        <w:rPr>
          <w:sz w:val="20"/>
        </w:rPr>
      </w:pPr>
    </w:p>
    <w:p w14:paraId="1D4421CD" w14:textId="77777777" w:rsidR="00C41F4B" w:rsidRPr="002C152E" w:rsidRDefault="00C41F4B" w:rsidP="00C41F4B">
      <w:pPr>
        <w:numPr>
          <w:ilvl w:val="0"/>
          <w:numId w:val="19"/>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59D172FD" w14:textId="77777777" w:rsidR="00C41F4B" w:rsidRPr="00F21983" w:rsidRDefault="00C41F4B" w:rsidP="00C41F4B">
      <w:pPr>
        <w:rPr>
          <w:sz w:val="20"/>
        </w:rPr>
      </w:pPr>
    </w:p>
    <w:p w14:paraId="5335329E" w14:textId="77777777" w:rsidR="00C41F4B" w:rsidRPr="00F21983" w:rsidRDefault="00C41F4B" w:rsidP="00C41F4B">
      <w:pPr>
        <w:numPr>
          <w:ilvl w:val="0"/>
          <w:numId w:val="19"/>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AE3C804" w14:textId="77777777" w:rsidR="00C41F4B" w:rsidRPr="00F21983" w:rsidRDefault="00C41F4B" w:rsidP="00C41F4B">
      <w:pPr>
        <w:jc w:val="both"/>
        <w:rPr>
          <w:rFonts w:cs="Arial"/>
          <w:sz w:val="20"/>
        </w:rPr>
      </w:pPr>
    </w:p>
    <w:p w14:paraId="4F7D1B84" w14:textId="77777777" w:rsidR="00C41F4B" w:rsidRPr="00ED4D9A" w:rsidRDefault="00C41F4B" w:rsidP="00C41F4B">
      <w:pPr>
        <w:pStyle w:val="Heading2"/>
        <w:numPr>
          <w:ilvl w:val="0"/>
          <w:numId w:val="0"/>
        </w:numPr>
        <w:jc w:val="left"/>
        <w:rPr>
          <w:b w:val="0"/>
          <w:bCs/>
          <w:sz w:val="22"/>
        </w:rPr>
      </w:pPr>
      <w:bookmarkStart w:id="42" w:name="_Toc105673738"/>
      <w:bookmarkStart w:id="43" w:name="_Toc179797541"/>
      <w:r w:rsidRPr="0075518C">
        <w:rPr>
          <w:bCs/>
          <w:sz w:val="22"/>
        </w:rPr>
        <w:t>Risk Management Plan</w:t>
      </w:r>
      <w:bookmarkEnd w:id="42"/>
      <w:bookmarkEnd w:id="43"/>
    </w:p>
    <w:p w14:paraId="0D957D89" w14:textId="77777777" w:rsidR="00C41F4B" w:rsidRPr="0075518C" w:rsidRDefault="00C41F4B" w:rsidP="00C41F4B">
      <w:pPr>
        <w:jc w:val="both"/>
      </w:pPr>
    </w:p>
    <w:p w14:paraId="3AFD976F" w14:textId="77777777" w:rsidR="00C41F4B" w:rsidRPr="00F21983" w:rsidRDefault="00C41F4B" w:rsidP="00C41F4B">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2DA74CAD" w14:textId="77777777" w:rsidR="00C41F4B" w:rsidRPr="00F21983" w:rsidRDefault="00C41F4B" w:rsidP="00C41F4B">
      <w:pPr>
        <w:numPr>
          <w:ilvl w:val="12"/>
          <w:numId w:val="0"/>
        </w:numPr>
        <w:ind w:left="432" w:hanging="432"/>
        <w:jc w:val="both"/>
        <w:rPr>
          <w:rFonts w:cs="Arial"/>
          <w:sz w:val="20"/>
        </w:rPr>
      </w:pPr>
    </w:p>
    <w:p w14:paraId="06354A0A" w14:textId="77777777" w:rsidR="00C41F4B" w:rsidRPr="00F21983" w:rsidRDefault="00C41F4B" w:rsidP="00C41F4B">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5661628" w14:textId="77777777" w:rsidR="00C41F4B" w:rsidRPr="00F21983" w:rsidRDefault="00C41F4B" w:rsidP="00C41F4B">
      <w:pPr>
        <w:numPr>
          <w:ilvl w:val="1"/>
          <w:numId w:val="20"/>
        </w:numPr>
        <w:jc w:val="both"/>
        <w:rPr>
          <w:rFonts w:cs="Arial"/>
          <w:sz w:val="20"/>
        </w:rPr>
      </w:pPr>
      <w:r w:rsidRPr="00F21983">
        <w:rPr>
          <w:rFonts w:cs="Arial"/>
          <w:sz w:val="20"/>
        </w:rPr>
        <w:t>June 21, 1999,</w:t>
      </w:r>
    </w:p>
    <w:p w14:paraId="786CE308" w14:textId="77777777" w:rsidR="00C41F4B" w:rsidRPr="00F21983" w:rsidRDefault="00C41F4B" w:rsidP="00C41F4B">
      <w:pPr>
        <w:numPr>
          <w:ilvl w:val="1"/>
          <w:numId w:val="20"/>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044E9655" w14:textId="77777777" w:rsidR="00C41F4B" w:rsidRPr="00F21983" w:rsidRDefault="00C41F4B" w:rsidP="00C41F4B">
      <w:pPr>
        <w:numPr>
          <w:ilvl w:val="1"/>
          <w:numId w:val="20"/>
        </w:numPr>
        <w:jc w:val="both"/>
        <w:rPr>
          <w:rFonts w:cs="Arial"/>
          <w:sz w:val="20"/>
        </w:rPr>
      </w:pPr>
      <w:r w:rsidRPr="00F21983">
        <w:rPr>
          <w:rFonts w:cs="Arial"/>
          <w:sz w:val="20"/>
        </w:rPr>
        <w:t>The date on which a regulated substance is first present above a threshold quantity in a process.</w:t>
      </w:r>
    </w:p>
    <w:p w14:paraId="55E9E80F" w14:textId="77777777" w:rsidR="00C41F4B" w:rsidRPr="00F21983" w:rsidRDefault="00C41F4B" w:rsidP="00C41F4B">
      <w:pPr>
        <w:numPr>
          <w:ilvl w:val="12"/>
          <w:numId w:val="0"/>
        </w:numPr>
        <w:ind w:left="432" w:hanging="432"/>
        <w:jc w:val="both"/>
        <w:rPr>
          <w:rFonts w:cs="Arial"/>
          <w:sz w:val="20"/>
        </w:rPr>
      </w:pPr>
    </w:p>
    <w:p w14:paraId="09787599" w14:textId="77777777" w:rsidR="00C41F4B" w:rsidRPr="00F21983" w:rsidRDefault="00C41F4B" w:rsidP="00C41F4B">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D442281" w14:textId="77777777" w:rsidR="00C41F4B" w:rsidRPr="00F21983" w:rsidRDefault="00C41F4B" w:rsidP="00C41F4B">
      <w:pPr>
        <w:numPr>
          <w:ilvl w:val="12"/>
          <w:numId w:val="0"/>
        </w:numPr>
        <w:ind w:left="432" w:hanging="432"/>
        <w:jc w:val="both"/>
        <w:rPr>
          <w:rFonts w:cs="Arial"/>
          <w:sz w:val="20"/>
        </w:rPr>
      </w:pPr>
    </w:p>
    <w:p w14:paraId="69ECAA58" w14:textId="77777777" w:rsidR="00C41F4B" w:rsidRPr="00F21983" w:rsidRDefault="00C41F4B" w:rsidP="00C41F4B">
      <w:pPr>
        <w:numPr>
          <w:ilvl w:val="0"/>
          <w:numId w:val="20"/>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374FD8FF" w14:textId="77777777" w:rsidR="00C41F4B" w:rsidRPr="007713F1" w:rsidRDefault="00C41F4B" w:rsidP="00C41F4B">
      <w:pPr>
        <w:numPr>
          <w:ilvl w:val="12"/>
          <w:numId w:val="0"/>
        </w:numPr>
        <w:ind w:left="432" w:hanging="432"/>
        <w:jc w:val="both"/>
        <w:rPr>
          <w:rFonts w:cs="Arial"/>
          <w:sz w:val="20"/>
        </w:rPr>
      </w:pPr>
    </w:p>
    <w:p w14:paraId="0D447F1D" w14:textId="77777777" w:rsidR="00C41F4B" w:rsidRPr="00A02310" w:rsidRDefault="00C41F4B" w:rsidP="00C41F4B">
      <w:pPr>
        <w:pStyle w:val="Heading2"/>
        <w:numPr>
          <w:ilvl w:val="0"/>
          <w:numId w:val="0"/>
        </w:numPr>
        <w:jc w:val="left"/>
        <w:rPr>
          <w:b w:val="0"/>
          <w:bCs/>
          <w:sz w:val="22"/>
        </w:rPr>
      </w:pPr>
      <w:bookmarkStart w:id="44" w:name="_Toc105673739"/>
      <w:bookmarkStart w:id="45" w:name="_Toc179797542"/>
      <w:r w:rsidRPr="0075518C">
        <w:rPr>
          <w:bCs/>
          <w:sz w:val="22"/>
        </w:rPr>
        <w:t>Emission Trading</w:t>
      </w:r>
      <w:bookmarkEnd w:id="44"/>
      <w:bookmarkEnd w:id="45"/>
    </w:p>
    <w:p w14:paraId="17CD3229" w14:textId="77777777" w:rsidR="00C41F4B" w:rsidRPr="007713F1" w:rsidRDefault="00C41F4B" w:rsidP="00C41F4B">
      <w:pPr>
        <w:numPr>
          <w:ilvl w:val="12"/>
          <w:numId w:val="0"/>
        </w:numPr>
        <w:ind w:left="432" w:hanging="432"/>
        <w:rPr>
          <w:rFonts w:cs="Arial"/>
          <w:sz w:val="20"/>
        </w:rPr>
      </w:pPr>
    </w:p>
    <w:p w14:paraId="360A1255" w14:textId="77777777" w:rsidR="00C41F4B" w:rsidRPr="00F21983" w:rsidRDefault="00C41F4B" w:rsidP="00C41F4B">
      <w:pPr>
        <w:numPr>
          <w:ilvl w:val="0"/>
          <w:numId w:val="21"/>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3B6E0CA3" w14:textId="73D4FE94" w:rsidR="00C41F4B" w:rsidRPr="00DF6609" w:rsidRDefault="00C41F4B" w:rsidP="00C41F4B">
      <w:pPr>
        <w:rPr>
          <w:sz w:val="20"/>
        </w:rPr>
      </w:pPr>
    </w:p>
    <w:p w14:paraId="07E7A72E" w14:textId="77777777" w:rsidR="00C41F4B" w:rsidRPr="00A02310" w:rsidRDefault="00C41F4B" w:rsidP="00C41F4B">
      <w:pPr>
        <w:pStyle w:val="Heading2"/>
        <w:numPr>
          <w:ilvl w:val="0"/>
          <w:numId w:val="0"/>
        </w:numPr>
        <w:jc w:val="left"/>
        <w:rPr>
          <w:b w:val="0"/>
          <w:bCs/>
          <w:sz w:val="22"/>
        </w:rPr>
      </w:pPr>
      <w:bookmarkStart w:id="46" w:name="_Toc105673740"/>
      <w:bookmarkStart w:id="47" w:name="_Toc179797543"/>
      <w:r w:rsidRPr="0075518C">
        <w:rPr>
          <w:bCs/>
          <w:sz w:val="22"/>
        </w:rPr>
        <w:lastRenderedPageBreak/>
        <w:t xml:space="preserve">Permit </w:t>
      </w:r>
      <w:r>
        <w:rPr>
          <w:bCs/>
          <w:sz w:val="22"/>
        </w:rPr>
        <w:t>t</w:t>
      </w:r>
      <w:r w:rsidRPr="0075518C">
        <w:rPr>
          <w:bCs/>
          <w:sz w:val="22"/>
        </w:rPr>
        <w:t>o Install (PTI)</w:t>
      </w:r>
      <w:bookmarkEnd w:id="46"/>
      <w:bookmarkEnd w:id="47"/>
    </w:p>
    <w:p w14:paraId="5D053AA5" w14:textId="77777777" w:rsidR="00C41F4B" w:rsidRPr="00DF6609" w:rsidRDefault="00C41F4B" w:rsidP="00C41F4B">
      <w:pPr>
        <w:rPr>
          <w:rFonts w:cs="Arial"/>
          <w:sz w:val="20"/>
        </w:rPr>
      </w:pPr>
    </w:p>
    <w:p w14:paraId="2CA7A8DB" w14:textId="77777777" w:rsidR="00C41F4B" w:rsidRPr="00105176" w:rsidRDefault="00C41F4B" w:rsidP="00C41F4B">
      <w:pPr>
        <w:numPr>
          <w:ilvl w:val="0"/>
          <w:numId w:val="21"/>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proofErr w:type="gramStart"/>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w:t>
      </w:r>
      <w:proofErr w:type="gramEnd"/>
      <w:r w:rsidRPr="00F21983">
        <w:rPr>
          <w:rFonts w:cs="Arial"/>
          <w:b/>
          <w:sz w:val="20"/>
        </w:rPr>
        <w:t xml:space="preserve">R 336.1201(1)) </w:t>
      </w:r>
    </w:p>
    <w:p w14:paraId="37059607" w14:textId="77777777" w:rsidR="00C41F4B" w:rsidRPr="00F21983" w:rsidRDefault="00C41F4B" w:rsidP="00C41F4B">
      <w:pPr>
        <w:jc w:val="both"/>
        <w:rPr>
          <w:rFonts w:cs="Arial"/>
          <w:sz w:val="20"/>
        </w:rPr>
      </w:pPr>
    </w:p>
    <w:p w14:paraId="6C59546B" w14:textId="77777777" w:rsidR="00C41F4B" w:rsidRPr="00105176" w:rsidRDefault="00C41F4B" w:rsidP="00C41F4B">
      <w:pPr>
        <w:numPr>
          <w:ilvl w:val="0"/>
          <w:numId w:val="21"/>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proofErr w:type="gramStart"/>
      <w:r w:rsidRPr="00B55DC9">
        <w:rPr>
          <w:rFonts w:cs="Arial"/>
          <w:sz w:val="20"/>
          <w:vertAlign w:val="superscript"/>
        </w:rPr>
        <w:t xml:space="preserve">2 </w:t>
      </w:r>
      <w:r>
        <w:rPr>
          <w:rFonts w:cs="Arial"/>
          <w:sz w:val="20"/>
          <w:vertAlign w:val="superscript"/>
        </w:rPr>
        <w:t xml:space="preserve"> </w:t>
      </w:r>
      <w:r w:rsidRPr="00F21983">
        <w:rPr>
          <w:rFonts w:cs="Arial"/>
          <w:b/>
          <w:sz w:val="20"/>
        </w:rPr>
        <w:t>(</w:t>
      </w:r>
      <w:proofErr w:type="gramEnd"/>
      <w:r w:rsidRPr="00F21983">
        <w:rPr>
          <w:rFonts w:cs="Arial"/>
          <w:b/>
          <w:sz w:val="20"/>
        </w:rPr>
        <w:t xml:space="preserve">R 336.1201(8), Section 5510 of Act 451) </w:t>
      </w:r>
    </w:p>
    <w:p w14:paraId="3A0890D2" w14:textId="77777777" w:rsidR="00C41F4B" w:rsidRDefault="00C41F4B" w:rsidP="00C41F4B">
      <w:pPr>
        <w:jc w:val="both"/>
        <w:rPr>
          <w:rFonts w:cs="Arial"/>
          <w:sz w:val="20"/>
        </w:rPr>
      </w:pPr>
    </w:p>
    <w:p w14:paraId="75A89D2E" w14:textId="77777777" w:rsidR="00C41F4B" w:rsidRPr="00F21983" w:rsidRDefault="00C41F4B" w:rsidP="00C41F4B">
      <w:pPr>
        <w:numPr>
          <w:ilvl w:val="0"/>
          <w:numId w:val="21"/>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proofErr w:type="gramStart"/>
      <w:r w:rsidRPr="00B55DC9">
        <w:rPr>
          <w:rFonts w:cs="Arial"/>
          <w:sz w:val="20"/>
          <w:vertAlign w:val="superscript"/>
        </w:rPr>
        <w:t>2</w:t>
      </w:r>
      <w:r>
        <w:rPr>
          <w:rFonts w:cs="Arial"/>
          <w:b/>
          <w:sz w:val="20"/>
          <w:vertAlign w:val="superscript"/>
        </w:rPr>
        <w:t xml:space="preserve">  </w:t>
      </w:r>
      <w:r w:rsidRPr="00F21983">
        <w:rPr>
          <w:rFonts w:cs="Arial"/>
          <w:b/>
          <w:sz w:val="20"/>
        </w:rPr>
        <w:t>(</w:t>
      </w:r>
      <w:proofErr w:type="gramEnd"/>
      <w:r w:rsidRPr="00F21983">
        <w:rPr>
          <w:rFonts w:cs="Arial"/>
          <w:b/>
          <w:sz w:val="20"/>
        </w:rPr>
        <w:t xml:space="preserve">R 336.1219) </w:t>
      </w:r>
    </w:p>
    <w:p w14:paraId="60A2E632" w14:textId="77777777" w:rsidR="00C41F4B" w:rsidRPr="00DF6609" w:rsidRDefault="00C41F4B" w:rsidP="00C41F4B">
      <w:pPr>
        <w:rPr>
          <w:rFonts w:cs="Arial"/>
          <w:sz w:val="20"/>
        </w:rPr>
      </w:pPr>
    </w:p>
    <w:p w14:paraId="6465E900" w14:textId="77777777" w:rsidR="00C41F4B" w:rsidRPr="00F21983" w:rsidRDefault="00C41F4B" w:rsidP="00C41F4B">
      <w:pPr>
        <w:numPr>
          <w:ilvl w:val="0"/>
          <w:numId w:val="21"/>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proofErr w:type="gramStart"/>
      <w:r w:rsidRPr="00B55DC9">
        <w:rPr>
          <w:rFonts w:cs="Arial"/>
          <w:sz w:val="20"/>
          <w:vertAlign w:val="superscript"/>
        </w:rPr>
        <w:t xml:space="preserve">2 </w:t>
      </w:r>
      <w:r>
        <w:rPr>
          <w:rFonts w:cs="Arial"/>
          <w:sz w:val="20"/>
          <w:vertAlign w:val="superscript"/>
        </w:rPr>
        <w:t xml:space="preserve"> </w:t>
      </w:r>
      <w:r w:rsidRPr="00F21983">
        <w:rPr>
          <w:rFonts w:cs="Arial"/>
          <w:b/>
          <w:sz w:val="20"/>
        </w:rPr>
        <w:t>(</w:t>
      </w:r>
      <w:proofErr w:type="gramEnd"/>
      <w:r w:rsidRPr="00F21983">
        <w:rPr>
          <w:rFonts w:cs="Arial"/>
          <w:b/>
          <w:sz w:val="20"/>
        </w:rPr>
        <w:t xml:space="preserve">R 336.1201(4)) </w:t>
      </w:r>
    </w:p>
    <w:p w14:paraId="34A880DD" w14:textId="77777777" w:rsidR="00C41F4B" w:rsidRPr="007713F1" w:rsidRDefault="00C41F4B" w:rsidP="00C41F4B">
      <w:pPr>
        <w:rPr>
          <w:rFonts w:cs="Arial"/>
          <w:sz w:val="20"/>
        </w:rPr>
      </w:pPr>
    </w:p>
    <w:p w14:paraId="3F646C49" w14:textId="77777777" w:rsidR="00C41F4B" w:rsidRPr="007713F1" w:rsidRDefault="00C41F4B" w:rsidP="00C41F4B">
      <w:pPr>
        <w:rPr>
          <w:rFonts w:cs="Arial"/>
          <w:sz w:val="20"/>
        </w:rPr>
      </w:pPr>
    </w:p>
    <w:p w14:paraId="0A9B09BC" w14:textId="77777777" w:rsidR="00C41F4B" w:rsidRPr="00A02310" w:rsidRDefault="00C41F4B" w:rsidP="00C41F4B">
      <w:pPr>
        <w:jc w:val="both"/>
        <w:rPr>
          <w:sz w:val="20"/>
        </w:rPr>
      </w:pPr>
      <w:r w:rsidRPr="00105176">
        <w:rPr>
          <w:b/>
          <w:sz w:val="20"/>
          <w:u w:val="single"/>
        </w:rPr>
        <w:t>Footnote</w:t>
      </w:r>
      <w:r>
        <w:rPr>
          <w:b/>
          <w:sz w:val="20"/>
          <w:u w:val="single"/>
        </w:rPr>
        <w:t>s</w:t>
      </w:r>
      <w:r w:rsidRPr="00105176">
        <w:rPr>
          <w:b/>
          <w:sz w:val="20"/>
        </w:rPr>
        <w:t>:</w:t>
      </w:r>
    </w:p>
    <w:p w14:paraId="78D12345" w14:textId="77777777" w:rsidR="00C41F4B" w:rsidRPr="00105176" w:rsidRDefault="00C41F4B" w:rsidP="00C41F4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0A431431" w14:textId="77777777" w:rsidR="00C41F4B" w:rsidRPr="00105176" w:rsidRDefault="00C41F4B" w:rsidP="00C41F4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28686756" w14:textId="77777777" w:rsidR="00E9713D" w:rsidRPr="00E9713D" w:rsidRDefault="00E9713D" w:rsidP="00E9713D"/>
    <w:p w14:paraId="1DD0FFFA" w14:textId="77777777" w:rsidR="00E735E6" w:rsidRPr="004C7900" w:rsidRDefault="008055D8" w:rsidP="009E772C">
      <w:pPr>
        <w:jc w:val="both"/>
        <w:rPr>
          <w:sz w:val="20"/>
        </w:rPr>
      </w:pPr>
      <w:r>
        <w:rPr>
          <w:rFonts w:ascii="Arial Black" w:hAnsi="Arial Black"/>
          <w:b/>
          <w:szCs w:val="22"/>
        </w:rPr>
        <w:br w:type="page"/>
      </w:r>
    </w:p>
    <w:p w14:paraId="75F8E9FE" w14:textId="77777777" w:rsidR="00AA3FFA" w:rsidRPr="00AA3FFA" w:rsidRDefault="00AA3FFA" w:rsidP="00AA3FFA">
      <w:pPr>
        <w:rPr>
          <w:sz w:val="20"/>
        </w:rPr>
      </w:pPr>
      <w:bookmarkStart w:id="48" w:name="_Toc852394"/>
      <w:bookmarkStart w:id="49" w:name="_Toc852725"/>
      <w:bookmarkStart w:id="50" w:name="_Toc1453512"/>
    </w:p>
    <w:p w14:paraId="69359CBF" w14:textId="77777777" w:rsidR="0098346A" w:rsidRPr="00752D7A" w:rsidRDefault="0098346A" w:rsidP="00AA3FFA">
      <w:pPr>
        <w:pStyle w:val="Heading1"/>
      </w:pPr>
      <w:bookmarkStart w:id="51" w:name="_Toc179797544"/>
      <w:r w:rsidRPr="00752D7A">
        <w:t xml:space="preserve">B.  </w:t>
      </w:r>
      <w:r w:rsidR="003C2679" w:rsidRPr="00752D7A">
        <w:t>SOURCE-WIDE</w:t>
      </w:r>
      <w:r w:rsidRPr="00752D7A">
        <w:t xml:space="preserve"> </w:t>
      </w:r>
      <w:bookmarkEnd w:id="48"/>
      <w:bookmarkEnd w:id="49"/>
      <w:bookmarkEnd w:id="50"/>
      <w:r w:rsidR="005A53BF" w:rsidRPr="00752D7A">
        <w:t>CONDITIONS</w:t>
      </w:r>
      <w:bookmarkEnd w:id="51"/>
    </w:p>
    <w:p w14:paraId="48CB45BF" w14:textId="77777777" w:rsidR="0098346A" w:rsidRPr="00F21983" w:rsidRDefault="0098346A" w:rsidP="0098346A">
      <w:pPr>
        <w:jc w:val="both"/>
        <w:rPr>
          <w:sz w:val="20"/>
        </w:rPr>
      </w:pPr>
    </w:p>
    <w:p w14:paraId="393F7B9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3761DF6" w14:textId="77777777" w:rsidR="003C2679" w:rsidRPr="00F21983" w:rsidRDefault="003C2679" w:rsidP="0098346A">
      <w:pPr>
        <w:jc w:val="both"/>
        <w:rPr>
          <w:sz w:val="20"/>
        </w:rPr>
      </w:pPr>
    </w:p>
    <w:p w14:paraId="75683DBB"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B152732" w14:textId="77777777" w:rsidR="00875F04" w:rsidRDefault="00875F04" w:rsidP="0098346A">
      <w:pPr>
        <w:jc w:val="both"/>
        <w:rPr>
          <w:sz w:val="20"/>
        </w:rPr>
      </w:pPr>
    </w:p>
    <w:p w14:paraId="358D712C" w14:textId="77777777" w:rsidR="00D72D77" w:rsidRPr="00CC02A3" w:rsidRDefault="00D6512F" w:rsidP="00D72D77">
      <w:pPr>
        <w:pStyle w:val="Header"/>
        <w:tabs>
          <w:tab w:val="clear" w:pos="4320"/>
          <w:tab w:val="clear" w:pos="8640"/>
        </w:tabs>
        <w:rPr>
          <w:sz w:val="20"/>
        </w:rPr>
      </w:pPr>
      <w:r w:rsidRPr="00752D7A">
        <w:rPr>
          <w:szCs w:val="22"/>
        </w:rPr>
        <w:br w:type="page"/>
      </w:r>
    </w:p>
    <w:p w14:paraId="0E3B6DD1" w14:textId="77777777" w:rsidR="0098346A" w:rsidRPr="007713F1" w:rsidRDefault="0098346A" w:rsidP="0007030E"/>
    <w:p w14:paraId="18F0B3AF" w14:textId="77777777" w:rsidR="00E14632" w:rsidRDefault="00ED0AFD" w:rsidP="00CE44D8">
      <w:pPr>
        <w:pStyle w:val="Heading1"/>
      </w:pPr>
      <w:bookmarkStart w:id="52" w:name="_Toc179797545"/>
      <w:bookmarkStart w:id="53" w:name="_Toc852397"/>
      <w:bookmarkStart w:id="54" w:name="_Toc852728"/>
      <w:bookmarkStart w:id="55" w:name="_Toc1453515"/>
      <w:r>
        <w:t xml:space="preserve">C.  </w:t>
      </w:r>
      <w:r w:rsidR="0002792B">
        <w:t xml:space="preserve">EMISSION UNIT </w:t>
      </w:r>
      <w:bookmarkStart w:id="56" w:name="_Toc2571645"/>
      <w:r w:rsidR="00494D15">
        <w:t xml:space="preserve">SPECIAL </w:t>
      </w:r>
      <w:r w:rsidR="00456F47">
        <w:t>CONDITIONS</w:t>
      </w:r>
      <w:bookmarkEnd w:id="52"/>
    </w:p>
    <w:p w14:paraId="652A025C" w14:textId="77777777" w:rsidR="00E14632" w:rsidRPr="00FE0AD0" w:rsidRDefault="00E14632" w:rsidP="00E14632">
      <w:pPr>
        <w:jc w:val="both"/>
        <w:rPr>
          <w:sz w:val="20"/>
        </w:rPr>
      </w:pPr>
    </w:p>
    <w:p w14:paraId="17A96FB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A2EC532" w14:textId="77777777" w:rsidR="009602B7" w:rsidRPr="00FE0AD0" w:rsidRDefault="009602B7" w:rsidP="00E14632">
      <w:pPr>
        <w:jc w:val="both"/>
        <w:rPr>
          <w:sz w:val="20"/>
        </w:rPr>
      </w:pPr>
    </w:p>
    <w:p w14:paraId="4F4FFE9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AE677CA" w14:textId="77777777" w:rsidR="00E14632" w:rsidRDefault="00E14632" w:rsidP="00E14632">
      <w:pPr>
        <w:jc w:val="both"/>
        <w:rPr>
          <w:sz w:val="20"/>
        </w:rPr>
      </w:pPr>
    </w:p>
    <w:p w14:paraId="068E5C2C" w14:textId="77777777" w:rsidR="00E14632" w:rsidRPr="007D4237" w:rsidRDefault="00E14632" w:rsidP="001F649E">
      <w:pPr>
        <w:pStyle w:val="Heading2"/>
        <w:numPr>
          <w:ilvl w:val="0"/>
          <w:numId w:val="0"/>
        </w:numPr>
        <w:rPr>
          <w:b w:val="0"/>
          <w:sz w:val="22"/>
          <w:szCs w:val="22"/>
        </w:rPr>
      </w:pPr>
      <w:bookmarkStart w:id="57" w:name="_Toc852395"/>
      <w:bookmarkStart w:id="58" w:name="_Toc852726"/>
      <w:bookmarkStart w:id="59" w:name="_Toc2571643"/>
      <w:bookmarkStart w:id="60" w:name="_Toc179797546"/>
      <w:r w:rsidRPr="002B5ED5">
        <w:rPr>
          <w:sz w:val="22"/>
          <w:szCs w:val="22"/>
        </w:rPr>
        <w:t>EMISSION UNIT SUMMARY TABLE</w:t>
      </w:r>
      <w:bookmarkEnd w:id="57"/>
      <w:bookmarkEnd w:id="58"/>
      <w:bookmarkEnd w:id="59"/>
      <w:bookmarkEnd w:id="60"/>
    </w:p>
    <w:p w14:paraId="1E72CB05" w14:textId="77777777" w:rsidR="00E14632" w:rsidRDefault="00736BDB" w:rsidP="00736BDB">
      <w:pPr>
        <w:jc w:val="center"/>
      </w:pPr>
      <w:r w:rsidRPr="00F35ADC">
        <w:rPr>
          <w:sz w:val="20"/>
        </w:rPr>
        <w:t>The descriptions provided below are for informational purposes and do not constitute enforceable conditions.</w:t>
      </w:r>
    </w:p>
    <w:p w14:paraId="34E339C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49"/>
        <w:gridCol w:w="2111"/>
      </w:tblGrid>
      <w:tr w:rsidR="00E14632" w14:paraId="78B9715F" w14:textId="77777777" w:rsidTr="00633C60">
        <w:trPr>
          <w:cantSplit/>
          <w:tblHeader/>
        </w:trPr>
        <w:tc>
          <w:tcPr>
            <w:tcW w:w="2160" w:type="dxa"/>
            <w:tcBorders>
              <w:top w:val="double" w:sz="6" w:space="0" w:color="auto"/>
              <w:bottom w:val="double" w:sz="4" w:space="0" w:color="auto"/>
            </w:tcBorders>
            <w:shd w:val="pct10" w:color="auto" w:fill="auto"/>
          </w:tcPr>
          <w:p w14:paraId="0C2CABFD"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8CEC5D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F882358"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49" w:type="dxa"/>
            <w:tcBorders>
              <w:top w:val="double" w:sz="6" w:space="0" w:color="auto"/>
              <w:bottom w:val="double" w:sz="4" w:space="0" w:color="auto"/>
            </w:tcBorders>
            <w:shd w:val="pct10" w:color="auto" w:fill="auto"/>
          </w:tcPr>
          <w:p w14:paraId="44C0ABD4" w14:textId="77777777" w:rsidR="00E14632" w:rsidRPr="00BB5D62" w:rsidRDefault="00E14632" w:rsidP="00C6273C">
            <w:pPr>
              <w:jc w:val="center"/>
              <w:rPr>
                <w:rFonts w:cs="Arial"/>
                <w:b/>
                <w:sz w:val="20"/>
              </w:rPr>
            </w:pPr>
            <w:r w:rsidRPr="00BB5D62">
              <w:rPr>
                <w:rFonts w:cs="Arial"/>
                <w:b/>
                <w:sz w:val="20"/>
              </w:rPr>
              <w:t>Installation</w:t>
            </w:r>
          </w:p>
          <w:p w14:paraId="2E8CBB15" w14:textId="77777777" w:rsidR="00E14632" w:rsidRDefault="00E14632" w:rsidP="00C6273C">
            <w:pPr>
              <w:jc w:val="center"/>
              <w:rPr>
                <w:rFonts w:cs="Arial"/>
                <w:b/>
                <w:sz w:val="20"/>
              </w:rPr>
            </w:pPr>
            <w:r w:rsidRPr="00BB5D62">
              <w:rPr>
                <w:rFonts w:cs="Arial"/>
                <w:b/>
                <w:sz w:val="20"/>
              </w:rPr>
              <w:t>Date</w:t>
            </w:r>
            <w:r>
              <w:rPr>
                <w:rFonts w:cs="Arial"/>
                <w:b/>
                <w:sz w:val="20"/>
              </w:rPr>
              <w:t>/</w:t>
            </w:r>
          </w:p>
          <w:p w14:paraId="67F1F103"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47B7FED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6A53D551" w14:textId="77777777" w:rsidTr="00633C60">
        <w:trPr>
          <w:cantSplit/>
        </w:trPr>
        <w:tc>
          <w:tcPr>
            <w:tcW w:w="2160" w:type="dxa"/>
            <w:tcBorders>
              <w:top w:val="nil"/>
            </w:tcBorders>
          </w:tcPr>
          <w:p w14:paraId="7D3F4AD6" w14:textId="77777777" w:rsidR="00E14632" w:rsidRPr="00BB5D62" w:rsidRDefault="009E772C" w:rsidP="00991194">
            <w:pPr>
              <w:rPr>
                <w:rFonts w:cs="Arial"/>
                <w:sz w:val="20"/>
              </w:rPr>
            </w:pPr>
            <w:r>
              <w:rPr>
                <w:rFonts w:cs="Arial"/>
                <w:sz w:val="20"/>
              </w:rPr>
              <w:t>EUUNIT1101</w:t>
            </w:r>
          </w:p>
        </w:tc>
        <w:tc>
          <w:tcPr>
            <w:tcW w:w="4320" w:type="dxa"/>
            <w:tcBorders>
              <w:top w:val="nil"/>
            </w:tcBorders>
          </w:tcPr>
          <w:p w14:paraId="0026E15E" w14:textId="39E1E8AA" w:rsidR="00E14632" w:rsidRPr="009E772C" w:rsidRDefault="009E772C" w:rsidP="008F6D06">
            <w:pPr>
              <w:jc w:val="both"/>
              <w:rPr>
                <w:rFonts w:cs="Arial"/>
                <w:sz w:val="20"/>
              </w:rPr>
            </w:pPr>
            <w:r w:rsidRPr="009E772C">
              <w:rPr>
                <w:sz w:val="20"/>
              </w:rPr>
              <w:t>Natural Gas-fired Rolls-Royce Avon 76G turbine unit, rated at 16,000 horsepower (158.8</w:t>
            </w:r>
            <w:r>
              <w:rPr>
                <w:sz w:val="20"/>
              </w:rPr>
              <w:t xml:space="preserve"> MMBtu/HR) at ISO conditions</w:t>
            </w:r>
            <w:r w:rsidR="00200950">
              <w:rPr>
                <w:sz w:val="20"/>
              </w:rPr>
              <w:t>.</w:t>
            </w:r>
          </w:p>
        </w:tc>
        <w:tc>
          <w:tcPr>
            <w:tcW w:w="1849" w:type="dxa"/>
            <w:tcBorders>
              <w:top w:val="nil"/>
            </w:tcBorders>
          </w:tcPr>
          <w:p w14:paraId="6EA07CBB" w14:textId="24C1BB6B" w:rsidR="00E14632" w:rsidRPr="009E772C" w:rsidRDefault="00DC029A" w:rsidP="00F466A0">
            <w:pPr>
              <w:jc w:val="center"/>
              <w:rPr>
                <w:rFonts w:cs="Arial"/>
                <w:sz w:val="20"/>
              </w:rPr>
            </w:pPr>
            <w:r>
              <w:rPr>
                <w:rFonts w:cs="Arial"/>
                <w:sz w:val="20"/>
              </w:rPr>
              <w:t>06-01-1971</w:t>
            </w:r>
          </w:p>
        </w:tc>
        <w:tc>
          <w:tcPr>
            <w:tcW w:w="2111" w:type="dxa"/>
            <w:tcBorders>
              <w:top w:val="nil"/>
            </w:tcBorders>
          </w:tcPr>
          <w:p w14:paraId="1DDE0ADF" w14:textId="77777777" w:rsidR="00E14632" w:rsidRPr="00BB5D62" w:rsidRDefault="009E772C" w:rsidP="008F6D06">
            <w:pPr>
              <w:rPr>
                <w:rFonts w:cs="Arial"/>
                <w:sz w:val="20"/>
              </w:rPr>
            </w:pPr>
            <w:r>
              <w:rPr>
                <w:rFonts w:cs="Arial"/>
                <w:sz w:val="20"/>
              </w:rPr>
              <w:t>FGAVON</w:t>
            </w:r>
          </w:p>
        </w:tc>
      </w:tr>
      <w:tr w:rsidR="00E14632" w14:paraId="7F495C88" w14:textId="77777777" w:rsidTr="00633C60">
        <w:trPr>
          <w:cantSplit/>
        </w:trPr>
        <w:tc>
          <w:tcPr>
            <w:tcW w:w="2160" w:type="dxa"/>
          </w:tcPr>
          <w:p w14:paraId="2D2B6922" w14:textId="77777777" w:rsidR="00E14632" w:rsidRPr="00BB5D62" w:rsidRDefault="009E772C" w:rsidP="00991194">
            <w:pPr>
              <w:rPr>
                <w:rFonts w:cs="Arial"/>
                <w:sz w:val="20"/>
              </w:rPr>
            </w:pPr>
            <w:r>
              <w:rPr>
                <w:rFonts w:cs="Arial"/>
                <w:sz w:val="20"/>
              </w:rPr>
              <w:t>EUUNIT1102</w:t>
            </w:r>
          </w:p>
        </w:tc>
        <w:tc>
          <w:tcPr>
            <w:tcW w:w="4320" w:type="dxa"/>
          </w:tcPr>
          <w:p w14:paraId="756CF59F" w14:textId="594BF800" w:rsidR="00E14632" w:rsidRPr="00BB5D62" w:rsidRDefault="009E772C" w:rsidP="008F6D06">
            <w:pPr>
              <w:jc w:val="both"/>
              <w:rPr>
                <w:rFonts w:cs="Arial"/>
                <w:sz w:val="20"/>
              </w:rPr>
            </w:pPr>
            <w:r w:rsidRPr="009E772C">
              <w:rPr>
                <w:sz w:val="20"/>
              </w:rPr>
              <w:t>Natural Gas-fired Rolls-Royce Avon 76G turbine unit, rated at 16,000 horsepower (158.8</w:t>
            </w:r>
            <w:r>
              <w:rPr>
                <w:sz w:val="20"/>
              </w:rPr>
              <w:t xml:space="preserve"> MMBtu/HR) at ISO conditions</w:t>
            </w:r>
            <w:r w:rsidR="00200950">
              <w:rPr>
                <w:sz w:val="20"/>
              </w:rPr>
              <w:t>.</w:t>
            </w:r>
          </w:p>
        </w:tc>
        <w:tc>
          <w:tcPr>
            <w:tcW w:w="1849" w:type="dxa"/>
          </w:tcPr>
          <w:p w14:paraId="7017BE68" w14:textId="471D8CC9" w:rsidR="00E14632" w:rsidRPr="00BB5D62" w:rsidRDefault="00EB457B" w:rsidP="00F466A0">
            <w:pPr>
              <w:jc w:val="center"/>
              <w:rPr>
                <w:rFonts w:cs="Arial"/>
                <w:sz w:val="20"/>
              </w:rPr>
            </w:pPr>
            <w:r>
              <w:rPr>
                <w:rFonts w:cs="Arial"/>
                <w:sz w:val="20"/>
              </w:rPr>
              <w:t>06-01-1971</w:t>
            </w:r>
          </w:p>
        </w:tc>
        <w:tc>
          <w:tcPr>
            <w:tcW w:w="2111" w:type="dxa"/>
          </w:tcPr>
          <w:p w14:paraId="59F0A07A" w14:textId="77777777" w:rsidR="00E14632" w:rsidRPr="00BB5D62" w:rsidRDefault="009E772C" w:rsidP="008F6D06">
            <w:pPr>
              <w:rPr>
                <w:rFonts w:cs="Arial"/>
                <w:sz w:val="20"/>
              </w:rPr>
            </w:pPr>
            <w:r>
              <w:rPr>
                <w:rFonts w:cs="Arial"/>
                <w:sz w:val="20"/>
              </w:rPr>
              <w:t>FGAVON</w:t>
            </w:r>
          </w:p>
        </w:tc>
      </w:tr>
      <w:tr w:rsidR="00E14632" w14:paraId="74D6F06E" w14:textId="77777777" w:rsidTr="00633C60">
        <w:trPr>
          <w:cantSplit/>
        </w:trPr>
        <w:tc>
          <w:tcPr>
            <w:tcW w:w="2160" w:type="dxa"/>
          </w:tcPr>
          <w:p w14:paraId="3C6FC30B" w14:textId="77777777" w:rsidR="00E14632" w:rsidRPr="00BB5D62" w:rsidRDefault="009E772C" w:rsidP="00991194">
            <w:pPr>
              <w:rPr>
                <w:rFonts w:cs="Arial"/>
                <w:sz w:val="20"/>
              </w:rPr>
            </w:pPr>
            <w:r>
              <w:rPr>
                <w:rFonts w:cs="Arial"/>
                <w:sz w:val="20"/>
              </w:rPr>
              <w:t>EUAPU</w:t>
            </w:r>
          </w:p>
        </w:tc>
        <w:tc>
          <w:tcPr>
            <w:tcW w:w="4320" w:type="dxa"/>
          </w:tcPr>
          <w:p w14:paraId="269A5DBB" w14:textId="40F38AFE" w:rsidR="00E14632" w:rsidRPr="009E772C" w:rsidRDefault="009E772C" w:rsidP="008F6D06">
            <w:pPr>
              <w:jc w:val="both"/>
              <w:rPr>
                <w:rFonts w:cs="Arial"/>
                <w:sz w:val="20"/>
              </w:rPr>
            </w:pPr>
            <w:r w:rsidRPr="009E772C">
              <w:rPr>
                <w:sz w:val="20"/>
              </w:rPr>
              <w:t xml:space="preserve">Existing emergency use, 408 HP natural </w:t>
            </w:r>
            <w:r w:rsidR="00E26233" w:rsidRPr="009E772C">
              <w:rPr>
                <w:sz w:val="20"/>
              </w:rPr>
              <w:t>gas fired</w:t>
            </w:r>
            <w:r w:rsidRPr="009E772C">
              <w:rPr>
                <w:sz w:val="20"/>
              </w:rPr>
              <w:t>, spark ignition rich burn reciprocating internal combustion engine with 3.26 MMBtu/</w:t>
            </w:r>
            <w:proofErr w:type="spellStart"/>
            <w:r w:rsidRPr="009E772C">
              <w:rPr>
                <w:sz w:val="20"/>
              </w:rPr>
              <w:t>hr</w:t>
            </w:r>
            <w:proofErr w:type="spellEnd"/>
            <w:r w:rsidRPr="009E772C">
              <w:rPr>
                <w:sz w:val="20"/>
              </w:rPr>
              <w:t xml:space="preserve"> heat input driving an electrical generator. This engine is subject to the requirements of 40 CFR Part 63, Subpart ZZZZ, the National Emission Standards for Hazardous Air Pollutants for Stationary Reciprocating Internal Combustion Engines (RICE) located at an area source of HAP emissions. An existing engine is defined as one for which construction or reconstruction commenced before June 12</w:t>
            </w:r>
            <w:r>
              <w:rPr>
                <w:sz w:val="20"/>
              </w:rPr>
              <w:t>,</w:t>
            </w:r>
            <w:r w:rsidR="00DC2B04">
              <w:rPr>
                <w:sz w:val="20"/>
              </w:rPr>
              <w:t xml:space="preserve"> </w:t>
            </w:r>
            <w:r>
              <w:rPr>
                <w:sz w:val="20"/>
              </w:rPr>
              <w:t>2006</w:t>
            </w:r>
            <w:r w:rsidR="00200950">
              <w:rPr>
                <w:sz w:val="20"/>
              </w:rPr>
              <w:t>.</w:t>
            </w:r>
          </w:p>
        </w:tc>
        <w:tc>
          <w:tcPr>
            <w:tcW w:w="1849" w:type="dxa"/>
          </w:tcPr>
          <w:p w14:paraId="0B0A9585" w14:textId="7E5ABB40" w:rsidR="00E14632" w:rsidRPr="00BB5D62" w:rsidRDefault="00EB457B" w:rsidP="00F466A0">
            <w:pPr>
              <w:jc w:val="center"/>
              <w:rPr>
                <w:rFonts w:cs="Arial"/>
                <w:sz w:val="20"/>
              </w:rPr>
            </w:pPr>
            <w:r>
              <w:rPr>
                <w:rFonts w:cs="Arial"/>
                <w:sz w:val="20"/>
              </w:rPr>
              <w:t>06-01-1971</w:t>
            </w:r>
          </w:p>
        </w:tc>
        <w:tc>
          <w:tcPr>
            <w:tcW w:w="2111" w:type="dxa"/>
          </w:tcPr>
          <w:p w14:paraId="3016C6D7" w14:textId="0CDAC10A" w:rsidR="00E14632" w:rsidRPr="00BB5D62" w:rsidRDefault="00BA59F2" w:rsidP="008F6D06">
            <w:pPr>
              <w:rPr>
                <w:rFonts w:cs="Arial"/>
                <w:sz w:val="20"/>
              </w:rPr>
            </w:pPr>
            <w:r>
              <w:rPr>
                <w:rFonts w:cs="Arial"/>
                <w:sz w:val="20"/>
              </w:rPr>
              <w:t>FGMACTZZZZ</w:t>
            </w:r>
            <w:r w:rsidR="00DC2B04">
              <w:rPr>
                <w:rFonts w:cs="Arial"/>
                <w:sz w:val="20"/>
              </w:rPr>
              <w:t>≤</w:t>
            </w:r>
            <w:r>
              <w:rPr>
                <w:rFonts w:cs="Arial"/>
                <w:sz w:val="20"/>
              </w:rPr>
              <w:t>500</w:t>
            </w:r>
          </w:p>
        </w:tc>
      </w:tr>
      <w:tr w:rsidR="00E14632" w14:paraId="3BBB4081" w14:textId="77777777" w:rsidTr="00633C60">
        <w:trPr>
          <w:cantSplit/>
        </w:trPr>
        <w:tc>
          <w:tcPr>
            <w:tcW w:w="2160" w:type="dxa"/>
          </w:tcPr>
          <w:p w14:paraId="74D2B35A" w14:textId="77777777" w:rsidR="00E14632" w:rsidRPr="00BB5D62" w:rsidRDefault="009E772C" w:rsidP="00991194">
            <w:pPr>
              <w:rPr>
                <w:rFonts w:cs="Arial"/>
                <w:sz w:val="20"/>
              </w:rPr>
            </w:pPr>
            <w:r>
              <w:rPr>
                <w:rFonts w:cs="Arial"/>
                <w:sz w:val="20"/>
              </w:rPr>
              <w:t>EUPIPEMAINT</w:t>
            </w:r>
          </w:p>
        </w:tc>
        <w:tc>
          <w:tcPr>
            <w:tcW w:w="4320" w:type="dxa"/>
          </w:tcPr>
          <w:p w14:paraId="52378C97" w14:textId="1CBD9D5C" w:rsidR="00E14632" w:rsidRPr="00BB5D62" w:rsidRDefault="009E772C" w:rsidP="008F6D06">
            <w:pPr>
              <w:jc w:val="both"/>
              <w:rPr>
                <w:rFonts w:cs="Arial"/>
                <w:sz w:val="20"/>
              </w:rPr>
            </w:pPr>
            <w:r>
              <w:rPr>
                <w:rFonts w:cs="Arial"/>
                <w:sz w:val="20"/>
              </w:rPr>
              <w:t>Routine and emergency venting of natural gas from transmission and distribution systems</w:t>
            </w:r>
            <w:r w:rsidR="00200950">
              <w:rPr>
                <w:rFonts w:cs="Arial"/>
                <w:sz w:val="20"/>
              </w:rPr>
              <w:t>.</w:t>
            </w:r>
          </w:p>
        </w:tc>
        <w:tc>
          <w:tcPr>
            <w:tcW w:w="1849" w:type="dxa"/>
          </w:tcPr>
          <w:p w14:paraId="3819514D" w14:textId="35FE0EA6" w:rsidR="00E14632" w:rsidRPr="00BB5D62" w:rsidRDefault="00633C60" w:rsidP="00F466A0">
            <w:pPr>
              <w:jc w:val="center"/>
              <w:rPr>
                <w:rFonts w:cs="Arial"/>
                <w:sz w:val="20"/>
              </w:rPr>
            </w:pPr>
            <w:r>
              <w:rPr>
                <w:rFonts w:cs="Arial"/>
                <w:sz w:val="20"/>
              </w:rPr>
              <w:t>06-01-1971</w:t>
            </w:r>
          </w:p>
        </w:tc>
        <w:tc>
          <w:tcPr>
            <w:tcW w:w="2111" w:type="dxa"/>
          </w:tcPr>
          <w:p w14:paraId="3E50C5A6" w14:textId="38B6D807" w:rsidR="00E14632" w:rsidRPr="00BB5D62" w:rsidRDefault="00EB457B" w:rsidP="008F6D06">
            <w:pPr>
              <w:rPr>
                <w:rFonts w:cs="Arial"/>
                <w:sz w:val="20"/>
              </w:rPr>
            </w:pPr>
            <w:r>
              <w:rPr>
                <w:rFonts w:cs="Arial"/>
                <w:sz w:val="20"/>
              </w:rPr>
              <w:t>FGRULE285</w:t>
            </w:r>
            <w:r w:rsidR="009E772C">
              <w:rPr>
                <w:rFonts w:cs="Arial"/>
                <w:sz w:val="20"/>
              </w:rPr>
              <w:t>(2)(mm)</w:t>
            </w:r>
          </w:p>
        </w:tc>
      </w:tr>
    </w:tbl>
    <w:p w14:paraId="6EE1D8ED" w14:textId="77777777" w:rsidR="00B639B1" w:rsidRPr="004B4509" w:rsidRDefault="00B639B1" w:rsidP="002916F7">
      <w:pPr>
        <w:rPr>
          <w:sz w:val="20"/>
        </w:rPr>
      </w:pPr>
    </w:p>
    <w:p w14:paraId="694BE2DB" w14:textId="77777777" w:rsidR="00140790" w:rsidRDefault="00140790" w:rsidP="004B4509">
      <w:pPr>
        <w:rPr>
          <w:sz w:val="20"/>
        </w:rPr>
      </w:pPr>
      <w:r>
        <w:rPr>
          <w:sz w:val="20"/>
        </w:rPr>
        <w:br w:type="page"/>
      </w:r>
    </w:p>
    <w:p w14:paraId="3C2D884A" w14:textId="25260959" w:rsidR="00A86D8D" w:rsidRPr="007014BE" w:rsidRDefault="00A86D8D" w:rsidP="007014BE">
      <w:pPr>
        <w:rPr>
          <w:szCs w:val="22"/>
        </w:rPr>
      </w:pPr>
    </w:p>
    <w:p w14:paraId="39D257F9" w14:textId="77777777" w:rsidR="0034744B" w:rsidRPr="00FC1F2C" w:rsidRDefault="0034744B" w:rsidP="00393A6F">
      <w:pPr>
        <w:pStyle w:val="Heading1"/>
        <w:rPr>
          <w:b w:val="0"/>
          <w:sz w:val="20"/>
          <w:szCs w:val="20"/>
        </w:rPr>
      </w:pPr>
      <w:bookmarkStart w:id="61" w:name="_Toc179797547"/>
      <w:r w:rsidRPr="00393A6F">
        <w:t xml:space="preserve">D.  FLEXIBLE GROUP </w:t>
      </w:r>
      <w:bookmarkEnd w:id="56"/>
      <w:r w:rsidR="00494D15">
        <w:t xml:space="preserve">SPECIAL </w:t>
      </w:r>
      <w:r w:rsidR="00456F47" w:rsidRPr="00393A6F">
        <w:t>CONDITIONS</w:t>
      </w:r>
      <w:bookmarkEnd w:id="61"/>
    </w:p>
    <w:p w14:paraId="5585C42C" w14:textId="77777777" w:rsidR="0034744B" w:rsidRPr="008E1254" w:rsidRDefault="0034744B" w:rsidP="00FC1F2C">
      <w:pPr>
        <w:rPr>
          <w:sz w:val="20"/>
        </w:rPr>
      </w:pPr>
    </w:p>
    <w:p w14:paraId="07C3A83A"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8195D2F" w14:textId="77777777" w:rsidR="009602B7" w:rsidRPr="00FE0AD0" w:rsidRDefault="009602B7" w:rsidP="0034744B">
      <w:pPr>
        <w:jc w:val="both"/>
        <w:rPr>
          <w:sz w:val="20"/>
        </w:rPr>
      </w:pPr>
    </w:p>
    <w:p w14:paraId="0018C30C"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0FF5749" w14:textId="77777777" w:rsidR="0034744B" w:rsidRDefault="0034744B" w:rsidP="0034744B">
      <w:pPr>
        <w:jc w:val="both"/>
        <w:rPr>
          <w:sz w:val="20"/>
        </w:rPr>
      </w:pPr>
    </w:p>
    <w:p w14:paraId="6EC460A3" w14:textId="77777777" w:rsidR="0034744B" w:rsidRPr="009E40D6" w:rsidRDefault="0034744B" w:rsidP="001F649E">
      <w:pPr>
        <w:pStyle w:val="Heading2"/>
        <w:numPr>
          <w:ilvl w:val="0"/>
          <w:numId w:val="0"/>
        </w:numPr>
        <w:rPr>
          <w:b w:val="0"/>
          <w:bCs/>
          <w:sz w:val="22"/>
          <w:szCs w:val="22"/>
        </w:rPr>
      </w:pPr>
      <w:bookmarkStart w:id="62" w:name="_Toc2571646"/>
      <w:bookmarkStart w:id="63" w:name="_Toc179797548"/>
      <w:r w:rsidRPr="002B5ED5">
        <w:rPr>
          <w:bCs/>
          <w:sz w:val="22"/>
          <w:szCs w:val="22"/>
        </w:rPr>
        <w:t>FLEXIBLE GROUP SUMMARY TABLE</w:t>
      </w:r>
      <w:bookmarkEnd w:id="62"/>
      <w:bookmarkEnd w:id="63"/>
    </w:p>
    <w:p w14:paraId="7EBC41E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738278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C400A2F" w14:textId="77777777">
        <w:trPr>
          <w:cantSplit/>
          <w:tblHeader/>
        </w:trPr>
        <w:tc>
          <w:tcPr>
            <w:tcW w:w="2340" w:type="dxa"/>
            <w:tcBorders>
              <w:top w:val="double" w:sz="6" w:space="0" w:color="auto"/>
              <w:bottom w:val="double" w:sz="4" w:space="0" w:color="auto"/>
            </w:tcBorders>
            <w:shd w:val="pct10" w:color="auto" w:fill="auto"/>
          </w:tcPr>
          <w:p w14:paraId="605181AB"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31E8613A"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AE6BB52" w14:textId="77777777" w:rsidR="00234667" w:rsidRPr="006D3561" w:rsidRDefault="00234667" w:rsidP="00991194">
            <w:pPr>
              <w:jc w:val="center"/>
              <w:rPr>
                <w:rFonts w:cs="Arial"/>
                <w:b/>
                <w:sz w:val="20"/>
              </w:rPr>
            </w:pPr>
            <w:r w:rsidRPr="006D3561">
              <w:rPr>
                <w:rFonts w:cs="Arial"/>
                <w:b/>
                <w:sz w:val="20"/>
              </w:rPr>
              <w:t>Associated</w:t>
            </w:r>
          </w:p>
          <w:p w14:paraId="40AD1D0B" w14:textId="77777777" w:rsidR="00234667" w:rsidRPr="006D3561" w:rsidRDefault="00234667" w:rsidP="00991194">
            <w:pPr>
              <w:jc w:val="center"/>
              <w:rPr>
                <w:rFonts w:cs="Arial"/>
                <w:b/>
                <w:sz w:val="20"/>
              </w:rPr>
            </w:pPr>
            <w:r w:rsidRPr="006D3561">
              <w:rPr>
                <w:rFonts w:cs="Arial"/>
                <w:b/>
                <w:sz w:val="20"/>
              </w:rPr>
              <w:t>Emission Unit IDs</w:t>
            </w:r>
          </w:p>
        </w:tc>
      </w:tr>
      <w:tr w:rsidR="00234667" w14:paraId="69C60AE6" w14:textId="77777777" w:rsidTr="00A81225">
        <w:trPr>
          <w:cantSplit/>
        </w:trPr>
        <w:tc>
          <w:tcPr>
            <w:tcW w:w="2340" w:type="dxa"/>
            <w:tcBorders>
              <w:top w:val="nil"/>
              <w:bottom w:val="single" w:sz="4" w:space="0" w:color="auto"/>
            </w:tcBorders>
          </w:tcPr>
          <w:p w14:paraId="4FD38916" w14:textId="77777777" w:rsidR="00234667" w:rsidRPr="001B5E34" w:rsidRDefault="004F0BCA" w:rsidP="00991194">
            <w:pPr>
              <w:rPr>
                <w:rFonts w:cs="Arial"/>
                <w:sz w:val="20"/>
              </w:rPr>
            </w:pPr>
            <w:r>
              <w:rPr>
                <w:rFonts w:cs="Arial"/>
                <w:sz w:val="20"/>
              </w:rPr>
              <w:t>FGAVONS</w:t>
            </w:r>
          </w:p>
        </w:tc>
        <w:tc>
          <w:tcPr>
            <w:tcW w:w="5130" w:type="dxa"/>
            <w:tcBorders>
              <w:top w:val="nil"/>
              <w:bottom w:val="single" w:sz="4" w:space="0" w:color="auto"/>
            </w:tcBorders>
          </w:tcPr>
          <w:p w14:paraId="013EECEF" w14:textId="55946749" w:rsidR="00234667" w:rsidRPr="001B5E34" w:rsidRDefault="004F0BCA" w:rsidP="008F6D06">
            <w:pPr>
              <w:jc w:val="both"/>
              <w:rPr>
                <w:rFonts w:cs="Arial"/>
                <w:sz w:val="20"/>
              </w:rPr>
            </w:pPr>
            <w:r>
              <w:rPr>
                <w:rFonts w:cs="Arial"/>
                <w:sz w:val="20"/>
              </w:rPr>
              <w:t>Two Rolls-Royce Avon 76G natural gas-fired stationary turbines rated at 16,000 horsepower (158.8 MMBtu/</w:t>
            </w:r>
            <w:proofErr w:type="spellStart"/>
            <w:r>
              <w:rPr>
                <w:rFonts w:cs="Arial"/>
                <w:sz w:val="20"/>
              </w:rPr>
              <w:t>hr</w:t>
            </w:r>
            <w:proofErr w:type="spellEnd"/>
            <w:r>
              <w:rPr>
                <w:rFonts w:cs="Arial"/>
                <w:sz w:val="20"/>
              </w:rPr>
              <w:t>) each</w:t>
            </w:r>
            <w:r w:rsidR="00200950">
              <w:rPr>
                <w:rFonts w:cs="Arial"/>
                <w:sz w:val="20"/>
              </w:rPr>
              <w:t>.</w:t>
            </w:r>
          </w:p>
        </w:tc>
        <w:tc>
          <w:tcPr>
            <w:tcW w:w="2700" w:type="dxa"/>
            <w:tcBorders>
              <w:top w:val="nil"/>
              <w:bottom w:val="single" w:sz="4" w:space="0" w:color="auto"/>
            </w:tcBorders>
          </w:tcPr>
          <w:p w14:paraId="66143B6D" w14:textId="77777777" w:rsidR="00234667" w:rsidRDefault="004F0BCA" w:rsidP="00991194">
            <w:pPr>
              <w:rPr>
                <w:rFonts w:cs="Arial"/>
                <w:sz w:val="20"/>
              </w:rPr>
            </w:pPr>
            <w:r>
              <w:rPr>
                <w:rFonts w:cs="Arial"/>
                <w:sz w:val="20"/>
              </w:rPr>
              <w:t>EUUNIT1101</w:t>
            </w:r>
          </w:p>
          <w:p w14:paraId="3138C40E" w14:textId="77777777" w:rsidR="004F0BCA" w:rsidRPr="001B5E34" w:rsidRDefault="004F0BCA" w:rsidP="00991194">
            <w:pPr>
              <w:rPr>
                <w:rFonts w:cs="Arial"/>
                <w:sz w:val="20"/>
              </w:rPr>
            </w:pPr>
            <w:r>
              <w:rPr>
                <w:rFonts w:cs="Arial"/>
                <w:sz w:val="20"/>
              </w:rPr>
              <w:t>EUUNIT1102</w:t>
            </w:r>
          </w:p>
        </w:tc>
      </w:tr>
      <w:tr w:rsidR="00790853" w14:paraId="3B504516" w14:textId="77777777" w:rsidTr="00A81225">
        <w:trPr>
          <w:cantSplit/>
        </w:trPr>
        <w:tc>
          <w:tcPr>
            <w:tcW w:w="2340" w:type="dxa"/>
            <w:tcBorders>
              <w:top w:val="single" w:sz="4" w:space="0" w:color="auto"/>
              <w:bottom w:val="single" w:sz="6" w:space="0" w:color="auto"/>
            </w:tcBorders>
          </w:tcPr>
          <w:p w14:paraId="7026F786" w14:textId="0CFA97F2" w:rsidR="00790853" w:rsidRDefault="0097566A" w:rsidP="00991194">
            <w:pPr>
              <w:rPr>
                <w:rFonts w:cs="Arial"/>
                <w:sz w:val="20"/>
              </w:rPr>
            </w:pPr>
            <w:r>
              <w:rPr>
                <w:rFonts w:cs="Arial"/>
                <w:sz w:val="20"/>
              </w:rPr>
              <w:t>FG</w:t>
            </w:r>
            <w:r w:rsidR="00C25938">
              <w:rPr>
                <w:rFonts w:cs="Arial"/>
                <w:sz w:val="20"/>
              </w:rPr>
              <w:t>MACTZZZZ</w:t>
            </w:r>
            <w:r w:rsidR="00DC2B04">
              <w:rPr>
                <w:rFonts w:cs="Arial"/>
                <w:sz w:val="20"/>
              </w:rPr>
              <w:t>≤</w:t>
            </w:r>
            <w:r w:rsidR="00C25938">
              <w:rPr>
                <w:rFonts w:cs="Arial"/>
                <w:sz w:val="20"/>
              </w:rPr>
              <w:t>500</w:t>
            </w:r>
          </w:p>
        </w:tc>
        <w:tc>
          <w:tcPr>
            <w:tcW w:w="5130" w:type="dxa"/>
            <w:tcBorders>
              <w:top w:val="single" w:sz="4" w:space="0" w:color="auto"/>
              <w:bottom w:val="single" w:sz="6" w:space="0" w:color="auto"/>
            </w:tcBorders>
          </w:tcPr>
          <w:p w14:paraId="21F2B8A8" w14:textId="6EF8A644" w:rsidR="00790853" w:rsidRDefault="00614B30" w:rsidP="008F6D06">
            <w:pPr>
              <w:jc w:val="both"/>
              <w:rPr>
                <w:rFonts w:cs="Arial"/>
                <w:sz w:val="20"/>
              </w:rPr>
            </w:pPr>
            <w:r w:rsidRPr="00A81225">
              <w:rPr>
                <w:rFonts w:cs="Arial"/>
                <w:b/>
                <w:bCs/>
                <w:sz w:val="20"/>
              </w:rPr>
              <w:t xml:space="preserve">40 </w:t>
            </w:r>
            <w:r w:rsidR="00DF62D4" w:rsidRPr="00A81225">
              <w:rPr>
                <w:rFonts w:cs="Arial"/>
                <w:b/>
                <w:bCs/>
                <w:sz w:val="20"/>
              </w:rPr>
              <w:t>CFR Part 63, Subpart ZZZZ</w:t>
            </w:r>
            <w:r w:rsidR="00DF62D4">
              <w:rPr>
                <w:rFonts w:cs="Arial"/>
                <w:sz w:val="20"/>
              </w:rPr>
              <w:t xml:space="preserve"> </w:t>
            </w:r>
            <w:r w:rsidR="00AC27F6">
              <w:rPr>
                <w:rFonts w:cs="Arial"/>
                <w:sz w:val="20"/>
              </w:rPr>
              <w:t>–</w:t>
            </w:r>
            <w:r w:rsidR="00DF62D4">
              <w:rPr>
                <w:rFonts w:cs="Arial"/>
                <w:sz w:val="20"/>
              </w:rPr>
              <w:t xml:space="preserve"> </w:t>
            </w:r>
            <w:r w:rsidR="00AC27F6">
              <w:rPr>
                <w:rFonts w:cs="Arial"/>
                <w:sz w:val="20"/>
              </w:rPr>
              <w:t xml:space="preserve">National Emission Standards for Hazardous Air Pollutants for Stationary Reciprocating Internal Combustion Engines (RICE), located at </w:t>
            </w:r>
            <w:proofErr w:type="spellStart"/>
            <w:proofErr w:type="gramStart"/>
            <w:r w:rsidR="00AC27F6">
              <w:rPr>
                <w:rFonts w:cs="Arial"/>
                <w:sz w:val="20"/>
              </w:rPr>
              <w:t>a</w:t>
            </w:r>
            <w:proofErr w:type="spellEnd"/>
            <w:proofErr w:type="gramEnd"/>
            <w:r w:rsidR="00AC27F6">
              <w:rPr>
                <w:rFonts w:cs="Arial"/>
                <w:sz w:val="20"/>
              </w:rPr>
              <w:t xml:space="preserve"> </w:t>
            </w:r>
            <w:r w:rsidR="00302715">
              <w:rPr>
                <w:rFonts w:cs="Arial"/>
                <w:sz w:val="20"/>
              </w:rPr>
              <w:t>area source of HAP emissions, existing emergency, spark ignition (SI) RICE equal to or less than 500 bhp</w:t>
            </w:r>
            <w:r w:rsidR="00200950">
              <w:rPr>
                <w:rFonts w:cs="Arial"/>
                <w:sz w:val="20"/>
              </w:rPr>
              <w:t xml:space="preserve">. A RICE is existing if the date of installation is before June 12, 2006. </w:t>
            </w:r>
          </w:p>
        </w:tc>
        <w:tc>
          <w:tcPr>
            <w:tcW w:w="2700" w:type="dxa"/>
            <w:tcBorders>
              <w:top w:val="single" w:sz="4" w:space="0" w:color="auto"/>
              <w:bottom w:val="single" w:sz="6" w:space="0" w:color="auto"/>
            </w:tcBorders>
          </w:tcPr>
          <w:p w14:paraId="77A2CAF0" w14:textId="0BF49F0E" w:rsidR="00790853" w:rsidRDefault="00DF62D4" w:rsidP="00991194">
            <w:pPr>
              <w:rPr>
                <w:rFonts w:cs="Arial"/>
                <w:sz w:val="20"/>
              </w:rPr>
            </w:pPr>
            <w:r>
              <w:rPr>
                <w:rFonts w:cs="Arial"/>
                <w:sz w:val="20"/>
              </w:rPr>
              <w:t>EUAPU</w:t>
            </w:r>
          </w:p>
        </w:tc>
      </w:tr>
      <w:tr w:rsidR="00234667" w14:paraId="11EBAD0E" w14:textId="77777777" w:rsidTr="00391165">
        <w:trPr>
          <w:cantSplit/>
        </w:trPr>
        <w:tc>
          <w:tcPr>
            <w:tcW w:w="2340" w:type="dxa"/>
            <w:tcBorders>
              <w:top w:val="single" w:sz="6" w:space="0" w:color="auto"/>
              <w:bottom w:val="double" w:sz="6" w:space="0" w:color="auto"/>
            </w:tcBorders>
          </w:tcPr>
          <w:p w14:paraId="6D9D1423" w14:textId="4854AF9E" w:rsidR="00234667" w:rsidRPr="001B5E34" w:rsidRDefault="004F0BCA" w:rsidP="00991194">
            <w:pPr>
              <w:rPr>
                <w:rFonts w:cs="Arial"/>
                <w:sz w:val="20"/>
              </w:rPr>
            </w:pPr>
            <w:r>
              <w:rPr>
                <w:rFonts w:cs="Arial"/>
                <w:sz w:val="20"/>
              </w:rPr>
              <w:t>FGRULE285(</w:t>
            </w:r>
            <w:r w:rsidR="00921ABF">
              <w:rPr>
                <w:rFonts w:cs="Arial"/>
                <w:sz w:val="20"/>
              </w:rPr>
              <w:t>2)</w:t>
            </w:r>
            <w:r>
              <w:rPr>
                <w:rFonts w:cs="Arial"/>
                <w:sz w:val="20"/>
              </w:rPr>
              <w:t>(mm)</w:t>
            </w:r>
          </w:p>
        </w:tc>
        <w:tc>
          <w:tcPr>
            <w:tcW w:w="5130" w:type="dxa"/>
            <w:tcBorders>
              <w:top w:val="single" w:sz="6" w:space="0" w:color="auto"/>
              <w:bottom w:val="double" w:sz="6" w:space="0" w:color="auto"/>
            </w:tcBorders>
          </w:tcPr>
          <w:p w14:paraId="3E1A62D9" w14:textId="5C846799" w:rsidR="00234667" w:rsidRPr="001B5E34" w:rsidRDefault="004F0BCA" w:rsidP="008F6D06">
            <w:pPr>
              <w:jc w:val="both"/>
              <w:rPr>
                <w:rFonts w:cs="Arial"/>
                <w:sz w:val="20"/>
              </w:rPr>
            </w:pPr>
            <w:r>
              <w:rPr>
                <w:rFonts w:cs="Arial"/>
                <w:sz w:val="20"/>
              </w:rPr>
              <w:t>Routine and emergency venting of natural gas from transmission and distribution systems exempt from the requirements of Rule 201 pursuant to Rule 278, Rule 278a and Rule 285(2)(mm)</w:t>
            </w:r>
            <w:r w:rsidR="00200950">
              <w:rPr>
                <w:rFonts w:cs="Arial"/>
                <w:sz w:val="20"/>
              </w:rPr>
              <w:t>.</w:t>
            </w:r>
          </w:p>
        </w:tc>
        <w:tc>
          <w:tcPr>
            <w:tcW w:w="2700" w:type="dxa"/>
            <w:tcBorders>
              <w:top w:val="single" w:sz="6" w:space="0" w:color="auto"/>
              <w:bottom w:val="double" w:sz="6" w:space="0" w:color="auto"/>
            </w:tcBorders>
          </w:tcPr>
          <w:p w14:paraId="154EFA79" w14:textId="77777777" w:rsidR="00234667" w:rsidRPr="001B5E34" w:rsidRDefault="004F0BCA" w:rsidP="00991194">
            <w:pPr>
              <w:rPr>
                <w:rFonts w:cs="Arial"/>
                <w:sz w:val="20"/>
              </w:rPr>
            </w:pPr>
            <w:r>
              <w:rPr>
                <w:rFonts w:cs="Arial"/>
                <w:sz w:val="20"/>
              </w:rPr>
              <w:t>EUPIPEMAINT</w:t>
            </w:r>
          </w:p>
        </w:tc>
      </w:tr>
    </w:tbl>
    <w:p w14:paraId="64449444" w14:textId="77777777" w:rsidR="00E735E6" w:rsidRDefault="00E735E6" w:rsidP="008427BE">
      <w:pPr>
        <w:jc w:val="both"/>
        <w:rPr>
          <w:sz w:val="20"/>
        </w:rPr>
      </w:pPr>
    </w:p>
    <w:p w14:paraId="35F8EDA3" w14:textId="77777777" w:rsidR="00AE1D84" w:rsidRDefault="00AE1D84" w:rsidP="008427BE">
      <w:pPr>
        <w:jc w:val="both"/>
        <w:rPr>
          <w:sz w:val="20"/>
        </w:rPr>
      </w:pPr>
      <w:r>
        <w:rPr>
          <w:sz w:val="20"/>
        </w:rPr>
        <w:br w:type="page"/>
      </w:r>
    </w:p>
    <w:p w14:paraId="29C16680"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64" w:name="_Toc30315082"/>
      <w:bookmarkStart w:id="65" w:name="_Toc179797549"/>
      <w:r w:rsidRPr="00347387">
        <w:rPr>
          <w:bCs/>
          <w:iCs/>
          <w:szCs w:val="28"/>
        </w:rPr>
        <w:lastRenderedPageBreak/>
        <w:t>FG</w:t>
      </w:r>
      <w:r w:rsidR="004F0BCA">
        <w:rPr>
          <w:bCs/>
          <w:iCs/>
          <w:szCs w:val="28"/>
        </w:rPr>
        <w:t>AVONS</w:t>
      </w:r>
      <w:bookmarkEnd w:id="64"/>
      <w:bookmarkEnd w:id="65"/>
    </w:p>
    <w:p w14:paraId="7B85FFA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EACE076" w14:textId="77777777" w:rsidR="00AE1D84" w:rsidRPr="00F30023" w:rsidRDefault="00AE1D84" w:rsidP="00F62984">
      <w:pPr>
        <w:rPr>
          <w:sz w:val="20"/>
        </w:rPr>
      </w:pPr>
    </w:p>
    <w:p w14:paraId="292BFD63" w14:textId="77777777" w:rsidR="00AE1D84" w:rsidRDefault="00AE1D84" w:rsidP="00F62984">
      <w:pPr>
        <w:jc w:val="both"/>
        <w:rPr>
          <w:b/>
          <w:u w:val="single"/>
        </w:rPr>
      </w:pPr>
      <w:r>
        <w:rPr>
          <w:b/>
          <w:u w:val="single"/>
        </w:rPr>
        <w:t>DESCRIPTION</w:t>
      </w:r>
    </w:p>
    <w:p w14:paraId="17A495BC" w14:textId="77777777" w:rsidR="00AE1D84" w:rsidRPr="00C3424D" w:rsidRDefault="00AE1D84" w:rsidP="00F62984">
      <w:pPr>
        <w:jc w:val="both"/>
        <w:rPr>
          <w:sz w:val="20"/>
        </w:rPr>
      </w:pPr>
    </w:p>
    <w:p w14:paraId="20110DD0" w14:textId="0A621B76" w:rsidR="00AE1D84" w:rsidRPr="00C45EF0" w:rsidRDefault="009525FD" w:rsidP="00F62984">
      <w:pPr>
        <w:jc w:val="both"/>
        <w:rPr>
          <w:sz w:val="20"/>
        </w:rPr>
      </w:pPr>
      <w:r>
        <w:rPr>
          <w:sz w:val="20"/>
        </w:rPr>
        <w:t>Two Rolls-Royce Avon 76G natural gas-fired stationary turbines rated at 16,000 horsepower (158.8 MMBtu/</w:t>
      </w:r>
      <w:proofErr w:type="spellStart"/>
      <w:r>
        <w:rPr>
          <w:sz w:val="20"/>
        </w:rPr>
        <w:t>hr</w:t>
      </w:r>
      <w:proofErr w:type="spellEnd"/>
      <w:r>
        <w:rPr>
          <w:sz w:val="20"/>
        </w:rPr>
        <w:t xml:space="preserve">) </w:t>
      </w:r>
      <w:r w:rsidR="00DA5482">
        <w:rPr>
          <w:sz w:val="20"/>
        </w:rPr>
        <w:t>each.</w:t>
      </w:r>
    </w:p>
    <w:p w14:paraId="494BA719" w14:textId="77777777" w:rsidR="00AE1D84" w:rsidRPr="00C3424D" w:rsidRDefault="00AE1D84" w:rsidP="00F62984">
      <w:pPr>
        <w:jc w:val="both"/>
        <w:rPr>
          <w:sz w:val="20"/>
        </w:rPr>
      </w:pPr>
    </w:p>
    <w:p w14:paraId="76564F4F" w14:textId="77777777" w:rsidR="00AE1D84" w:rsidRPr="00A86D8D" w:rsidRDefault="00AE1D84" w:rsidP="00F62984">
      <w:pPr>
        <w:jc w:val="both"/>
        <w:rPr>
          <w:sz w:val="20"/>
        </w:rPr>
      </w:pPr>
      <w:r w:rsidRPr="00FE0AD0">
        <w:rPr>
          <w:b/>
          <w:sz w:val="20"/>
        </w:rPr>
        <w:t>Emission Unit</w:t>
      </w:r>
      <w:r>
        <w:rPr>
          <w:b/>
          <w:sz w:val="20"/>
        </w:rPr>
        <w:t>:</w:t>
      </w:r>
      <w:r>
        <w:rPr>
          <w:sz w:val="20"/>
        </w:rPr>
        <w:t xml:space="preserve"> </w:t>
      </w:r>
      <w:r w:rsidR="009525FD">
        <w:rPr>
          <w:sz w:val="20"/>
        </w:rPr>
        <w:t>EUUNIT1101, EUUNIT1102</w:t>
      </w:r>
    </w:p>
    <w:p w14:paraId="682D72BF" w14:textId="77777777" w:rsidR="00AE1D84" w:rsidRPr="00F30023" w:rsidRDefault="00AE1D84" w:rsidP="00F62984">
      <w:pPr>
        <w:jc w:val="both"/>
        <w:rPr>
          <w:sz w:val="20"/>
        </w:rPr>
      </w:pPr>
    </w:p>
    <w:p w14:paraId="3297FCB4" w14:textId="77777777" w:rsidR="00AE1D84" w:rsidRDefault="00AE1D84" w:rsidP="00F62984">
      <w:pPr>
        <w:jc w:val="both"/>
        <w:rPr>
          <w:b/>
          <w:u w:val="single"/>
        </w:rPr>
      </w:pPr>
      <w:r>
        <w:rPr>
          <w:b/>
          <w:u w:val="single"/>
        </w:rPr>
        <w:t>POLLUTION CONTROL EQUIPMENT</w:t>
      </w:r>
    </w:p>
    <w:p w14:paraId="0BC64DC6" w14:textId="77777777" w:rsidR="00AE1D84" w:rsidRPr="0074351C" w:rsidRDefault="00AE1D84" w:rsidP="00F62984">
      <w:pPr>
        <w:jc w:val="both"/>
      </w:pPr>
    </w:p>
    <w:p w14:paraId="51A26A3D" w14:textId="77777777" w:rsidR="00AE1D84" w:rsidRPr="00C45EF0" w:rsidRDefault="009525FD" w:rsidP="00F62984">
      <w:pPr>
        <w:jc w:val="both"/>
        <w:rPr>
          <w:sz w:val="20"/>
        </w:rPr>
      </w:pPr>
      <w:r>
        <w:rPr>
          <w:sz w:val="20"/>
        </w:rPr>
        <w:t>NA</w:t>
      </w:r>
    </w:p>
    <w:p w14:paraId="5ED280AC" w14:textId="77777777" w:rsidR="00AE1D84" w:rsidRPr="008B5C27" w:rsidRDefault="00AE1D84" w:rsidP="00F62984">
      <w:pPr>
        <w:rPr>
          <w:sz w:val="20"/>
        </w:rPr>
      </w:pPr>
    </w:p>
    <w:p w14:paraId="4C9F3082" w14:textId="77777777" w:rsidR="00AE1D84" w:rsidRDefault="00AE1D84" w:rsidP="00F62984">
      <w:pPr>
        <w:jc w:val="both"/>
        <w:rPr>
          <w:b/>
          <w:u w:val="single"/>
        </w:rPr>
      </w:pPr>
      <w:r>
        <w:rPr>
          <w:b/>
        </w:rPr>
        <w:t xml:space="preserve">I.  </w:t>
      </w:r>
      <w:r>
        <w:rPr>
          <w:b/>
          <w:u w:val="single"/>
        </w:rPr>
        <w:t>EMISSION LIMIT(S)</w:t>
      </w:r>
    </w:p>
    <w:p w14:paraId="1214C5E5"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7E8C342"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1F88D6D"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7566104"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7D4CF2A"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4A1C49B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44A196" w14:textId="77777777" w:rsidR="00AE1D84" w:rsidRDefault="00AE1D84" w:rsidP="00F62984">
            <w:pPr>
              <w:jc w:val="center"/>
              <w:rPr>
                <w:b/>
                <w:sz w:val="20"/>
              </w:rPr>
            </w:pPr>
            <w:r>
              <w:rPr>
                <w:b/>
                <w:sz w:val="20"/>
              </w:rPr>
              <w:t>Monitoring/</w:t>
            </w:r>
          </w:p>
          <w:p w14:paraId="75F7C27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ED552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283EBFE8"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797B21D" w14:textId="77777777" w:rsidR="00AE1D84" w:rsidRPr="00095B77" w:rsidRDefault="009525FD" w:rsidP="006816F7">
            <w:pPr>
              <w:numPr>
                <w:ilvl w:val="0"/>
                <w:numId w:val="26"/>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5198D52E" w14:textId="77777777" w:rsidR="00AE1D84" w:rsidRPr="009525FD" w:rsidRDefault="009525FD" w:rsidP="00F466A0">
            <w:pPr>
              <w:jc w:val="center"/>
              <w:rPr>
                <w:sz w:val="20"/>
                <w:vertAlign w:val="superscript"/>
              </w:rPr>
            </w:pPr>
            <w:r>
              <w:rPr>
                <w:sz w:val="20"/>
              </w:rPr>
              <w:t>82 ppm by volume, corrected to 15% oxygen</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F372CF6" w14:textId="77777777" w:rsidR="00AE1D84" w:rsidRPr="00BD3DE3" w:rsidRDefault="009525FD" w:rsidP="00F466A0">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2C4BEBF" w14:textId="77777777" w:rsidR="00AE1D84" w:rsidRDefault="009525FD" w:rsidP="00F466A0">
            <w:pPr>
              <w:jc w:val="center"/>
              <w:rPr>
                <w:sz w:val="20"/>
              </w:rPr>
            </w:pPr>
            <w:r>
              <w:rPr>
                <w:sz w:val="20"/>
              </w:rPr>
              <w:t>EUUNIT1101</w:t>
            </w:r>
          </w:p>
          <w:p w14:paraId="40D67616" w14:textId="77777777" w:rsidR="009525FD" w:rsidRDefault="009525FD" w:rsidP="00F466A0">
            <w:pPr>
              <w:jc w:val="center"/>
              <w:rPr>
                <w:sz w:val="20"/>
              </w:rPr>
            </w:pPr>
            <w:r>
              <w:rPr>
                <w:sz w:val="20"/>
              </w:rPr>
              <w:t>EUUNIT1102</w:t>
            </w:r>
          </w:p>
          <w:p w14:paraId="7E7CF584" w14:textId="77777777" w:rsidR="009525FD" w:rsidRPr="00BD3DE3" w:rsidRDefault="009525FD" w:rsidP="00F466A0">
            <w:pPr>
              <w:jc w:val="center"/>
              <w:rPr>
                <w:sz w:val="20"/>
              </w:rPr>
            </w:pPr>
            <w:r>
              <w:rPr>
                <w:sz w:val="20"/>
              </w:rPr>
              <w:t>individually</w:t>
            </w:r>
          </w:p>
        </w:tc>
        <w:tc>
          <w:tcPr>
            <w:tcW w:w="1530" w:type="dxa"/>
            <w:tcBorders>
              <w:top w:val="single" w:sz="4" w:space="0" w:color="auto"/>
              <w:left w:val="single" w:sz="4" w:space="0" w:color="auto"/>
              <w:bottom w:val="single" w:sz="4" w:space="0" w:color="auto"/>
              <w:right w:val="single" w:sz="4" w:space="0" w:color="auto"/>
            </w:tcBorders>
          </w:tcPr>
          <w:p w14:paraId="1AE3CCC1" w14:textId="77777777" w:rsidR="00AE1D84" w:rsidRPr="00BD3DE3" w:rsidRDefault="009525FD" w:rsidP="00F466A0">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032CF12" w14:textId="77777777" w:rsidR="00AE1D84" w:rsidRPr="002D3BFA" w:rsidRDefault="009525FD" w:rsidP="00F466A0">
            <w:pPr>
              <w:jc w:val="center"/>
              <w:rPr>
                <w:b/>
                <w:sz w:val="20"/>
              </w:rPr>
            </w:pPr>
            <w:r>
              <w:rPr>
                <w:b/>
                <w:sz w:val="20"/>
              </w:rPr>
              <w:t>40 CFR 52.21</w:t>
            </w:r>
          </w:p>
        </w:tc>
      </w:tr>
      <w:tr w:rsidR="009525FD" w14:paraId="34B73946"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A54DD02" w14:textId="77777777" w:rsidR="009525FD" w:rsidRDefault="009525FD" w:rsidP="006816F7">
            <w:pPr>
              <w:numPr>
                <w:ilvl w:val="0"/>
                <w:numId w:val="26"/>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74AF5244" w14:textId="77777777" w:rsidR="009525FD" w:rsidRPr="009525FD" w:rsidRDefault="009525FD" w:rsidP="00F466A0">
            <w:pPr>
              <w:jc w:val="center"/>
              <w:rPr>
                <w:sz w:val="20"/>
                <w:vertAlign w:val="superscript"/>
              </w:rPr>
            </w:pPr>
            <w:r>
              <w:rPr>
                <w:sz w:val="20"/>
              </w:rPr>
              <w:t>61.2 pph</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04F3F1EB" w14:textId="77777777" w:rsidR="009525FD" w:rsidRDefault="009525FD" w:rsidP="00F466A0">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D94778D" w14:textId="77777777" w:rsidR="009525FD" w:rsidRDefault="009525FD" w:rsidP="009525FD">
            <w:pPr>
              <w:jc w:val="center"/>
              <w:rPr>
                <w:sz w:val="20"/>
              </w:rPr>
            </w:pPr>
            <w:r>
              <w:rPr>
                <w:sz w:val="20"/>
              </w:rPr>
              <w:t>EUUNIT1101</w:t>
            </w:r>
          </w:p>
          <w:p w14:paraId="63BB1205" w14:textId="77777777" w:rsidR="009525FD" w:rsidRDefault="009525FD" w:rsidP="009525FD">
            <w:pPr>
              <w:jc w:val="center"/>
              <w:rPr>
                <w:sz w:val="20"/>
              </w:rPr>
            </w:pPr>
            <w:r>
              <w:rPr>
                <w:sz w:val="20"/>
              </w:rPr>
              <w:t>EUUNIT1102</w:t>
            </w:r>
          </w:p>
          <w:p w14:paraId="1AAF33B1" w14:textId="77777777" w:rsidR="009525FD" w:rsidRDefault="009525FD" w:rsidP="009525FD">
            <w:pPr>
              <w:jc w:val="center"/>
              <w:rPr>
                <w:sz w:val="20"/>
              </w:rPr>
            </w:pPr>
            <w:r>
              <w:rPr>
                <w:sz w:val="20"/>
              </w:rPr>
              <w:t>individually</w:t>
            </w:r>
          </w:p>
        </w:tc>
        <w:tc>
          <w:tcPr>
            <w:tcW w:w="1530" w:type="dxa"/>
            <w:tcBorders>
              <w:top w:val="single" w:sz="4" w:space="0" w:color="auto"/>
              <w:left w:val="single" w:sz="4" w:space="0" w:color="auto"/>
              <w:bottom w:val="single" w:sz="4" w:space="0" w:color="auto"/>
              <w:right w:val="single" w:sz="4" w:space="0" w:color="auto"/>
            </w:tcBorders>
          </w:tcPr>
          <w:p w14:paraId="4E5EDA07" w14:textId="77777777" w:rsidR="009525FD" w:rsidRDefault="009525FD" w:rsidP="00F466A0">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7DF1862" w14:textId="07E74040" w:rsidR="009525FD" w:rsidRDefault="009525FD" w:rsidP="00F466A0">
            <w:pPr>
              <w:jc w:val="center"/>
              <w:rPr>
                <w:b/>
                <w:sz w:val="20"/>
              </w:rPr>
            </w:pPr>
            <w:r>
              <w:rPr>
                <w:b/>
                <w:sz w:val="20"/>
              </w:rPr>
              <w:t>40 CFR 52</w:t>
            </w:r>
            <w:r w:rsidR="00CC5D64">
              <w:rPr>
                <w:b/>
                <w:sz w:val="20"/>
              </w:rPr>
              <w:t>.</w:t>
            </w:r>
            <w:r>
              <w:rPr>
                <w:b/>
                <w:sz w:val="20"/>
              </w:rPr>
              <w:t>21</w:t>
            </w:r>
          </w:p>
        </w:tc>
      </w:tr>
      <w:tr w:rsidR="009525FD" w14:paraId="0379510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41D0BD1" w14:textId="77777777" w:rsidR="009525FD" w:rsidRDefault="009525FD" w:rsidP="006816F7">
            <w:pPr>
              <w:numPr>
                <w:ilvl w:val="0"/>
                <w:numId w:val="26"/>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195B4584" w14:textId="77777777" w:rsidR="009525FD" w:rsidRPr="009525FD" w:rsidRDefault="009525FD" w:rsidP="00F466A0">
            <w:pPr>
              <w:jc w:val="center"/>
              <w:rPr>
                <w:sz w:val="20"/>
                <w:vertAlign w:val="superscript"/>
              </w:rPr>
            </w:pPr>
            <w:r>
              <w:rPr>
                <w:sz w:val="20"/>
              </w:rPr>
              <w:t>268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5D86A4B4" w14:textId="77777777" w:rsidR="009525FD" w:rsidRDefault="009525FD" w:rsidP="00F466A0">
            <w:pPr>
              <w:jc w:val="center"/>
              <w:rPr>
                <w:sz w:val="20"/>
              </w:rPr>
            </w:pPr>
            <w:r>
              <w:rPr>
                <w:sz w:val="20"/>
              </w:rPr>
              <w:t xml:space="preserve">12 month rolling </w:t>
            </w:r>
            <w:proofErr w:type="gramStart"/>
            <w:r>
              <w:rPr>
                <w:sz w:val="20"/>
              </w:rPr>
              <w:t>time period</w:t>
            </w:r>
            <w:proofErr w:type="gramEnd"/>
            <w:r>
              <w:rPr>
                <w:sz w:val="20"/>
              </w:rPr>
              <w:t xml:space="preserve">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1697FBC" w14:textId="77777777" w:rsidR="009525FD" w:rsidRDefault="009525FD" w:rsidP="009525FD">
            <w:pPr>
              <w:jc w:val="center"/>
              <w:rPr>
                <w:sz w:val="20"/>
              </w:rPr>
            </w:pPr>
            <w:r>
              <w:rPr>
                <w:sz w:val="20"/>
              </w:rPr>
              <w:t>EUUNIT1101</w:t>
            </w:r>
          </w:p>
          <w:p w14:paraId="175609D2" w14:textId="77777777" w:rsidR="009525FD" w:rsidRDefault="009525FD" w:rsidP="009525FD">
            <w:pPr>
              <w:jc w:val="center"/>
              <w:rPr>
                <w:sz w:val="20"/>
              </w:rPr>
            </w:pPr>
            <w:r>
              <w:rPr>
                <w:sz w:val="20"/>
              </w:rPr>
              <w:t>EUUNIT1102</w:t>
            </w:r>
          </w:p>
          <w:p w14:paraId="5AC36B72" w14:textId="77777777" w:rsidR="009525FD" w:rsidRDefault="009525FD" w:rsidP="009525FD">
            <w:pPr>
              <w:jc w:val="center"/>
              <w:rPr>
                <w:sz w:val="20"/>
              </w:rPr>
            </w:pPr>
            <w:r>
              <w:rPr>
                <w:sz w:val="20"/>
              </w:rPr>
              <w:t>individually</w:t>
            </w:r>
          </w:p>
        </w:tc>
        <w:tc>
          <w:tcPr>
            <w:tcW w:w="1530" w:type="dxa"/>
            <w:tcBorders>
              <w:top w:val="single" w:sz="4" w:space="0" w:color="auto"/>
              <w:left w:val="single" w:sz="4" w:space="0" w:color="auto"/>
              <w:bottom w:val="single" w:sz="4" w:space="0" w:color="auto"/>
              <w:right w:val="single" w:sz="4" w:space="0" w:color="auto"/>
            </w:tcBorders>
          </w:tcPr>
          <w:p w14:paraId="15FDCA0F" w14:textId="4FABACB8" w:rsidR="009525FD" w:rsidRDefault="009525FD" w:rsidP="00F466A0">
            <w:pPr>
              <w:jc w:val="center"/>
              <w:rPr>
                <w:sz w:val="20"/>
              </w:rPr>
            </w:pPr>
            <w:r>
              <w:rPr>
                <w:sz w:val="20"/>
              </w:rPr>
              <w:t>SC V.1</w:t>
            </w:r>
            <w:r w:rsidR="00CD4737">
              <w:rPr>
                <w:sz w:val="20"/>
              </w:rPr>
              <w:t>, VI.1</w:t>
            </w:r>
          </w:p>
        </w:tc>
        <w:tc>
          <w:tcPr>
            <w:tcW w:w="1530" w:type="dxa"/>
            <w:tcBorders>
              <w:top w:val="single" w:sz="4" w:space="0" w:color="auto"/>
              <w:left w:val="single" w:sz="4" w:space="0" w:color="auto"/>
              <w:bottom w:val="single" w:sz="4" w:space="0" w:color="auto"/>
              <w:right w:val="single" w:sz="4" w:space="0" w:color="auto"/>
            </w:tcBorders>
          </w:tcPr>
          <w:p w14:paraId="443D6C87" w14:textId="0D9CC262" w:rsidR="009525FD" w:rsidRDefault="009525FD" w:rsidP="00F466A0">
            <w:pPr>
              <w:jc w:val="center"/>
              <w:rPr>
                <w:b/>
                <w:sz w:val="20"/>
              </w:rPr>
            </w:pPr>
            <w:r>
              <w:rPr>
                <w:b/>
                <w:sz w:val="20"/>
              </w:rPr>
              <w:t>40 CFR 52</w:t>
            </w:r>
            <w:r w:rsidR="00CC5D64">
              <w:rPr>
                <w:b/>
                <w:sz w:val="20"/>
              </w:rPr>
              <w:t>.</w:t>
            </w:r>
            <w:r>
              <w:rPr>
                <w:b/>
                <w:sz w:val="20"/>
              </w:rPr>
              <w:t>21</w:t>
            </w:r>
          </w:p>
        </w:tc>
      </w:tr>
      <w:tr w:rsidR="009525FD" w14:paraId="2BEF735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0267F83" w14:textId="77777777" w:rsidR="009525FD" w:rsidRDefault="009525FD" w:rsidP="006816F7">
            <w:pPr>
              <w:numPr>
                <w:ilvl w:val="0"/>
                <w:numId w:val="26"/>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3FF6BC1A" w14:textId="77777777" w:rsidR="009525FD" w:rsidRPr="009525FD" w:rsidRDefault="009525FD" w:rsidP="00F466A0">
            <w:pPr>
              <w:jc w:val="center"/>
              <w:rPr>
                <w:sz w:val="20"/>
                <w:vertAlign w:val="superscript"/>
              </w:rPr>
            </w:pPr>
            <w:r>
              <w:rPr>
                <w:sz w:val="20"/>
              </w:rPr>
              <w:t>300 ppm by volume</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79B006B" w14:textId="77777777" w:rsidR="009525FD" w:rsidRDefault="009525FD" w:rsidP="00F466A0">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06BF3F2" w14:textId="77777777" w:rsidR="009525FD" w:rsidRDefault="009525FD" w:rsidP="009525FD">
            <w:pPr>
              <w:jc w:val="center"/>
              <w:rPr>
                <w:sz w:val="20"/>
              </w:rPr>
            </w:pPr>
            <w:r>
              <w:rPr>
                <w:sz w:val="20"/>
              </w:rPr>
              <w:t>EUUNIT1101</w:t>
            </w:r>
          </w:p>
          <w:p w14:paraId="187A541F" w14:textId="77777777" w:rsidR="009525FD" w:rsidRDefault="009525FD" w:rsidP="009525FD">
            <w:pPr>
              <w:jc w:val="center"/>
              <w:rPr>
                <w:sz w:val="20"/>
              </w:rPr>
            </w:pPr>
            <w:r>
              <w:rPr>
                <w:sz w:val="20"/>
              </w:rPr>
              <w:t>EUUNIT1102</w:t>
            </w:r>
          </w:p>
          <w:p w14:paraId="27F9EE7F" w14:textId="77777777" w:rsidR="009525FD" w:rsidRDefault="009525FD" w:rsidP="009525FD">
            <w:pPr>
              <w:jc w:val="center"/>
              <w:rPr>
                <w:sz w:val="20"/>
              </w:rPr>
            </w:pPr>
            <w:r>
              <w:rPr>
                <w:sz w:val="20"/>
              </w:rPr>
              <w:t>individually</w:t>
            </w:r>
          </w:p>
        </w:tc>
        <w:tc>
          <w:tcPr>
            <w:tcW w:w="1530" w:type="dxa"/>
            <w:tcBorders>
              <w:top w:val="single" w:sz="4" w:space="0" w:color="auto"/>
              <w:left w:val="single" w:sz="4" w:space="0" w:color="auto"/>
              <w:bottom w:val="single" w:sz="4" w:space="0" w:color="auto"/>
              <w:right w:val="single" w:sz="4" w:space="0" w:color="auto"/>
            </w:tcBorders>
          </w:tcPr>
          <w:p w14:paraId="3A3F51AF" w14:textId="77777777" w:rsidR="009525FD" w:rsidRDefault="009525FD" w:rsidP="00F466A0">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A2D6E5B" w14:textId="258F4AA3" w:rsidR="009525FD" w:rsidRDefault="009525FD" w:rsidP="00F466A0">
            <w:pPr>
              <w:jc w:val="center"/>
              <w:rPr>
                <w:b/>
                <w:sz w:val="20"/>
              </w:rPr>
            </w:pPr>
            <w:r>
              <w:rPr>
                <w:b/>
                <w:sz w:val="20"/>
              </w:rPr>
              <w:t>40 CFR 52</w:t>
            </w:r>
            <w:r w:rsidR="00CC5D64">
              <w:rPr>
                <w:b/>
                <w:sz w:val="20"/>
              </w:rPr>
              <w:t>.</w:t>
            </w:r>
            <w:r>
              <w:rPr>
                <w:b/>
                <w:sz w:val="20"/>
              </w:rPr>
              <w:t>21</w:t>
            </w:r>
          </w:p>
        </w:tc>
      </w:tr>
      <w:tr w:rsidR="009525FD" w14:paraId="77CAC9D4"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C28F274" w14:textId="77777777" w:rsidR="009525FD" w:rsidRDefault="009525FD" w:rsidP="006816F7">
            <w:pPr>
              <w:numPr>
                <w:ilvl w:val="0"/>
                <w:numId w:val="26"/>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69EA0CCD" w14:textId="028335D9" w:rsidR="009525FD" w:rsidRDefault="009525FD" w:rsidP="00F466A0">
            <w:pPr>
              <w:jc w:val="center"/>
              <w:rPr>
                <w:sz w:val="20"/>
              </w:rPr>
            </w:pPr>
            <w:r>
              <w:rPr>
                <w:sz w:val="20"/>
              </w:rPr>
              <w:t>140 pph</w:t>
            </w:r>
            <w:r w:rsidR="00012235">
              <w:rPr>
                <w:rFonts w:ascii="Times New Roman" w:hAnsi="Times New Roman"/>
                <w:sz w:val="20"/>
              </w:rPr>
              <w:t>²</w:t>
            </w:r>
          </w:p>
        </w:tc>
        <w:tc>
          <w:tcPr>
            <w:tcW w:w="2246" w:type="dxa"/>
            <w:tcBorders>
              <w:top w:val="single" w:sz="4" w:space="0" w:color="auto"/>
              <w:left w:val="single" w:sz="4" w:space="0" w:color="auto"/>
              <w:bottom w:val="single" w:sz="4" w:space="0" w:color="auto"/>
              <w:right w:val="single" w:sz="4" w:space="0" w:color="auto"/>
            </w:tcBorders>
          </w:tcPr>
          <w:p w14:paraId="52FA0B4F" w14:textId="77777777" w:rsidR="009525FD" w:rsidRDefault="009525FD" w:rsidP="00F466A0">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D90B2AF" w14:textId="77777777" w:rsidR="009525FD" w:rsidRDefault="009525FD" w:rsidP="009525FD">
            <w:pPr>
              <w:jc w:val="center"/>
              <w:rPr>
                <w:sz w:val="20"/>
              </w:rPr>
            </w:pPr>
            <w:r>
              <w:rPr>
                <w:sz w:val="20"/>
              </w:rPr>
              <w:t>EUUNIT1101</w:t>
            </w:r>
          </w:p>
          <w:p w14:paraId="1323CD60" w14:textId="77777777" w:rsidR="009525FD" w:rsidRDefault="009525FD" w:rsidP="009525FD">
            <w:pPr>
              <w:jc w:val="center"/>
              <w:rPr>
                <w:sz w:val="20"/>
              </w:rPr>
            </w:pPr>
            <w:r>
              <w:rPr>
                <w:sz w:val="20"/>
              </w:rPr>
              <w:t>EUUNIT1102</w:t>
            </w:r>
          </w:p>
          <w:p w14:paraId="5F8AA1A2" w14:textId="77777777" w:rsidR="009525FD" w:rsidRDefault="009525FD" w:rsidP="009525FD">
            <w:pPr>
              <w:jc w:val="center"/>
              <w:rPr>
                <w:sz w:val="20"/>
              </w:rPr>
            </w:pPr>
            <w:r>
              <w:rPr>
                <w:sz w:val="20"/>
              </w:rPr>
              <w:t>individually</w:t>
            </w:r>
          </w:p>
        </w:tc>
        <w:tc>
          <w:tcPr>
            <w:tcW w:w="1530" w:type="dxa"/>
            <w:tcBorders>
              <w:top w:val="single" w:sz="4" w:space="0" w:color="auto"/>
              <w:left w:val="single" w:sz="4" w:space="0" w:color="auto"/>
              <w:bottom w:val="single" w:sz="4" w:space="0" w:color="auto"/>
              <w:right w:val="single" w:sz="4" w:space="0" w:color="auto"/>
            </w:tcBorders>
          </w:tcPr>
          <w:p w14:paraId="6467A1CF" w14:textId="77777777" w:rsidR="009525FD" w:rsidRDefault="009525FD" w:rsidP="00F466A0">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6B779DB" w14:textId="427C31E9" w:rsidR="009525FD" w:rsidRDefault="009525FD" w:rsidP="00F466A0">
            <w:pPr>
              <w:jc w:val="center"/>
              <w:rPr>
                <w:b/>
                <w:sz w:val="20"/>
              </w:rPr>
            </w:pPr>
            <w:r>
              <w:rPr>
                <w:b/>
                <w:sz w:val="20"/>
              </w:rPr>
              <w:t>40 CFR 52</w:t>
            </w:r>
            <w:r w:rsidR="00CC5D64">
              <w:rPr>
                <w:b/>
                <w:sz w:val="20"/>
              </w:rPr>
              <w:t>.</w:t>
            </w:r>
            <w:r>
              <w:rPr>
                <w:b/>
                <w:sz w:val="20"/>
              </w:rPr>
              <w:t>21</w:t>
            </w:r>
          </w:p>
        </w:tc>
      </w:tr>
    </w:tbl>
    <w:p w14:paraId="39ADD336" w14:textId="77777777" w:rsidR="00AE1D84" w:rsidRPr="00EE5F4E" w:rsidRDefault="00AE1D84" w:rsidP="00F62984">
      <w:pPr>
        <w:jc w:val="both"/>
        <w:rPr>
          <w:sz w:val="20"/>
        </w:rPr>
      </w:pPr>
    </w:p>
    <w:p w14:paraId="5C8C8892" w14:textId="77777777" w:rsidR="00AE1D84" w:rsidRDefault="00AE1D84" w:rsidP="00F62984">
      <w:pPr>
        <w:jc w:val="both"/>
        <w:rPr>
          <w:b/>
          <w:u w:val="single"/>
        </w:rPr>
      </w:pPr>
      <w:r>
        <w:rPr>
          <w:b/>
        </w:rPr>
        <w:t xml:space="preserve">II.  </w:t>
      </w:r>
      <w:r>
        <w:rPr>
          <w:b/>
          <w:u w:val="single"/>
        </w:rPr>
        <w:t>MATERIAL LIMIT(S)</w:t>
      </w:r>
    </w:p>
    <w:p w14:paraId="16602D98" w14:textId="77777777" w:rsidR="00AE1D84" w:rsidRPr="00FE0AD0" w:rsidRDefault="00AE1D84" w:rsidP="00F62984">
      <w:pPr>
        <w:jc w:val="both"/>
        <w:rPr>
          <w:sz w:val="20"/>
        </w:rPr>
      </w:pPr>
    </w:p>
    <w:p w14:paraId="02C1F0EC" w14:textId="77777777" w:rsidR="00AE1D84" w:rsidRPr="00EE5F4E" w:rsidRDefault="004F0BCA" w:rsidP="00F62984">
      <w:pPr>
        <w:jc w:val="both"/>
        <w:rPr>
          <w:sz w:val="20"/>
        </w:rPr>
      </w:pPr>
      <w:r>
        <w:rPr>
          <w:sz w:val="20"/>
        </w:rPr>
        <w:t>NA</w:t>
      </w:r>
    </w:p>
    <w:p w14:paraId="654432E6" w14:textId="77777777" w:rsidR="00494D15" w:rsidRPr="00EE5F4E" w:rsidRDefault="00494D15" w:rsidP="00F62984">
      <w:pPr>
        <w:jc w:val="both"/>
        <w:rPr>
          <w:sz w:val="20"/>
        </w:rPr>
      </w:pPr>
    </w:p>
    <w:p w14:paraId="04617EF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B51B429" w14:textId="77777777" w:rsidR="00AE1D84" w:rsidRPr="00FB6071" w:rsidRDefault="00AE1D84" w:rsidP="00F62984">
      <w:pPr>
        <w:jc w:val="both"/>
        <w:rPr>
          <w:sz w:val="20"/>
        </w:rPr>
      </w:pPr>
    </w:p>
    <w:p w14:paraId="78795338" w14:textId="77777777" w:rsidR="00AE1D84" w:rsidRPr="00C0388E" w:rsidRDefault="004F0BCA" w:rsidP="004F0BCA">
      <w:pPr>
        <w:jc w:val="both"/>
        <w:rPr>
          <w:sz w:val="20"/>
        </w:rPr>
      </w:pPr>
      <w:r>
        <w:rPr>
          <w:sz w:val="20"/>
        </w:rPr>
        <w:t>NA</w:t>
      </w:r>
    </w:p>
    <w:p w14:paraId="617A92BD" w14:textId="77777777" w:rsidR="00AE1D84" w:rsidRPr="00FB6071" w:rsidRDefault="00AE1D84" w:rsidP="00F62984">
      <w:pPr>
        <w:jc w:val="both"/>
        <w:rPr>
          <w:sz w:val="20"/>
        </w:rPr>
      </w:pPr>
    </w:p>
    <w:p w14:paraId="365C3F31"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0BF10F2C" w14:textId="77777777" w:rsidR="00AE1D84" w:rsidRPr="00C3424D" w:rsidRDefault="00AE1D84" w:rsidP="00F62984">
      <w:pPr>
        <w:jc w:val="both"/>
        <w:rPr>
          <w:sz w:val="20"/>
        </w:rPr>
      </w:pPr>
    </w:p>
    <w:p w14:paraId="39DFD2B1" w14:textId="77777777" w:rsidR="00AE1D84" w:rsidRPr="00C0388E" w:rsidRDefault="004F0BCA" w:rsidP="004F0BCA">
      <w:pPr>
        <w:jc w:val="both"/>
        <w:rPr>
          <w:sz w:val="20"/>
        </w:rPr>
      </w:pPr>
      <w:r>
        <w:rPr>
          <w:sz w:val="20"/>
        </w:rPr>
        <w:t>NA</w:t>
      </w:r>
    </w:p>
    <w:p w14:paraId="5AA2A39F" w14:textId="77777777" w:rsidR="00AE1D84" w:rsidRPr="00FE0AD0" w:rsidRDefault="00AE1D84" w:rsidP="00F62984">
      <w:pPr>
        <w:jc w:val="both"/>
        <w:rPr>
          <w:sz w:val="20"/>
        </w:rPr>
      </w:pPr>
    </w:p>
    <w:p w14:paraId="2C6BE401" w14:textId="77777777" w:rsidR="00AE1D84" w:rsidRPr="007D4237" w:rsidRDefault="00AE1D84" w:rsidP="00F62984">
      <w:pPr>
        <w:jc w:val="both"/>
      </w:pPr>
      <w:r>
        <w:rPr>
          <w:b/>
        </w:rPr>
        <w:t xml:space="preserve">V.  </w:t>
      </w:r>
      <w:r>
        <w:rPr>
          <w:b/>
          <w:u w:val="single"/>
        </w:rPr>
        <w:t>TESTING/SAMPLING</w:t>
      </w:r>
    </w:p>
    <w:p w14:paraId="4216BAA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036CA9" w14:textId="77777777" w:rsidR="00AE1D84" w:rsidRPr="00FE0AD0" w:rsidRDefault="00AE1D84" w:rsidP="00F62984">
      <w:pPr>
        <w:jc w:val="both"/>
        <w:rPr>
          <w:sz w:val="20"/>
        </w:rPr>
      </w:pPr>
    </w:p>
    <w:p w14:paraId="076C80FD" w14:textId="4CBCC29B" w:rsidR="00AE1D84" w:rsidRPr="00E40673" w:rsidRDefault="00AE1D84" w:rsidP="006816F7">
      <w:pPr>
        <w:numPr>
          <w:ilvl w:val="0"/>
          <w:numId w:val="28"/>
        </w:numPr>
        <w:jc w:val="both"/>
        <w:rPr>
          <w:rFonts w:cs="Arial"/>
          <w:color w:val="000000"/>
          <w:sz w:val="20"/>
        </w:rPr>
      </w:pPr>
      <w:r w:rsidRPr="00E40673">
        <w:rPr>
          <w:rFonts w:cs="Arial"/>
          <w:sz w:val="20"/>
        </w:rPr>
        <w:t>T</w:t>
      </w:r>
      <w:r w:rsidRPr="00E40673">
        <w:rPr>
          <w:rFonts w:cs="Arial"/>
          <w:color w:val="000000"/>
          <w:sz w:val="20"/>
        </w:rPr>
        <w:t>he permittee shall verify</w:t>
      </w:r>
      <w:r w:rsidR="008737B6">
        <w:rPr>
          <w:rFonts w:cs="Arial"/>
          <w:color w:val="000000"/>
          <w:sz w:val="20"/>
        </w:rPr>
        <w:t xml:space="preserve"> </w:t>
      </w:r>
      <w:r w:rsidR="00012235">
        <w:rPr>
          <w:rFonts w:cs="Arial"/>
          <w:color w:val="000000"/>
          <w:sz w:val="20"/>
        </w:rPr>
        <w:t>NO</w:t>
      </w:r>
      <w:r w:rsidR="00012235" w:rsidRPr="00A81225">
        <w:rPr>
          <w:rFonts w:cs="Arial"/>
          <w:color w:val="000000"/>
          <w:sz w:val="20"/>
          <w:vertAlign w:val="subscript"/>
        </w:rPr>
        <w:t>x</w:t>
      </w:r>
      <w:r w:rsidR="00012235">
        <w:rPr>
          <w:rFonts w:cs="Arial"/>
          <w:color w:val="000000"/>
          <w:sz w:val="20"/>
          <w:vertAlign w:val="superscript"/>
        </w:rPr>
        <w:t xml:space="preserve"> </w:t>
      </w:r>
      <w:r w:rsidR="00012235">
        <w:rPr>
          <w:rFonts w:cs="Arial"/>
          <w:color w:val="000000"/>
          <w:sz w:val="20"/>
        </w:rPr>
        <w:t>and</w:t>
      </w:r>
      <w:r w:rsidR="008737B6">
        <w:rPr>
          <w:rFonts w:cs="Arial"/>
          <w:color w:val="000000"/>
          <w:sz w:val="20"/>
        </w:rPr>
        <w:t xml:space="preserve"> CO</w:t>
      </w:r>
      <w:r w:rsidRPr="00E40673">
        <w:rPr>
          <w:rFonts w:cs="Arial"/>
          <w:color w:val="000000"/>
          <w:sz w:val="20"/>
        </w:rPr>
        <w:t xml:space="preserve"> emission rates from </w:t>
      </w:r>
      <w:r w:rsidR="008737B6">
        <w:rPr>
          <w:rFonts w:cs="Arial"/>
          <w:color w:val="000000"/>
          <w:sz w:val="20"/>
        </w:rPr>
        <w:t>FGAVONS</w:t>
      </w:r>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689D2B78" w14:textId="77777777" w:rsidR="00AE1D84" w:rsidRDefault="00AE1D84" w:rsidP="00F6298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59"/>
      </w:tblGrid>
      <w:tr w:rsidR="00AE1D84" w:rsidRPr="000F38A9" w14:paraId="68D80CBA" w14:textId="77777777" w:rsidTr="00EB3149">
        <w:tc>
          <w:tcPr>
            <w:tcW w:w="1800" w:type="dxa"/>
            <w:shd w:val="clear" w:color="auto" w:fill="auto"/>
          </w:tcPr>
          <w:p w14:paraId="70999852" w14:textId="77777777" w:rsidR="00AE1D84" w:rsidRPr="005B2191" w:rsidRDefault="00AE1D84" w:rsidP="00F62984">
            <w:pPr>
              <w:rPr>
                <w:rFonts w:eastAsia="Calibri"/>
                <w:sz w:val="20"/>
              </w:rPr>
            </w:pPr>
            <w:r w:rsidRPr="005B2191">
              <w:rPr>
                <w:rFonts w:eastAsia="Calibri"/>
                <w:b/>
                <w:sz w:val="20"/>
              </w:rPr>
              <w:t>Pollutant</w:t>
            </w:r>
          </w:p>
        </w:tc>
        <w:tc>
          <w:tcPr>
            <w:tcW w:w="8059" w:type="dxa"/>
            <w:shd w:val="clear" w:color="auto" w:fill="auto"/>
          </w:tcPr>
          <w:p w14:paraId="4F757A0C"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8737B6" w:rsidRPr="008737B6" w14:paraId="1A03C428" w14:textId="77777777" w:rsidTr="00EB3149">
        <w:tc>
          <w:tcPr>
            <w:tcW w:w="1800" w:type="dxa"/>
            <w:shd w:val="clear" w:color="auto" w:fill="auto"/>
          </w:tcPr>
          <w:p w14:paraId="436D2AC4" w14:textId="77777777" w:rsidR="00AE1D84" w:rsidRPr="008737B6" w:rsidRDefault="00AE1D84" w:rsidP="00F62984">
            <w:pPr>
              <w:rPr>
                <w:rFonts w:eastAsia="Calibri" w:cs="Arial"/>
                <w:sz w:val="20"/>
              </w:rPr>
            </w:pPr>
            <w:r w:rsidRPr="008737B6">
              <w:rPr>
                <w:rFonts w:eastAsia="Calibri" w:cs="Arial"/>
                <w:sz w:val="20"/>
              </w:rPr>
              <w:t>NOx</w:t>
            </w:r>
          </w:p>
        </w:tc>
        <w:tc>
          <w:tcPr>
            <w:tcW w:w="8059" w:type="dxa"/>
            <w:shd w:val="clear" w:color="auto" w:fill="auto"/>
          </w:tcPr>
          <w:p w14:paraId="4E0E69F5" w14:textId="77777777" w:rsidR="00AE1D84" w:rsidRPr="008737B6" w:rsidRDefault="00AE1D84" w:rsidP="00F62984">
            <w:pPr>
              <w:rPr>
                <w:rFonts w:eastAsia="Calibri" w:cs="Arial"/>
                <w:sz w:val="20"/>
              </w:rPr>
            </w:pPr>
            <w:r w:rsidRPr="008737B6">
              <w:rPr>
                <w:rFonts w:eastAsia="Calibri" w:cs="Arial"/>
                <w:sz w:val="20"/>
              </w:rPr>
              <w:t>40 CFR Part 60, Appendix A</w:t>
            </w:r>
          </w:p>
        </w:tc>
      </w:tr>
      <w:tr w:rsidR="008737B6" w:rsidRPr="008737B6" w14:paraId="35485F8C" w14:textId="77777777" w:rsidTr="00EB3149">
        <w:tc>
          <w:tcPr>
            <w:tcW w:w="1800" w:type="dxa"/>
            <w:shd w:val="clear" w:color="auto" w:fill="auto"/>
          </w:tcPr>
          <w:p w14:paraId="1D88F871" w14:textId="77777777" w:rsidR="00AE1D84" w:rsidRPr="008737B6" w:rsidRDefault="00AE1D84" w:rsidP="00F62984">
            <w:pPr>
              <w:rPr>
                <w:rFonts w:eastAsia="Calibri" w:cs="Arial"/>
                <w:sz w:val="20"/>
              </w:rPr>
            </w:pPr>
            <w:r w:rsidRPr="008737B6">
              <w:rPr>
                <w:rFonts w:eastAsia="Calibri" w:cs="Arial"/>
                <w:sz w:val="20"/>
              </w:rPr>
              <w:t>CO</w:t>
            </w:r>
          </w:p>
        </w:tc>
        <w:tc>
          <w:tcPr>
            <w:tcW w:w="8059" w:type="dxa"/>
            <w:shd w:val="clear" w:color="auto" w:fill="auto"/>
          </w:tcPr>
          <w:p w14:paraId="2AAFCC96" w14:textId="77777777" w:rsidR="00AE1D84" w:rsidRPr="008737B6" w:rsidRDefault="00AE1D84" w:rsidP="00F62984">
            <w:pPr>
              <w:rPr>
                <w:rFonts w:eastAsia="Calibri" w:cs="Arial"/>
                <w:sz w:val="20"/>
              </w:rPr>
            </w:pPr>
            <w:r w:rsidRPr="008737B6">
              <w:rPr>
                <w:rFonts w:eastAsia="Calibri" w:cs="Arial"/>
                <w:sz w:val="20"/>
              </w:rPr>
              <w:t>40 CFR Part 60, Appendix A</w:t>
            </w:r>
          </w:p>
        </w:tc>
      </w:tr>
    </w:tbl>
    <w:p w14:paraId="34865B85" w14:textId="77777777" w:rsidR="00AE1D84" w:rsidRPr="008737B6" w:rsidRDefault="00AE1D84" w:rsidP="00F62984">
      <w:pPr>
        <w:jc w:val="both"/>
        <w:rPr>
          <w:sz w:val="20"/>
        </w:rPr>
      </w:pPr>
    </w:p>
    <w:p w14:paraId="2171D91B" w14:textId="77777777"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sidR="00F05449">
        <w:rPr>
          <w:rFonts w:cs="Arial"/>
          <w:color w:val="000000"/>
          <w:sz w:val="20"/>
        </w:rPr>
        <w:t xml:space="preserve"> </w:t>
      </w:r>
      <w:r w:rsidRPr="00E40673">
        <w:rPr>
          <w:rFonts w:cs="Arial"/>
          <w:color w:val="000000"/>
          <w:sz w:val="20"/>
        </w:rPr>
        <w:t>approved Test Protocol</w:t>
      </w:r>
      <w:r w:rsidR="00143E55">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27A2A7D8" w14:textId="77777777" w:rsidR="00AE1D84" w:rsidRDefault="00AE1D84" w:rsidP="00F62984">
      <w:pPr>
        <w:jc w:val="both"/>
        <w:rPr>
          <w:rFonts w:cs="Arial"/>
          <w:sz w:val="20"/>
        </w:rPr>
      </w:pPr>
    </w:p>
    <w:p w14:paraId="260DC470" w14:textId="77777777" w:rsidR="00AE1D84" w:rsidRPr="00E7046D" w:rsidRDefault="00AE1D84" w:rsidP="006816F7">
      <w:pPr>
        <w:numPr>
          <w:ilvl w:val="0"/>
          <w:numId w:val="28"/>
        </w:numPr>
        <w:jc w:val="both"/>
        <w:rPr>
          <w:rFonts w:cs="Arial"/>
          <w:sz w:val="20"/>
        </w:rPr>
      </w:pPr>
      <w:r w:rsidRPr="00E7046D">
        <w:rPr>
          <w:rFonts w:cs="Arial"/>
          <w:sz w:val="20"/>
        </w:rPr>
        <w:t>The permittee shall verify the</w:t>
      </w:r>
      <w:r w:rsidR="008737B6">
        <w:rPr>
          <w:rFonts w:cs="Arial"/>
          <w:sz w:val="20"/>
        </w:rPr>
        <w:t xml:space="preserve"> NOx and CO</w:t>
      </w:r>
      <w:r w:rsidRPr="00E7046D">
        <w:rPr>
          <w:rFonts w:cs="Arial"/>
          <w:sz w:val="20"/>
        </w:rPr>
        <w:t xml:space="preserve"> emission rates from </w:t>
      </w:r>
      <w:r w:rsidR="008737B6">
        <w:rPr>
          <w:rFonts w:cs="Arial"/>
          <w:sz w:val="20"/>
        </w:rPr>
        <w:t>FGAVONS</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7935D4A6" w14:textId="77777777" w:rsidR="00AE1D84" w:rsidRPr="00E111A8" w:rsidRDefault="00AE1D84" w:rsidP="00F62984">
      <w:pPr>
        <w:jc w:val="both"/>
        <w:rPr>
          <w:sz w:val="20"/>
        </w:rPr>
      </w:pPr>
    </w:p>
    <w:p w14:paraId="212BEDF3" w14:textId="77777777" w:rsidR="00AE1D84" w:rsidRPr="002A2FAE" w:rsidRDefault="00AE1D84" w:rsidP="006816F7">
      <w:pPr>
        <w:numPr>
          <w:ilvl w:val="0"/>
          <w:numId w:val="28"/>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2D5450AE" w14:textId="77777777" w:rsidR="00AE1D84" w:rsidRPr="00FE0AD0" w:rsidRDefault="00AE1D84" w:rsidP="00F62984">
      <w:pPr>
        <w:jc w:val="both"/>
        <w:rPr>
          <w:sz w:val="20"/>
        </w:rPr>
      </w:pPr>
    </w:p>
    <w:p w14:paraId="25D07B87" w14:textId="77777777" w:rsidR="00AE1D84" w:rsidRDefault="00AE1D84" w:rsidP="00F62984">
      <w:pPr>
        <w:jc w:val="both"/>
      </w:pPr>
      <w:r>
        <w:rPr>
          <w:b/>
        </w:rPr>
        <w:t xml:space="preserve">VI.  </w:t>
      </w:r>
      <w:r>
        <w:rPr>
          <w:b/>
          <w:u w:val="single"/>
        </w:rPr>
        <w:t>MONITORING/RECORDKEEPING</w:t>
      </w:r>
    </w:p>
    <w:p w14:paraId="4A1FBEF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ECCF4F" w14:textId="77777777" w:rsidR="00AE1D84" w:rsidRPr="00FE0AD0" w:rsidRDefault="00AE1D84" w:rsidP="00F62984">
      <w:pPr>
        <w:jc w:val="both"/>
        <w:rPr>
          <w:sz w:val="20"/>
        </w:rPr>
      </w:pPr>
    </w:p>
    <w:p w14:paraId="58B98540" w14:textId="4D1EDA6A" w:rsidR="00633C60" w:rsidRPr="00391165" w:rsidRDefault="00633C60" w:rsidP="00391165">
      <w:pPr>
        <w:pStyle w:val="ListParagraph"/>
        <w:numPr>
          <w:ilvl w:val="0"/>
          <w:numId w:val="35"/>
        </w:numPr>
        <w:spacing w:after="120"/>
        <w:ind w:left="360"/>
        <w:jc w:val="both"/>
        <w:rPr>
          <w:rFonts w:cs="Arial"/>
          <w:sz w:val="20"/>
        </w:rPr>
      </w:pPr>
      <w:r w:rsidRPr="00391165">
        <w:rPr>
          <w:sz w:val="20"/>
        </w:rPr>
        <w:t xml:space="preserve">The permittee shall keep the following information </w:t>
      </w:r>
      <w:proofErr w:type="gramStart"/>
      <w:r w:rsidRPr="00391165">
        <w:rPr>
          <w:sz w:val="20"/>
        </w:rPr>
        <w:t>on a monthly basis</w:t>
      </w:r>
      <w:proofErr w:type="gramEnd"/>
      <w:r w:rsidRPr="00391165">
        <w:rPr>
          <w:sz w:val="20"/>
        </w:rPr>
        <w:t xml:space="preserve"> for EUUNIT1101 and EUUNIT1102:</w:t>
      </w:r>
    </w:p>
    <w:p w14:paraId="6039DA70" w14:textId="1FF9EBDE" w:rsidR="00633C60" w:rsidRPr="00391165" w:rsidRDefault="00633C60" w:rsidP="00391165">
      <w:pPr>
        <w:pStyle w:val="ListParagraph"/>
        <w:numPr>
          <w:ilvl w:val="1"/>
          <w:numId w:val="37"/>
        </w:numPr>
        <w:spacing w:after="120"/>
        <w:ind w:left="720"/>
        <w:jc w:val="both"/>
        <w:rPr>
          <w:rFonts w:ascii="Calibri" w:hAnsi="Calibri" w:cs="Calibri"/>
          <w:sz w:val="20"/>
          <w14:ligatures w14:val="standardContextual"/>
        </w:rPr>
      </w:pPr>
      <w:r w:rsidRPr="00391165">
        <w:rPr>
          <w:sz w:val="20"/>
        </w:rPr>
        <w:t>Amount of fuel used.</w:t>
      </w:r>
    </w:p>
    <w:p w14:paraId="267DF400" w14:textId="670EB2D2" w:rsidR="00633C60" w:rsidRPr="00391165" w:rsidRDefault="00633C60" w:rsidP="00391165">
      <w:pPr>
        <w:pStyle w:val="ListParagraph"/>
        <w:numPr>
          <w:ilvl w:val="1"/>
          <w:numId w:val="37"/>
        </w:numPr>
        <w:spacing w:after="120"/>
        <w:ind w:left="720"/>
        <w:jc w:val="both"/>
        <w:rPr>
          <w:sz w:val="20"/>
        </w:rPr>
      </w:pPr>
      <w:r w:rsidRPr="00391165">
        <w:rPr>
          <w:sz w:val="20"/>
        </w:rPr>
        <w:t>NOx emission factors used to estimate emissions as approved by the AQD District Supervisor.</w:t>
      </w:r>
    </w:p>
    <w:p w14:paraId="49065A66" w14:textId="41983349" w:rsidR="00633C60" w:rsidRPr="00391165" w:rsidRDefault="00633C60" w:rsidP="00391165">
      <w:pPr>
        <w:pStyle w:val="ListParagraph"/>
        <w:numPr>
          <w:ilvl w:val="1"/>
          <w:numId w:val="37"/>
        </w:numPr>
        <w:spacing w:after="120"/>
        <w:ind w:left="720"/>
        <w:jc w:val="both"/>
        <w:rPr>
          <w:sz w:val="20"/>
        </w:rPr>
      </w:pPr>
      <w:r w:rsidRPr="00391165">
        <w:rPr>
          <w:sz w:val="20"/>
        </w:rPr>
        <w:t>NOx mass emission calculations determining the monthly emission rate in tons per calendar month.</w:t>
      </w:r>
    </w:p>
    <w:p w14:paraId="13C6CFF4" w14:textId="0F34E19F" w:rsidR="00633C60" w:rsidRPr="00391165" w:rsidRDefault="00633C60" w:rsidP="00391165">
      <w:pPr>
        <w:pStyle w:val="ListParagraph"/>
        <w:numPr>
          <w:ilvl w:val="0"/>
          <w:numId w:val="37"/>
        </w:numPr>
        <w:spacing w:after="120"/>
        <w:ind w:left="720"/>
        <w:jc w:val="both"/>
        <w:rPr>
          <w:sz w:val="20"/>
        </w:rPr>
      </w:pPr>
      <w:r w:rsidRPr="00391165">
        <w:rPr>
          <w:sz w:val="20"/>
        </w:rPr>
        <w:t xml:space="preserve">NOx mass emission calculations determining the annual emission rate in tons per 12-month rolling </w:t>
      </w:r>
      <w:proofErr w:type="gramStart"/>
      <w:r w:rsidRPr="00391165">
        <w:rPr>
          <w:sz w:val="20"/>
        </w:rPr>
        <w:t>time period</w:t>
      </w:r>
      <w:proofErr w:type="gramEnd"/>
      <w:r w:rsidRPr="00391165">
        <w:rPr>
          <w:sz w:val="20"/>
        </w:rPr>
        <w:t xml:space="preserve"> as determined at the end of each calendar month.  </w:t>
      </w:r>
    </w:p>
    <w:p w14:paraId="4D246F66" w14:textId="77777777" w:rsidR="00633C60" w:rsidRDefault="00633C60" w:rsidP="00633C60">
      <w:pPr>
        <w:ind w:left="360"/>
        <w:jc w:val="both"/>
        <w:rPr>
          <w:sz w:val="20"/>
        </w:rPr>
      </w:pPr>
      <w:r>
        <w:rPr>
          <w:sz w:val="20"/>
        </w:rPr>
        <w:t xml:space="preserve">The permittee shall keep the records in a format acceptable to the AQD District Supervisor.  The permittee shall keep all records on file and make them available to the Department upon request.  </w:t>
      </w:r>
      <w:r>
        <w:rPr>
          <w:b/>
          <w:bCs/>
          <w:spacing w:val="-2"/>
          <w:sz w:val="20"/>
        </w:rPr>
        <w:t>(R 336.1213(3))</w:t>
      </w:r>
    </w:p>
    <w:p w14:paraId="237A72A7" w14:textId="77777777" w:rsidR="00AE1D84" w:rsidRPr="008B5C27" w:rsidRDefault="00AE1D84" w:rsidP="00F62984">
      <w:pPr>
        <w:jc w:val="both"/>
        <w:rPr>
          <w:sz w:val="20"/>
        </w:rPr>
      </w:pPr>
    </w:p>
    <w:p w14:paraId="2B8D3621" w14:textId="77777777" w:rsidR="00AE1D84" w:rsidRPr="00FC1F2C" w:rsidRDefault="00AE1D84" w:rsidP="00F62984">
      <w:pPr>
        <w:jc w:val="both"/>
      </w:pPr>
      <w:r>
        <w:rPr>
          <w:b/>
        </w:rPr>
        <w:t xml:space="preserve">VII.  </w:t>
      </w:r>
      <w:r>
        <w:rPr>
          <w:b/>
          <w:u w:val="single"/>
        </w:rPr>
        <w:t>REPORTING</w:t>
      </w:r>
    </w:p>
    <w:p w14:paraId="63625213" w14:textId="77777777" w:rsidR="00AE1D84" w:rsidRPr="008B5C27" w:rsidRDefault="00AE1D84" w:rsidP="00F62984">
      <w:pPr>
        <w:jc w:val="both"/>
        <w:rPr>
          <w:sz w:val="20"/>
        </w:rPr>
      </w:pPr>
    </w:p>
    <w:p w14:paraId="4DF384AF"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23608FD" w14:textId="77777777" w:rsidR="00AE1D84" w:rsidRPr="00C0388E" w:rsidRDefault="00AE1D84" w:rsidP="00F62984">
      <w:pPr>
        <w:ind w:left="360" w:hanging="360"/>
        <w:jc w:val="both"/>
        <w:rPr>
          <w:sz w:val="20"/>
        </w:rPr>
      </w:pPr>
    </w:p>
    <w:p w14:paraId="3E039C77"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B9650CE" w14:textId="77777777" w:rsidR="00AE1D84" w:rsidRPr="00C0388E" w:rsidRDefault="00AE1D84" w:rsidP="00F62984">
      <w:pPr>
        <w:ind w:left="360" w:hanging="360"/>
        <w:jc w:val="both"/>
        <w:rPr>
          <w:sz w:val="20"/>
        </w:rPr>
      </w:pPr>
    </w:p>
    <w:p w14:paraId="40A6C4EE" w14:textId="13309082" w:rsidR="00AE1D84" w:rsidRDefault="00AE1D84" w:rsidP="006816F7">
      <w:pPr>
        <w:pStyle w:val="ListParagraph"/>
        <w:numPr>
          <w:ilvl w:val="0"/>
          <w:numId w:val="34"/>
        </w:numPr>
        <w:ind w:left="360"/>
        <w:jc w:val="both"/>
        <w:rPr>
          <w:b/>
          <w:sz w:val="20"/>
        </w:rPr>
      </w:pPr>
      <w:r w:rsidRPr="00FF4C73">
        <w:rPr>
          <w:sz w:val="20"/>
        </w:rPr>
        <w:t>Annual certification of compliance pursuant to General Conditions 19 and 20 of Part A.  The report shall be postmarked or</w:t>
      </w:r>
      <w:r w:rsidRPr="00FF4C73">
        <w:rPr>
          <w:b/>
          <w:i/>
          <w:sz w:val="20"/>
        </w:rPr>
        <w:t xml:space="preserve"> </w:t>
      </w:r>
      <w:r w:rsidRPr="00FF4C73">
        <w:rPr>
          <w:sz w:val="20"/>
        </w:rPr>
        <w:t xml:space="preserve">received by the appropriate AQD District Office by March 15 for the previous calendar year.  </w:t>
      </w:r>
      <w:r w:rsidRPr="00FF4C73">
        <w:rPr>
          <w:b/>
          <w:sz w:val="20"/>
        </w:rPr>
        <w:t>(R 336.1213(4)(c))</w:t>
      </w:r>
    </w:p>
    <w:p w14:paraId="08DD1C18" w14:textId="77777777" w:rsidR="006270FA" w:rsidRPr="00391165" w:rsidRDefault="006270FA" w:rsidP="00391165">
      <w:pPr>
        <w:jc w:val="both"/>
        <w:rPr>
          <w:b/>
          <w:sz w:val="20"/>
        </w:rPr>
      </w:pPr>
    </w:p>
    <w:p w14:paraId="2D87CD7C" w14:textId="1811BB91" w:rsidR="00FF4C73" w:rsidRPr="00FC1F2C" w:rsidRDefault="00FF4C73" w:rsidP="006816F7">
      <w:pPr>
        <w:numPr>
          <w:ilvl w:val="0"/>
          <w:numId w:val="34"/>
        </w:numPr>
        <w:ind w:left="360"/>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8DDACFC" w14:textId="77777777" w:rsidR="00D93901" w:rsidRPr="00EE5F4E" w:rsidRDefault="00D93901" w:rsidP="000F479C">
      <w:pPr>
        <w:ind w:right="72"/>
        <w:jc w:val="both"/>
        <w:rPr>
          <w:rFonts w:cs="Arial"/>
          <w:sz w:val="20"/>
        </w:rPr>
      </w:pPr>
    </w:p>
    <w:p w14:paraId="4B42272C" w14:textId="77777777" w:rsidR="00AE1D84" w:rsidRPr="00FC1F2C" w:rsidRDefault="00AE1D84" w:rsidP="00F62984">
      <w:pPr>
        <w:jc w:val="both"/>
        <w:rPr>
          <w:rFonts w:cs="Arial"/>
          <w:sz w:val="20"/>
        </w:rPr>
      </w:pPr>
      <w:r w:rsidRPr="00FE0AD0">
        <w:rPr>
          <w:rFonts w:cs="Arial"/>
          <w:b/>
          <w:sz w:val="20"/>
        </w:rPr>
        <w:t>See Appendix 8</w:t>
      </w:r>
    </w:p>
    <w:p w14:paraId="43E5A4D7" w14:textId="77777777" w:rsidR="00AE1D84" w:rsidRPr="00E111A8" w:rsidRDefault="00AE1D84" w:rsidP="00F62984">
      <w:pPr>
        <w:jc w:val="both"/>
        <w:rPr>
          <w:rFonts w:cs="Arial"/>
          <w:sz w:val="20"/>
        </w:rPr>
      </w:pPr>
    </w:p>
    <w:p w14:paraId="5BF1AE7C" w14:textId="77777777" w:rsidR="00AE1D84" w:rsidRDefault="00AE1D84" w:rsidP="00F62984">
      <w:pPr>
        <w:jc w:val="both"/>
      </w:pPr>
      <w:r>
        <w:rPr>
          <w:b/>
        </w:rPr>
        <w:t xml:space="preserve">VIII.  </w:t>
      </w:r>
      <w:r>
        <w:rPr>
          <w:b/>
          <w:u w:val="single"/>
        </w:rPr>
        <w:t>STACK/VENT RESTRICTION(S)</w:t>
      </w:r>
    </w:p>
    <w:p w14:paraId="61BFB7D7" w14:textId="77777777" w:rsidR="00AE1D84" w:rsidRDefault="00AE1D84" w:rsidP="00F62984">
      <w:pPr>
        <w:jc w:val="both"/>
        <w:rPr>
          <w:sz w:val="20"/>
        </w:rPr>
      </w:pPr>
    </w:p>
    <w:p w14:paraId="12FCA96C"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1FC4072"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674D9A7B" w14:textId="77777777" w:rsidTr="00C41F4B">
        <w:trPr>
          <w:cantSplit/>
          <w:tblHeader/>
        </w:trPr>
        <w:tc>
          <w:tcPr>
            <w:tcW w:w="2610" w:type="dxa"/>
          </w:tcPr>
          <w:p w14:paraId="45410F55" w14:textId="77777777" w:rsidR="00AE1D84" w:rsidRPr="00BD3DE3" w:rsidRDefault="00AE1D84" w:rsidP="00F62984">
            <w:pPr>
              <w:jc w:val="center"/>
              <w:rPr>
                <w:b/>
                <w:sz w:val="20"/>
              </w:rPr>
            </w:pPr>
            <w:r w:rsidRPr="00BD3DE3">
              <w:rPr>
                <w:b/>
                <w:sz w:val="20"/>
              </w:rPr>
              <w:t>Stack &amp; Vent ID</w:t>
            </w:r>
          </w:p>
        </w:tc>
        <w:tc>
          <w:tcPr>
            <w:tcW w:w="2520" w:type="dxa"/>
          </w:tcPr>
          <w:p w14:paraId="6BF6196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B38857D"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Pr>
          <w:p w14:paraId="2265F1F1" w14:textId="77777777" w:rsidR="00AE1D84" w:rsidRPr="00BD3DE3" w:rsidRDefault="00AE1D84" w:rsidP="00F62984">
            <w:pPr>
              <w:jc w:val="center"/>
              <w:rPr>
                <w:b/>
                <w:sz w:val="20"/>
              </w:rPr>
            </w:pPr>
            <w:r w:rsidRPr="00BD3DE3">
              <w:rPr>
                <w:b/>
                <w:sz w:val="20"/>
              </w:rPr>
              <w:t>M</w:t>
            </w:r>
            <w:r>
              <w:rPr>
                <w:b/>
                <w:sz w:val="20"/>
              </w:rPr>
              <w:t>inimum Height Above Ground</w:t>
            </w:r>
          </w:p>
          <w:p w14:paraId="3BFF62BF" w14:textId="77777777" w:rsidR="00AE1D84" w:rsidRPr="00BD3DE3" w:rsidRDefault="00AE1D84" w:rsidP="00F62984">
            <w:pPr>
              <w:jc w:val="center"/>
              <w:rPr>
                <w:b/>
                <w:sz w:val="20"/>
              </w:rPr>
            </w:pPr>
            <w:r w:rsidRPr="00BD3DE3">
              <w:rPr>
                <w:b/>
                <w:sz w:val="20"/>
              </w:rPr>
              <w:t>(feet)</w:t>
            </w:r>
          </w:p>
        </w:tc>
        <w:tc>
          <w:tcPr>
            <w:tcW w:w="2700" w:type="dxa"/>
          </w:tcPr>
          <w:p w14:paraId="4F7C1C11" w14:textId="77777777" w:rsidR="00AE1D84" w:rsidRPr="00BD3DE3" w:rsidRDefault="00AE1D84" w:rsidP="002D3BFA">
            <w:pPr>
              <w:jc w:val="center"/>
              <w:rPr>
                <w:b/>
                <w:sz w:val="20"/>
              </w:rPr>
            </w:pPr>
            <w:r w:rsidRPr="00BD3DE3">
              <w:rPr>
                <w:b/>
                <w:sz w:val="20"/>
              </w:rPr>
              <w:t>Underlying Applicable Requirements</w:t>
            </w:r>
          </w:p>
        </w:tc>
      </w:tr>
      <w:tr w:rsidR="00AE1D84" w14:paraId="2F429B23" w14:textId="77777777" w:rsidTr="00C41F4B">
        <w:trPr>
          <w:cantSplit/>
        </w:trPr>
        <w:tc>
          <w:tcPr>
            <w:tcW w:w="2610" w:type="dxa"/>
          </w:tcPr>
          <w:p w14:paraId="272C4683" w14:textId="77777777" w:rsidR="00AE1D84" w:rsidRPr="00C0388E" w:rsidRDefault="008737B6" w:rsidP="006816F7">
            <w:pPr>
              <w:numPr>
                <w:ilvl w:val="0"/>
                <w:numId w:val="27"/>
              </w:numPr>
              <w:ind w:left="342" w:hanging="342"/>
              <w:rPr>
                <w:sz w:val="20"/>
              </w:rPr>
            </w:pPr>
            <w:r>
              <w:rPr>
                <w:sz w:val="20"/>
              </w:rPr>
              <w:t>SVUNIT1101</w:t>
            </w:r>
          </w:p>
        </w:tc>
        <w:tc>
          <w:tcPr>
            <w:tcW w:w="2520" w:type="dxa"/>
          </w:tcPr>
          <w:p w14:paraId="6899E3A8" w14:textId="77777777" w:rsidR="00AE1D84" w:rsidRPr="008737B6" w:rsidRDefault="008737B6" w:rsidP="00F466A0">
            <w:pPr>
              <w:jc w:val="center"/>
              <w:rPr>
                <w:sz w:val="20"/>
                <w:vertAlign w:val="superscript"/>
              </w:rPr>
            </w:pPr>
            <w:r>
              <w:rPr>
                <w:sz w:val="20"/>
              </w:rPr>
              <w:t>Exhaust with cross sectional area equivalent to that of a circular stack of 135.6 inches diameter</w:t>
            </w:r>
            <w:r>
              <w:rPr>
                <w:sz w:val="20"/>
                <w:vertAlign w:val="superscript"/>
              </w:rPr>
              <w:t>2</w:t>
            </w:r>
          </w:p>
        </w:tc>
        <w:tc>
          <w:tcPr>
            <w:tcW w:w="2430" w:type="dxa"/>
          </w:tcPr>
          <w:p w14:paraId="72BF9C97" w14:textId="77777777" w:rsidR="00AE1D84" w:rsidRPr="008737B6" w:rsidRDefault="008737B6" w:rsidP="00F466A0">
            <w:pPr>
              <w:jc w:val="center"/>
              <w:rPr>
                <w:sz w:val="20"/>
                <w:vertAlign w:val="superscript"/>
              </w:rPr>
            </w:pPr>
            <w:r>
              <w:rPr>
                <w:sz w:val="20"/>
              </w:rPr>
              <w:t>45</w:t>
            </w:r>
            <w:r>
              <w:rPr>
                <w:sz w:val="20"/>
                <w:vertAlign w:val="superscript"/>
              </w:rPr>
              <w:t>2</w:t>
            </w:r>
          </w:p>
        </w:tc>
        <w:tc>
          <w:tcPr>
            <w:tcW w:w="2700" w:type="dxa"/>
          </w:tcPr>
          <w:p w14:paraId="3BE730A9" w14:textId="77777777" w:rsidR="00AE1D84" w:rsidRPr="002D3BFA" w:rsidRDefault="008737B6" w:rsidP="00F466A0">
            <w:pPr>
              <w:jc w:val="center"/>
              <w:rPr>
                <w:b/>
                <w:sz w:val="20"/>
              </w:rPr>
            </w:pPr>
            <w:r>
              <w:rPr>
                <w:b/>
                <w:sz w:val="20"/>
              </w:rPr>
              <w:t>40 CFR 52.21</w:t>
            </w:r>
          </w:p>
        </w:tc>
      </w:tr>
      <w:tr w:rsidR="00C41F4B" w14:paraId="1E8F9855" w14:textId="77777777" w:rsidTr="00C41F4B">
        <w:trPr>
          <w:cantSplit/>
        </w:trPr>
        <w:tc>
          <w:tcPr>
            <w:tcW w:w="2610" w:type="dxa"/>
          </w:tcPr>
          <w:p w14:paraId="214C68BA" w14:textId="0DE729D8" w:rsidR="00C41F4B" w:rsidRDefault="00C41F4B" w:rsidP="006816F7">
            <w:pPr>
              <w:numPr>
                <w:ilvl w:val="0"/>
                <w:numId w:val="27"/>
              </w:numPr>
              <w:ind w:left="342" w:hanging="342"/>
              <w:rPr>
                <w:sz w:val="20"/>
              </w:rPr>
            </w:pPr>
            <w:r>
              <w:rPr>
                <w:sz w:val="20"/>
              </w:rPr>
              <w:t>SVUNIT1102</w:t>
            </w:r>
          </w:p>
        </w:tc>
        <w:tc>
          <w:tcPr>
            <w:tcW w:w="2520" w:type="dxa"/>
          </w:tcPr>
          <w:p w14:paraId="0B5A62FE" w14:textId="7A1DC467" w:rsidR="00C41F4B" w:rsidRDefault="00C41F4B" w:rsidP="00F466A0">
            <w:pPr>
              <w:jc w:val="center"/>
              <w:rPr>
                <w:sz w:val="20"/>
              </w:rPr>
            </w:pPr>
            <w:r>
              <w:rPr>
                <w:sz w:val="20"/>
              </w:rPr>
              <w:t>Exhaust with cross sectional area equivalent to that of a circular stack of 135.6 inches diameter</w:t>
            </w:r>
          </w:p>
        </w:tc>
        <w:tc>
          <w:tcPr>
            <w:tcW w:w="2430" w:type="dxa"/>
          </w:tcPr>
          <w:p w14:paraId="25945F53" w14:textId="339512BC" w:rsidR="00C41F4B" w:rsidRPr="00C41F4B" w:rsidRDefault="00C41F4B" w:rsidP="00F466A0">
            <w:pPr>
              <w:jc w:val="center"/>
              <w:rPr>
                <w:sz w:val="20"/>
                <w:vertAlign w:val="superscript"/>
              </w:rPr>
            </w:pPr>
            <w:r>
              <w:rPr>
                <w:sz w:val="20"/>
              </w:rPr>
              <w:t>45</w:t>
            </w:r>
            <w:r>
              <w:rPr>
                <w:sz w:val="20"/>
                <w:vertAlign w:val="superscript"/>
              </w:rPr>
              <w:t>2</w:t>
            </w:r>
          </w:p>
        </w:tc>
        <w:tc>
          <w:tcPr>
            <w:tcW w:w="2700" w:type="dxa"/>
          </w:tcPr>
          <w:p w14:paraId="4819BDB5" w14:textId="2396491F" w:rsidR="00C41F4B" w:rsidRDefault="00C41F4B" w:rsidP="00F466A0">
            <w:pPr>
              <w:jc w:val="center"/>
              <w:rPr>
                <w:b/>
                <w:sz w:val="20"/>
              </w:rPr>
            </w:pPr>
            <w:r>
              <w:rPr>
                <w:b/>
                <w:sz w:val="20"/>
              </w:rPr>
              <w:t>40 CFR 52.21</w:t>
            </w:r>
          </w:p>
        </w:tc>
      </w:tr>
    </w:tbl>
    <w:p w14:paraId="72FC1EC7" w14:textId="77777777" w:rsidR="00AE1D84" w:rsidRDefault="00AE1D84" w:rsidP="002B7D5B">
      <w:pPr>
        <w:rPr>
          <w:rFonts w:cs="Arial"/>
          <w:sz w:val="20"/>
        </w:rPr>
      </w:pPr>
    </w:p>
    <w:p w14:paraId="4D35AD7B" w14:textId="77777777" w:rsidR="00AE1D84" w:rsidRDefault="00AE1D84" w:rsidP="00F62984">
      <w:pPr>
        <w:jc w:val="both"/>
      </w:pPr>
      <w:r>
        <w:rPr>
          <w:b/>
        </w:rPr>
        <w:t xml:space="preserve">IX.  </w:t>
      </w:r>
      <w:r>
        <w:rPr>
          <w:b/>
          <w:u w:val="single"/>
        </w:rPr>
        <w:t>OTHER REQUIREMENT(S)</w:t>
      </w:r>
    </w:p>
    <w:p w14:paraId="1F4D24D2" w14:textId="77777777" w:rsidR="00AE1D84" w:rsidRPr="00FE0AD0" w:rsidRDefault="00AE1D84" w:rsidP="00F62984">
      <w:pPr>
        <w:jc w:val="both"/>
        <w:rPr>
          <w:sz w:val="20"/>
        </w:rPr>
      </w:pPr>
    </w:p>
    <w:p w14:paraId="6D8A5DA9" w14:textId="77777777" w:rsidR="00AE1D84" w:rsidRPr="00C0388E" w:rsidRDefault="008737B6" w:rsidP="008737B6">
      <w:pPr>
        <w:jc w:val="both"/>
        <w:rPr>
          <w:sz w:val="20"/>
        </w:rPr>
      </w:pPr>
      <w:r>
        <w:rPr>
          <w:sz w:val="20"/>
        </w:rPr>
        <w:t>NA</w:t>
      </w:r>
    </w:p>
    <w:p w14:paraId="70380045" w14:textId="77777777" w:rsidR="00AE1D84" w:rsidRDefault="00AE1D84" w:rsidP="00F62984">
      <w:pPr>
        <w:jc w:val="both"/>
        <w:rPr>
          <w:sz w:val="20"/>
        </w:rPr>
      </w:pPr>
    </w:p>
    <w:p w14:paraId="2F6F5C37" w14:textId="77777777" w:rsidR="000662AD" w:rsidRPr="00FE0AD0" w:rsidRDefault="000662AD" w:rsidP="00F62984">
      <w:pPr>
        <w:jc w:val="both"/>
        <w:rPr>
          <w:sz w:val="20"/>
        </w:rPr>
      </w:pPr>
    </w:p>
    <w:p w14:paraId="5E317B47" w14:textId="77777777" w:rsidR="00AE1D84" w:rsidRPr="00B90185" w:rsidRDefault="00AE1D84" w:rsidP="00F62984">
      <w:pPr>
        <w:jc w:val="both"/>
        <w:rPr>
          <w:b/>
          <w:sz w:val="20"/>
        </w:rPr>
      </w:pPr>
      <w:r w:rsidRPr="00B90185">
        <w:rPr>
          <w:b/>
          <w:sz w:val="20"/>
          <w:u w:val="single"/>
        </w:rPr>
        <w:t>Footnotes</w:t>
      </w:r>
      <w:r w:rsidRPr="00B90185">
        <w:rPr>
          <w:b/>
          <w:sz w:val="20"/>
        </w:rPr>
        <w:t>:</w:t>
      </w:r>
    </w:p>
    <w:p w14:paraId="2B532FB5"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159EF39"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0D6F7A8" w14:textId="07DEA5C1" w:rsidR="00391165" w:rsidRDefault="00391165" w:rsidP="008427BE">
      <w:pPr>
        <w:jc w:val="both"/>
        <w:rPr>
          <w:sz w:val="20"/>
        </w:rPr>
      </w:pPr>
      <w:r>
        <w:rPr>
          <w:sz w:val="20"/>
        </w:rPr>
        <w:br w:type="page"/>
      </w:r>
    </w:p>
    <w:p w14:paraId="1B99EA10" w14:textId="5698E34A" w:rsidR="00BC5ACB" w:rsidRPr="005C142E" w:rsidRDefault="00BC5ACB" w:rsidP="00BC5AC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66" w:name="_Toc179797550"/>
      <w:r w:rsidRPr="005C142E">
        <w:rPr>
          <w:bCs/>
          <w:iCs/>
          <w:szCs w:val="28"/>
        </w:rPr>
        <w:lastRenderedPageBreak/>
        <w:t>FG</w:t>
      </w:r>
      <w:r w:rsidR="009C1AA9" w:rsidRPr="00A81225">
        <w:rPr>
          <w:bCs/>
          <w:iCs/>
          <w:szCs w:val="28"/>
        </w:rPr>
        <w:t>MACTZZZZ</w:t>
      </w:r>
      <w:r w:rsidR="009C1AA9" w:rsidRPr="00A81225">
        <w:rPr>
          <w:rFonts w:cs="Arial"/>
          <w:bCs/>
          <w:iCs/>
          <w:szCs w:val="28"/>
        </w:rPr>
        <w:t>≤</w:t>
      </w:r>
      <w:r w:rsidR="009C1AA9" w:rsidRPr="00A81225">
        <w:rPr>
          <w:bCs/>
          <w:iCs/>
          <w:szCs w:val="28"/>
        </w:rPr>
        <w:t>500</w:t>
      </w:r>
      <w:bookmarkEnd w:id="66"/>
    </w:p>
    <w:p w14:paraId="7AB53A61" w14:textId="77777777" w:rsidR="00BC5ACB" w:rsidRDefault="00BC5ACB" w:rsidP="00BC5ACB">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758844AC" w14:textId="77777777" w:rsidR="00BC5ACB" w:rsidRPr="00C53E06" w:rsidRDefault="00BC5ACB" w:rsidP="00BC5ACB">
      <w:pPr>
        <w:jc w:val="both"/>
        <w:rPr>
          <w:bCs/>
          <w:sz w:val="20"/>
        </w:rPr>
      </w:pPr>
    </w:p>
    <w:p w14:paraId="34476D32" w14:textId="77777777" w:rsidR="00BC5ACB" w:rsidRDefault="00BC5ACB" w:rsidP="00BC5ACB">
      <w:pPr>
        <w:jc w:val="both"/>
        <w:rPr>
          <w:b/>
          <w:u w:val="single"/>
        </w:rPr>
      </w:pPr>
      <w:r>
        <w:rPr>
          <w:b/>
          <w:u w:val="single"/>
        </w:rPr>
        <w:t>DESCRIPTION</w:t>
      </w:r>
    </w:p>
    <w:p w14:paraId="3334EEE8" w14:textId="77777777" w:rsidR="00BC5ACB" w:rsidRPr="00C3424D" w:rsidRDefault="00BC5ACB" w:rsidP="00BC5ACB">
      <w:pPr>
        <w:jc w:val="both"/>
        <w:rPr>
          <w:sz w:val="20"/>
        </w:rPr>
      </w:pPr>
    </w:p>
    <w:p w14:paraId="10BE08A9" w14:textId="1F26EEEE" w:rsidR="00BC5ACB" w:rsidRPr="003143DE" w:rsidRDefault="00BC5ACB" w:rsidP="00BC5ACB">
      <w:pPr>
        <w:jc w:val="both"/>
        <w:rPr>
          <w:sz w:val="20"/>
        </w:rPr>
      </w:pPr>
      <w:r w:rsidRPr="00C53E06">
        <w:rPr>
          <w:rFonts w:eastAsia="Calibri" w:cs="Arial"/>
          <w:b/>
          <w:sz w:val="20"/>
        </w:rPr>
        <w:t>40 CFR Part 63, Subpart ZZZZ</w:t>
      </w:r>
      <w:r w:rsidRPr="00C53E06">
        <w:rPr>
          <w:rFonts w:eastAsia="Calibri" w:cs="Arial"/>
          <w:sz w:val="20"/>
        </w:rPr>
        <w:t xml:space="preserve"> - </w:t>
      </w:r>
      <w:r w:rsidRPr="00BE56C4">
        <w:rPr>
          <w:sz w:val="20"/>
        </w:rPr>
        <w:t>National Emission Standards for Hazardous Air Pollutants for Stationary Reciprocating Internal Combustion Engines (RICE), located at a</w:t>
      </w:r>
      <w:r w:rsidR="005C142E">
        <w:rPr>
          <w:sz w:val="20"/>
        </w:rPr>
        <w:t>n</w:t>
      </w:r>
      <w:r w:rsidRPr="00BE56C4">
        <w:rPr>
          <w:sz w:val="20"/>
        </w:rPr>
        <w:t xml:space="preserve"> </w:t>
      </w:r>
      <w:r w:rsidRPr="00A81225">
        <w:rPr>
          <w:sz w:val="20"/>
        </w:rPr>
        <w:t>area</w:t>
      </w:r>
      <w:r>
        <w:rPr>
          <w:sz w:val="20"/>
        </w:rPr>
        <w:t xml:space="preserve"> source of HAP emissions, existing emergency, spark ignition (SI) RICE equal to or less than 500 bhp.</w:t>
      </w:r>
      <w:r w:rsidRPr="004563C3">
        <w:rPr>
          <w:sz w:val="20"/>
        </w:rPr>
        <w:t xml:space="preserve">  </w:t>
      </w:r>
      <w:r w:rsidRPr="003D7A71">
        <w:rPr>
          <w:sz w:val="20"/>
        </w:rPr>
        <w:t>A RICE is existing if the date of installation is before June 12, 2006.</w:t>
      </w:r>
      <w:r>
        <w:rPr>
          <w:sz w:val="20"/>
        </w:rPr>
        <w:t xml:space="preserve"> </w:t>
      </w:r>
      <w:r w:rsidRPr="003D7A71">
        <w:rPr>
          <w:sz w:val="20"/>
        </w:rPr>
        <w:t xml:space="preserve"> </w:t>
      </w:r>
    </w:p>
    <w:p w14:paraId="655EEEB8" w14:textId="77777777" w:rsidR="00BC5ACB" w:rsidRPr="00C3424D" w:rsidRDefault="00BC5ACB" w:rsidP="00BC5ACB">
      <w:pPr>
        <w:jc w:val="both"/>
        <w:rPr>
          <w:sz w:val="20"/>
        </w:rPr>
      </w:pPr>
    </w:p>
    <w:p w14:paraId="05F8F2F2" w14:textId="528A9F5A" w:rsidR="00BC5ACB" w:rsidRPr="00A86D8D" w:rsidRDefault="00BC5ACB" w:rsidP="00BC5ACB">
      <w:pPr>
        <w:jc w:val="both"/>
        <w:rPr>
          <w:sz w:val="20"/>
        </w:rPr>
      </w:pPr>
      <w:r w:rsidRPr="00FE0AD0">
        <w:rPr>
          <w:b/>
          <w:sz w:val="20"/>
        </w:rPr>
        <w:t>Emission Unit</w:t>
      </w:r>
      <w:r>
        <w:rPr>
          <w:b/>
          <w:sz w:val="20"/>
        </w:rPr>
        <w:t>:</w:t>
      </w:r>
      <w:r>
        <w:rPr>
          <w:sz w:val="20"/>
        </w:rPr>
        <w:t xml:space="preserve"> </w:t>
      </w:r>
      <w:r w:rsidR="00391165">
        <w:rPr>
          <w:sz w:val="20"/>
        </w:rPr>
        <w:t xml:space="preserve"> </w:t>
      </w:r>
      <w:r w:rsidR="009C1AA9" w:rsidRPr="00A81225">
        <w:rPr>
          <w:sz w:val="20"/>
        </w:rPr>
        <w:t>EUAPU</w:t>
      </w:r>
    </w:p>
    <w:p w14:paraId="3A8CE92F" w14:textId="77777777" w:rsidR="00BC5ACB" w:rsidRPr="00F30023" w:rsidRDefault="00BC5ACB" w:rsidP="00BC5ACB">
      <w:pPr>
        <w:jc w:val="both"/>
        <w:rPr>
          <w:sz w:val="20"/>
        </w:rPr>
      </w:pPr>
    </w:p>
    <w:p w14:paraId="4ADA7D8D" w14:textId="77777777" w:rsidR="00BC5ACB" w:rsidRDefault="00BC5ACB" w:rsidP="00BC5ACB">
      <w:pPr>
        <w:jc w:val="both"/>
        <w:rPr>
          <w:b/>
          <w:u w:val="single"/>
        </w:rPr>
      </w:pPr>
      <w:r>
        <w:rPr>
          <w:b/>
          <w:u w:val="single"/>
        </w:rPr>
        <w:t>POLLUTION CONTROL EQUIPMENT</w:t>
      </w:r>
    </w:p>
    <w:p w14:paraId="3B0F5D05" w14:textId="77777777" w:rsidR="00BC5ACB" w:rsidRPr="0074351C" w:rsidRDefault="00BC5ACB" w:rsidP="00BC5ACB">
      <w:pPr>
        <w:jc w:val="both"/>
      </w:pPr>
    </w:p>
    <w:p w14:paraId="577057A4" w14:textId="764EEB3D" w:rsidR="00BC5ACB" w:rsidRPr="005C142E" w:rsidRDefault="009C1AA9" w:rsidP="00BC5ACB">
      <w:pPr>
        <w:jc w:val="both"/>
        <w:rPr>
          <w:sz w:val="20"/>
        </w:rPr>
      </w:pPr>
      <w:r w:rsidRPr="00A81225">
        <w:rPr>
          <w:sz w:val="20"/>
        </w:rPr>
        <w:t>NA</w:t>
      </w:r>
    </w:p>
    <w:p w14:paraId="0BDF0BB8" w14:textId="77777777" w:rsidR="00BC5ACB" w:rsidRPr="00FF27C7" w:rsidRDefault="00BC5ACB" w:rsidP="00BC5ACB">
      <w:pPr>
        <w:jc w:val="both"/>
        <w:rPr>
          <w:sz w:val="20"/>
        </w:rPr>
      </w:pPr>
    </w:p>
    <w:p w14:paraId="06D13CDB" w14:textId="77777777" w:rsidR="00BC5ACB" w:rsidRPr="002E62CB" w:rsidRDefault="00BC5ACB" w:rsidP="00BC5ACB">
      <w:pPr>
        <w:jc w:val="both"/>
        <w:rPr>
          <w:b/>
          <w:szCs w:val="22"/>
          <w:u w:val="single"/>
        </w:rPr>
      </w:pPr>
      <w:r w:rsidRPr="002E62CB">
        <w:rPr>
          <w:b/>
          <w:szCs w:val="22"/>
        </w:rPr>
        <w:t xml:space="preserve">I.  </w:t>
      </w:r>
      <w:r w:rsidRPr="002E62CB">
        <w:rPr>
          <w:b/>
          <w:szCs w:val="22"/>
          <w:u w:val="single"/>
        </w:rPr>
        <w:t>EMISSION LIMIT(S)</w:t>
      </w:r>
    </w:p>
    <w:p w14:paraId="24185B14" w14:textId="77777777" w:rsidR="00BC5ACB" w:rsidRPr="00FF27C7" w:rsidRDefault="00BC5ACB" w:rsidP="00BC5ACB">
      <w:pPr>
        <w:jc w:val="both"/>
        <w:rPr>
          <w:sz w:val="20"/>
        </w:rPr>
      </w:pPr>
    </w:p>
    <w:p w14:paraId="556AC69C" w14:textId="77777777" w:rsidR="00BC5ACB" w:rsidRPr="00FF27C7" w:rsidRDefault="00BC5ACB" w:rsidP="00BC5ACB">
      <w:pPr>
        <w:ind w:left="360" w:hanging="360"/>
        <w:jc w:val="both"/>
        <w:rPr>
          <w:color w:val="000000"/>
          <w:sz w:val="20"/>
        </w:rPr>
      </w:pPr>
      <w:r>
        <w:rPr>
          <w:color w:val="000000"/>
          <w:sz w:val="20"/>
        </w:rPr>
        <w:t>NA</w:t>
      </w:r>
    </w:p>
    <w:p w14:paraId="7C523F49" w14:textId="77777777" w:rsidR="00BC5ACB" w:rsidRPr="00FF27C7" w:rsidRDefault="00BC5ACB" w:rsidP="00BC5ACB">
      <w:pPr>
        <w:ind w:left="360" w:hanging="360"/>
        <w:jc w:val="both"/>
        <w:rPr>
          <w:color w:val="000000"/>
          <w:sz w:val="20"/>
        </w:rPr>
      </w:pPr>
    </w:p>
    <w:p w14:paraId="7A52D3F2" w14:textId="77777777" w:rsidR="00BC5ACB" w:rsidRPr="002E62CB" w:rsidRDefault="00BC5ACB" w:rsidP="00BC5ACB">
      <w:pPr>
        <w:jc w:val="both"/>
        <w:rPr>
          <w:b/>
          <w:color w:val="000000"/>
          <w:szCs w:val="22"/>
          <w:u w:val="single"/>
        </w:rPr>
      </w:pPr>
      <w:r w:rsidRPr="002E62CB">
        <w:rPr>
          <w:b/>
          <w:color w:val="000000"/>
          <w:szCs w:val="22"/>
        </w:rPr>
        <w:t xml:space="preserve">II.  </w:t>
      </w:r>
      <w:r w:rsidRPr="002E62CB">
        <w:rPr>
          <w:b/>
          <w:color w:val="000000"/>
          <w:szCs w:val="22"/>
          <w:u w:val="single"/>
        </w:rPr>
        <w:t>MATERIAL LIMIT(S)</w:t>
      </w:r>
    </w:p>
    <w:p w14:paraId="5699D1A4" w14:textId="77777777" w:rsidR="00BC5ACB" w:rsidRPr="00FF27C7" w:rsidRDefault="00BC5ACB" w:rsidP="00BC5ACB">
      <w:pPr>
        <w:jc w:val="both"/>
        <w:rPr>
          <w:color w:val="000000"/>
          <w:sz w:val="20"/>
        </w:rPr>
      </w:pPr>
    </w:p>
    <w:p w14:paraId="660C5B9D" w14:textId="77777777" w:rsidR="00BC5ACB" w:rsidRDefault="00BC5ACB" w:rsidP="00BC5ACB">
      <w:pPr>
        <w:ind w:left="360" w:hanging="360"/>
        <w:jc w:val="both"/>
        <w:rPr>
          <w:color w:val="000000"/>
          <w:sz w:val="20"/>
        </w:rPr>
      </w:pPr>
      <w:r>
        <w:rPr>
          <w:color w:val="000000"/>
          <w:sz w:val="20"/>
        </w:rPr>
        <w:t>NA</w:t>
      </w:r>
    </w:p>
    <w:p w14:paraId="03238A7A" w14:textId="77777777" w:rsidR="00BC5ACB" w:rsidRPr="00FF27C7" w:rsidRDefault="00BC5ACB" w:rsidP="00BC5ACB">
      <w:pPr>
        <w:jc w:val="both"/>
        <w:rPr>
          <w:sz w:val="20"/>
        </w:rPr>
      </w:pPr>
    </w:p>
    <w:p w14:paraId="05842824" w14:textId="77777777" w:rsidR="00BC5ACB" w:rsidRPr="002E62CB" w:rsidRDefault="00BC5ACB" w:rsidP="00BC5ACB">
      <w:pPr>
        <w:ind w:left="540" w:hanging="540"/>
        <w:jc w:val="both"/>
        <w:rPr>
          <w:b/>
          <w:szCs w:val="22"/>
          <w:u w:val="single"/>
        </w:rPr>
      </w:pPr>
      <w:r w:rsidRPr="002E62CB">
        <w:rPr>
          <w:b/>
          <w:szCs w:val="22"/>
        </w:rPr>
        <w:t xml:space="preserve">III.  </w:t>
      </w:r>
      <w:r w:rsidRPr="002E62CB">
        <w:rPr>
          <w:b/>
          <w:szCs w:val="22"/>
          <w:u w:val="single"/>
        </w:rPr>
        <w:t>PROCESS/OPERATIONAL RESTRICTION(S)</w:t>
      </w:r>
    </w:p>
    <w:p w14:paraId="559EE363" w14:textId="77777777" w:rsidR="00BC5ACB" w:rsidRPr="007A378E" w:rsidRDefault="00BC5ACB" w:rsidP="00BC5ACB">
      <w:pPr>
        <w:pStyle w:val="Default"/>
        <w:jc w:val="both"/>
        <w:rPr>
          <w:bCs/>
          <w:sz w:val="20"/>
          <w:szCs w:val="20"/>
        </w:rPr>
      </w:pPr>
      <w:bookmarkStart w:id="67" w:name="_Hlk44407317"/>
    </w:p>
    <w:p w14:paraId="4B86326B" w14:textId="382F6795" w:rsidR="00BC5ACB" w:rsidRPr="002573E4" w:rsidRDefault="00BC5ACB" w:rsidP="00BC5ACB">
      <w:pPr>
        <w:spacing w:after="120"/>
        <w:ind w:left="360" w:hanging="360"/>
        <w:jc w:val="both"/>
        <w:rPr>
          <w:b/>
          <w:color w:val="000000"/>
          <w:sz w:val="20"/>
        </w:rPr>
      </w:pPr>
      <w:r w:rsidRPr="00FF27C7">
        <w:rPr>
          <w:sz w:val="20"/>
        </w:rPr>
        <w:t>1.</w:t>
      </w:r>
      <w:r w:rsidRPr="00FF27C7">
        <w:rPr>
          <w:sz w:val="20"/>
        </w:rPr>
        <w:tab/>
      </w:r>
      <w:r>
        <w:rPr>
          <w:sz w:val="20"/>
        </w:rPr>
        <w:t xml:space="preserve">The permittee must comply with the requirements in Item 5 of Table 2d of 40 CFR Part 63, Subpart ZZZZ which apply to </w:t>
      </w:r>
      <w:r>
        <w:rPr>
          <w:color w:val="000000"/>
          <w:sz w:val="20"/>
        </w:rPr>
        <w:t>e</w:t>
      </w:r>
      <w:r>
        <w:rPr>
          <w:rFonts w:cs="Arial"/>
          <w:sz w:val="20"/>
        </w:rPr>
        <w:t xml:space="preserve">ach engine </w:t>
      </w:r>
      <w:r w:rsidRPr="008E548D">
        <w:rPr>
          <w:rFonts w:cs="Arial"/>
          <w:sz w:val="20"/>
        </w:rPr>
        <w:t xml:space="preserve">in </w:t>
      </w:r>
      <w:r w:rsidRPr="005C142E">
        <w:rPr>
          <w:sz w:val="20"/>
        </w:rPr>
        <w:t>FG</w:t>
      </w:r>
      <w:r w:rsidR="00603F1B" w:rsidRPr="00A81225">
        <w:rPr>
          <w:sz w:val="20"/>
        </w:rPr>
        <w:t>MACTZZZZ</w:t>
      </w:r>
      <w:r w:rsidR="00603F1B" w:rsidRPr="00A81225">
        <w:rPr>
          <w:rFonts w:cs="Arial"/>
          <w:sz w:val="20"/>
        </w:rPr>
        <w:t>≤</w:t>
      </w:r>
      <w:r w:rsidR="00603F1B" w:rsidRPr="00A81225">
        <w:rPr>
          <w:sz w:val="20"/>
        </w:rPr>
        <w:t>500</w:t>
      </w:r>
      <w:r w:rsidRPr="00A81225">
        <w:rPr>
          <w:sz w:val="20"/>
        </w:rPr>
        <w:t xml:space="preserve"> </w:t>
      </w:r>
      <w:r w:rsidRPr="002573E4">
        <w:rPr>
          <w:sz w:val="20"/>
        </w:rPr>
        <w:t>as specified in the following:</w:t>
      </w:r>
      <w:r>
        <w:rPr>
          <w:color w:val="FF0000"/>
          <w:sz w:val="20"/>
        </w:rPr>
        <w:t xml:space="preserve"> </w:t>
      </w:r>
    </w:p>
    <w:p w14:paraId="76490A76" w14:textId="77364BB1" w:rsidR="00BC5ACB" w:rsidRPr="002573E4" w:rsidRDefault="00BC5ACB" w:rsidP="006816F7">
      <w:pPr>
        <w:pStyle w:val="Default"/>
        <w:numPr>
          <w:ilvl w:val="0"/>
          <w:numId w:val="32"/>
        </w:numPr>
        <w:spacing w:after="120"/>
        <w:jc w:val="both"/>
        <w:rPr>
          <w:sz w:val="20"/>
          <w:szCs w:val="20"/>
        </w:rPr>
      </w:pPr>
      <w:r>
        <w:rPr>
          <w:sz w:val="20"/>
          <w:szCs w:val="20"/>
        </w:rPr>
        <w:t xml:space="preserve">Change oil and filter every 500 hours of operation or annually, whichever comes first, except as allowed in </w:t>
      </w:r>
      <w:r w:rsidRPr="002573E4">
        <w:rPr>
          <w:color w:val="auto"/>
          <w:sz w:val="20"/>
          <w:szCs w:val="20"/>
        </w:rPr>
        <w:t>SC III.</w:t>
      </w:r>
      <w:r w:rsidR="00C41F4B" w:rsidRPr="002573E4">
        <w:rPr>
          <w:color w:val="auto"/>
          <w:sz w:val="20"/>
          <w:szCs w:val="20"/>
        </w:rPr>
        <w:t>2</w:t>
      </w:r>
      <w:r w:rsidR="00C41F4B">
        <w:rPr>
          <w:sz w:val="20"/>
          <w:szCs w:val="20"/>
        </w:rPr>
        <w:t>.</w:t>
      </w:r>
    </w:p>
    <w:p w14:paraId="6B2337AB" w14:textId="77777777" w:rsidR="00BC5ACB" w:rsidRDefault="00BC5ACB" w:rsidP="006816F7">
      <w:pPr>
        <w:pStyle w:val="Default"/>
        <w:numPr>
          <w:ilvl w:val="0"/>
          <w:numId w:val="32"/>
        </w:numPr>
        <w:spacing w:after="120"/>
        <w:jc w:val="both"/>
        <w:rPr>
          <w:sz w:val="20"/>
          <w:szCs w:val="20"/>
        </w:rPr>
      </w:pPr>
      <w:r>
        <w:rPr>
          <w:sz w:val="20"/>
          <w:szCs w:val="20"/>
        </w:rPr>
        <w:t xml:space="preserve">Inspect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411B7D0D" w14:textId="77777777" w:rsidR="00BC5ACB" w:rsidRDefault="00BC5ACB" w:rsidP="006816F7">
      <w:pPr>
        <w:pStyle w:val="Default"/>
        <w:numPr>
          <w:ilvl w:val="0"/>
          <w:numId w:val="32"/>
        </w:numPr>
        <w:jc w:val="both"/>
        <w:rPr>
          <w:b/>
          <w:sz w:val="20"/>
          <w:szCs w:val="20"/>
        </w:rPr>
      </w:pP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56994525" w14:textId="77777777" w:rsidR="00BC5ACB" w:rsidRPr="007A378E" w:rsidRDefault="00BC5ACB" w:rsidP="00BC5ACB">
      <w:pPr>
        <w:pStyle w:val="Default"/>
        <w:tabs>
          <w:tab w:val="num" w:pos="720"/>
        </w:tabs>
        <w:jc w:val="both"/>
        <w:rPr>
          <w:bCs/>
          <w:sz w:val="20"/>
          <w:szCs w:val="20"/>
        </w:rPr>
      </w:pPr>
    </w:p>
    <w:p w14:paraId="50FE8C15" w14:textId="77777777" w:rsidR="00BC5ACB" w:rsidRPr="007A378E" w:rsidRDefault="00BC5ACB" w:rsidP="00BC5ACB">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2d.5</w:t>
      </w:r>
      <w:r w:rsidRPr="00F57161">
        <w:rPr>
          <w:b/>
          <w:sz w:val="20"/>
          <w:szCs w:val="20"/>
        </w:rPr>
        <w:t>)</w:t>
      </w:r>
    </w:p>
    <w:p w14:paraId="5050F432" w14:textId="77777777" w:rsidR="00BC5ACB" w:rsidRDefault="00BC5ACB" w:rsidP="00BC5ACB">
      <w:pPr>
        <w:pStyle w:val="Default"/>
        <w:jc w:val="both"/>
        <w:rPr>
          <w:sz w:val="20"/>
          <w:szCs w:val="20"/>
        </w:rPr>
      </w:pPr>
    </w:p>
    <w:p w14:paraId="4CB4F196" w14:textId="77777777" w:rsidR="00BC5ACB" w:rsidRDefault="00BC5ACB" w:rsidP="00BC5ACB">
      <w:pPr>
        <w:pStyle w:val="Default"/>
        <w:ind w:left="360" w:hanging="360"/>
        <w:jc w:val="both"/>
        <w:rPr>
          <w:b/>
          <w:sz w:val="20"/>
          <w:szCs w:val="20"/>
        </w:rPr>
      </w:pPr>
      <w:r>
        <w:rPr>
          <w:sz w:val="20"/>
        </w:rPr>
        <w:t>2.</w:t>
      </w:r>
      <w:r>
        <w:rPr>
          <w:sz w:val="20"/>
        </w:rPr>
        <w:tab/>
        <w:t>The permittee may</w:t>
      </w:r>
      <w:r>
        <w:rPr>
          <w:sz w:val="20"/>
          <w:szCs w:val="20"/>
        </w:rPr>
        <w:t xml:space="preserve"> utilize</w:t>
      </w:r>
      <w:r w:rsidRPr="00C53E03">
        <w:rPr>
          <w:sz w:val="20"/>
          <w:szCs w:val="20"/>
        </w:rPr>
        <w:t xml:space="preserve"> an oil analysis program </w:t>
      </w:r>
      <w:proofErr w:type="gramStart"/>
      <w:r w:rsidRPr="00C53E03">
        <w:rPr>
          <w:sz w:val="20"/>
          <w:szCs w:val="20"/>
        </w:rPr>
        <w:t>in order to</w:t>
      </w:r>
      <w:proofErr w:type="gramEnd"/>
      <w:r w:rsidRPr="00C53E03">
        <w:rPr>
          <w:sz w:val="20"/>
          <w:szCs w:val="20"/>
        </w:rPr>
        <w:t xml:space="preserve"> extend the specified oil change requirement</w:t>
      </w:r>
      <w:r>
        <w:rPr>
          <w:sz w:val="20"/>
          <w:szCs w:val="20"/>
        </w:rPr>
        <w:t xml:space="preserve"> in SC lll.1</w:t>
      </w:r>
      <w:r w:rsidRPr="00C53E03">
        <w:rPr>
          <w:sz w:val="20"/>
          <w:szCs w:val="20"/>
        </w:rPr>
        <w:t xml:space="preserve">. </w:t>
      </w:r>
      <w:r>
        <w:rPr>
          <w:sz w:val="20"/>
          <w:szCs w:val="20"/>
        </w:rPr>
        <w:t xml:space="preserve"> The oil analysis must be performed at the same frequency specified for changing the oil in SC lll.1.  </w:t>
      </w:r>
      <w:r>
        <w:rPr>
          <w:b/>
          <w:sz w:val="20"/>
          <w:szCs w:val="20"/>
        </w:rPr>
        <w:t>(40 CFR 63.6625(j</w:t>
      </w:r>
      <w:r w:rsidRPr="00560176">
        <w:rPr>
          <w:b/>
          <w:sz w:val="20"/>
          <w:szCs w:val="20"/>
        </w:rPr>
        <w:t>))</w:t>
      </w:r>
    </w:p>
    <w:p w14:paraId="54A4F603" w14:textId="77777777" w:rsidR="00BC5ACB" w:rsidRPr="00F57161" w:rsidRDefault="00BC5ACB" w:rsidP="00BC5ACB">
      <w:pPr>
        <w:pStyle w:val="Default"/>
        <w:jc w:val="both"/>
        <w:rPr>
          <w:sz w:val="20"/>
          <w:szCs w:val="20"/>
        </w:rPr>
      </w:pPr>
    </w:p>
    <w:p w14:paraId="577EA7DB" w14:textId="4CC120BA" w:rsidR="00BC5ACB" w:rsidRDefault="00BC5ACB" w:rsidP="00BC5ACB">
      <w:pPr>
        <w:ind w:left="360" w:hanging="360"/>
        <w:jc w:val="both"/>
        <w:rPr>
          <w:rFonts w:cs="Arial"/>
          <w:b/>
          <w:sz w:val="20"/>
        </w:rPr>
      </w:pPr>
      <w:r>
        <w:rPr>
          <w:rFonts w:cs="Arial"/>
          <w:sz w:val="20"/>
        </w:rPr>
        <w:t xml:space="preserve">3. </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Pr="005C142E">
        <w:rPr>
          <w:sz w:val="20"/>
        </w:rPr>
        <w:t>FG</w:t>
      </w:r>
      <w:r w:rsidR="00D97005" w:rsidRPr="00A81225">
        <w:rPr>
          <w:sz w:val="20"/>
        </w:rPr>
        <w:t>MACTZZZZ</w:t>
      </w:r>
      <w:r w:rsidR="00D97005" w:rsidRPr="00A81225">
        <w:rPr>
          <w:rFonts w:cs="Arial"/>
          <w:sz w:val="20"/>
        </w:rPr>
        <w:t>≤</w:t>
      </w:r>
      <w:r w:rsidR="00D97005" w:rsidRPr="00A81225">
        <w:rPr>
          <w:sz w:val="20"/>
        </w:rPr>
        <w:t>500</w:t>
      </w:r>
      <w:r w:rsidRPr="00A81225">
        <w:rPr>
          <w:sz w:val="20"/>
        </w:rPr>
        <w:t xml:space="preserve">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t>
      </w:r>
      <w:r>
        <w:rPr>
          <w:rFonts w:cs="Arial"/>
          <w:sz w:val="20"/>
        </w:rPr>
        <w:lastRenderedPageBreak/>
        <w:t xml:space="preserve">with good air pollution control practice for minimizing emissions.  </w:t>
      </w:r>
      <w:r>
        <w:rPr>
          <w:rFonts w:cs="Arial"/>
          <w:b/>
          <w:sz w:val="20"/>
        </w:rPr>
        <w:t>(40 CFR 63.6605, 40 CFR 63.6625(e), 40 CFR 63.6640(a), 40 CFR Part 63, Subpart ZZZZ, Table 6.9</w:t>
      </w:r>
    </w:p>
    <w:p w14:paraId="30FA6370" w14:textId="77777777" w:rsidR="00BC5ACB" w:rsidRPr="004F2015" w:rsidRDefault="00BC5ACB" w:rsidP="00BC5ACB">
      <w:pPr>
        <w:ind w:left="360" w:hanging="360"/>
        <w:jc w:val="both"/>
        <w:rPr>
          <w:rFonts w:cs="Arial"/>
          <w:bCs/>
          <w:sz w:val="20"/>
        </w:rPr>
      </w:pPr>
    </w:p>
    <w:p w14:paraId="10C5823A" w14:textId="20A0292F" w:rsidR="00BC5ACB" w:rsidRPr="004F2015" w:rsidRDefault="00BC5ACB" w:rsidP="00BC5ACB">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4</w:t>
      </w:r>
      <w:r w:rsidRPr="00A90492">
        <w:rPr>
          <w:rFonts w:ascii="Arial" w:hAnsi="Arial" w:cs="Arial"/>
          <w:sz w:val="20"/>
          <w:szCs w:val="20"/>
        </w:rPr>
        <w:t>.</w:t>
      </w:r>
      <w:r w:rsidRPr="00A90492">
        <w:rPr>
          <w:rFonts w:ascii="Arial" w:hAnsi="Arial" w:cs="Arial"/>
          <w:sz w:val="20"/>
          <w:szCs w:val="20"/>
        </w:rPr>
        <w:tab/>
      </w:r>
      <w:r>
        <w:rPr>
          <w:rFonts w:ascii="Arial" w:hAnsi="Arial" w:cs="Arial"/>
          <w:sz w:val="20"/>
          <w:szCs w:val="20"/>
        </w:rPr>
        <w:t xml:space="preserve">For each engine in </w:t>
      </w:r>
      <w:r w:rsidRPr="005C142E">
        <w:rPr>
          <w:rFonts w:ascii="Arial" w:hAnsi="Arial"/>
          <w:sz w:val="20"/>
          <w:szCs w:val="20"/>
        </w:rPr>
        <w:t>FG</w:t>
      </w:r>
      <w:r w:rsidR="00D97005" w:rsidRPr="00A81225">
        <w:rPr>
          <w:rFonts w:ascii="Arial" w:hAnsi="Arial"/>
          <w:sz w:val="20"/>
          <w:szCs w:val="20"/>
        </w:rPr>
        <w:t>MACTZZZZ</w:t>
      </w:r>
      <w:r w:rsidR="00D97005" w:rsidRPr="00A81225">
        <w:rPr>
          <w:rFonts w:ascii="Arial" w:hAnsi="Arial" w:cs="Arial"/>
          <w:sz w:val="20"/>
          <w:szCs w:val="20"/>
        </w:rPr>
        <w:t>≤</w:t>
      </w:r>
      <w:r w:rsidR="00D97005" w:rsidRPr="00A81225">
        <w:rPr>
          <w:rFonts w:ascii="Arial" w:hAnsi="Arial"/>
          <w:sz w:val="20"/>
          <w:szCs w:val="20"/>
        </w:rPr>
        <w:t>500</w:t>
      </w:r>
      <w:r w:rsidRPr="00A81225">
        <w:rPr>
          <w:rFonts w:ascii="Arial" w:hAnsi="Arial"/>
          <w:sz w:val="20"/>
          <w:szCs w:val="20"/>
        </w:rPr>
        <w:t xml:space="preserve">, </w:t>
      </w:r>
      <w:r>
        <w:rPr>
          <w:rFonts w:ascii="Arial" w:hAnsi="Arial" w:cs="Arial"/>
          <w:sz w:val="20"/>
          <w:szCs w:val="20"/>
        </w:rPr>
        <w:t>t</w:t>
      </w:r>
      <w:r w:rsidRPr="00A90492">
        <w:rPr>
          <w:rFonts w:ascii="Arial" w:hAnsi="Arial" w:cs="Arial"/>
          <w:sz w:val="20"/>
          <w:szCs w:val="20"/>
        </w:rPr>
        <w:t xml:space="preserve">he permittee shall minimize the </w:t>
      </w:r>
      <w:r>
        <w:rPr>
          <w:rFonts w:ascii="Arial" w:hAnsi="Arial" w:cs="Arial"/>
          <w:sz w:val="20"/>
          <w:szCs w:val="20"/>
        </w:rPr>
        <w:t xml:space="preserve">engine’s </w:t>
      </w:r>
      <w:r w:rsidRPr="00A90492">
        <w:rPr>
          <w:rFonts w:ascii="Arial" w:hAnsi="Arial" w:cs="Arial"/>
          <w:sz w:val="20"/>
          <w:szCs w:val="20"/>
        </w:rPr>
        <w:t xml:space="preserve">time spent at idle during startup and minimize the </w:t>
      </w:r>
      <w:r>
        <w:rPr>
          <w:rFonts w:ascii="Arial" w:hAnsi="Arial" w:cs="Arial"/>
          <w:sz w:val="20"/>
          <w:szCs w:val="20"/>
        </w:rPr>
        <w:t xml:space="preserve">engine’s </w:t>
      </w:r>
      <w:r w:rsidRPr="00A90492">
        <w:rPr>
          <w:rFonts w:ascii="Arial" w:hAnsi="Arial" w:cs="Arial"/>
          <w:sz w:val="20"/>
          <w:szCs w:val="20"/>
        </w:rPr>
        <w:t>startup time to a period needed for appropriate and safe loading of the engine, not to exceed 30 minutes, after</w:t>
      </w:r>
      <w:r w:rsidRPr="002A1EBF">
        <w:rPr>
          <w:rFonts w:ascii="Arial" w:hAnsi="Arial" w:cs="Arial"/>
          <w:sz w:val="20"/>
          <w:szCs w:val="20"/>
        </w:rPr>
        <w:t xml:space="preserve"> which time the emission standards applicable to all times other than startup apply. </w:t>
      </w:r>
      <w:r>
        <w:rPr>
          <w:rFonts w:ascii="Arial" w:hAnsi="Arial" w:cs="Arial"/>
          <w:sz w:val="20"/>
          <w:szCs w:val="20"/>
        </w:rPr>
        <w:t xml:space="preserve"> </w:t>
      </w:r>
      <w:r w:rsidRPr="00D00D6A">
        <w:rPr>
          <w:rFonts w:ascii="Arial" w:hAnsi="Arial" w:cs="Arial"/>
          <w:b/>
          <w:sz w:val="20"/>
          <w:szCs w:val="20"/>
        </w:rPr>
        <w:t>(40</w:t>
      </w:r>
      <w:r>
        <w:rPr>
          <w:rFonts w:ascii="Arial" w:hAnsi="Arial" w:cs="Arial"/>
          <w:b/>
          <w:sz w:val="20"/>
          <w:szCs w:val="20"/>
        </w:rPr>
        <w:t> </w:t>
      </w:r>
      <w:r w:rsidRPr="00D00D6A">
        <w:rPr>
          <w:rFonts w:ascii="Arial" w:hAnsi="Arial" w:cs="Arial"/>
          <w:b/>
          <w:sz w:val="20"/>
          <w:szCs w:val="20"/>
        </w:rPr>
        <w:t>CFR 63.6625(h))</w:t>
      </w:r>
    </w:p>
    <w:p w14:paraId="0421A9F0" w14:textId="77777777" w:rsidR="00BC5ACB" w:rsidRDefault="00BC5ACB" w:rsidP="00BC5ACB">
      <w:pPr>
        <w:ind w:left="360" w:hanging="360"/>
        <w:jc w:val="both"/>
        <w:rPr>
          <w:rFonts w:cs="Arial"/>
          <w:sz w:val="20"/>
        </w:rPr>
      </w:pPr>
    </w:p>
    <w:p w14:paraId="1A811EE0" w14:textId="7EE0B06D" w:rsidR="00BC5ACB" w:rsidRDefault="00BC5ACB" w:rsidP="00BC5ACB">
      <w:pPr>
        <w:ind w:left="360" w:hanging="360"/>
        <w:jc w:val="both"/>
        <w:rPr>
          <w:rFonts w:cs="Arial"/>
          <w:b/>
          <w:bCs/>
          <w:sz w:val="20"/>
        </w:rPr>
      </w:pPr>
      <w:r>
        <w:rPr>
          <w:rFonts w:cs="Arial"/>
          <w:sz w:val="20"/>
        </w:rPr>
        <w:t>5</w:t>
      </w:r>
      <w:r w:rsidRPr="001C6F94">
        <w:rPr>
          <w:rFonts w:cs="Arial"/>
          <w:sz w:val="20"/>
        </w:rPr>
        <w:t>.</w:t>
      </w:r>
      <w:r w:rsidRPr="001C6F94">
        <w:rPr>
          <w:rFonts w:cs="Arial"/>
          <w:sz w:val="20"/>
        </w:rPr>
        <w:tab/>
        <w:t xml:space="preserve">The permittee may operate each engine </w:t>
      </w:r>
      <w:r w:rsidRPr="008E548D">
        <w:rPr>
          <w:rFonts w:cs="Arial"/>
          <w:sz w:val="20"/>
        </w:rPr>
        <w:t xml:space="preserve">in </w:t>
      </w:r>
      <w:r w:rsidRPr="005C142E">
        <w:rPr>
          <w:sz w:val="20"/>
        </w:rPr>
        <w:t>FG</w:t>
      </w:r>
      <w:r w:rsidR="00D97005" w:rsidRPr="00A81225">
        <w:rPr>
          <w:sz w:val="20"/>
        </w:rPr>
        <w:t>MACTZZZZ</w:t>
      </w:r>
      <w:r w:rsidR="00D97005" w:rsidRPr="00A81225">
        <w:rPr>
          <w:rFonts w:cs="Arial"/>
          <w:sz w:val="20"/>
        </w:rPr>
        <w:t>≤</w:t>
      </w:r>
      <w:r w:rsidR="00D97005" w:rsidRPr="00A81225">
        <w:rPr>
          <w:sz w:val="20"/>
        </w:rPr>
        <w:t>500</w:t>
      </w:r>
      <w:r w:rsidRPr="00A81225">
        <w:rPr>
          <w:sz w:val="20"/>
        </w:rPr>
        <w:t xml:space="preserve"> </w:t>
      </w:r>
      <w:r w:rsidRPr="001C6F94">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w:t>
      </w:r>
      <w:r>
        <w:rPr>
          <w:rFonts w:cs="Arial"/>
          <w:sz w:val="20"/>
        </w:rPr>
        <w:t>, but a</w:t>
      </w:r>
      <w:r w:rsidRPr="001C6F94">
        <w:rPr>
          <w:rFonts w:cs="Arial"/>
          <w:sz w:val="20"/>
        </w:rPr>
        <w:t xml:space="preserve"> petition is not required if the owner or operator maintains records indicating that Federal, State, or local standards require maintenance and testing of emergency internal combustion engines beyond 100 hours per calendar year.</w:t>
      </w:r>
      <w:r>
        <w:rPr>
          <w:rFonts w:cs="Arial"/>
          <w:sz w:val="20"/>
        </w:rPr>
        <w:t xml:space="preserve">  </w:t>
      </w:r>
      <w:r w:rsidRPr="003D7A71">
        <w:rPr>
          <w:rFonts w:cs="Arial"/>
          <w:b/>
          <w:bCs/>
          <w:sz w:val="20"/>
        </w:rPr>
        <w:t>(40 CFR 63.6640(f)(2))</w:t>
      </w:r>
    </w:p>
    <w:p w14:paraId="668A442D" w14:textId="77777777" w:rsidR="00BC5ACB" w:rsidRPr="004F2015" w:rsidRDefault="00BC5ACB" w:rsidP="00BC5ACB">
      <w:pPr>
        <w:ind w:left="360" w:hanging="360"/>
        <w:jc w:val="both"/>
        <w:rPr>
          <w:rFonts w:cs="Arial"/>
          <w:sz w:val="20"/>
        </w:rPr>
      </w:pPr>
    </w:p>
    <w:p w14:paraId="261E698E" w14:textId="016B561F" w:rsidR="00BC5ACB" w:rsidRPr="007521DF" w:rsidRDefault="00BC5ACB" w:rsidP="00BC5ACB">
      <w:pPr>
        <w:spacing w:after="60"/>
        <w:ind w:left="360" w:hanging="360"/>
        <w:jc w:val="both"/>
        <w:rPr>
          <w:rFonts w:cs="Arial"/>
          <w:bCs/>
          <w:sz w:val="20"/>
        </w:rPr>
      </w:pPr>
      <w:r w:rsidRPr="00957A57">
        <w:rPr>
          <w:rFonts w:cs="Arial"/>
          <w:sz w:val="20"/>
        </w:rPr>
        <w:t>6.</w:t>
      </w:r>
      <w:r w:rsidRPr="00957A57">
        <w:rPr>
          <w:rFonts w:cs="Arial"/>
          <w:sz w:val="20"/>
        </w:rPr>
        <w:tab/>
        <w:t xml:space="preserve">Each engine in </w:t>
      </w:r>
      <w:r w:rsidRPr="007D2FBD">
        <w:rPr>
          <w:sz w:val="20"/>
        </w:rPr>
        <w:t>FG</w:t>
      </w:r>
      <w:r w:rsidR="00EB06B7" w:rsidRPr="00A81225">
        <w:rPr>
          <w:sz w:val="20"/>
        </w:rPr>
        <w:t>MACTZZZZ</w:t>
      </w:r>
      <w:r w:rsidR="004234ED" w:rsidRPr="00A81225">
        <w:rPr>
          <w:rFonts w:cs="Arial"/>
          <w:sz w:val="20"/>
        </w:rPr>
        <w:t>≤</w:t>
      </w:r>
      <w:r w:rsidR="004234ED" w:rsidRPr="00A81225">
        <w:rPr>
          <w:sz w:val="20"/>
        </w:rPr>
        <w:t>500</w:t>
      </w:r>
      <w:r w:rsidRPr="00A81225">
        <w:rPr>
          <w:rFonts w:cs="Arial"/>
          <w:sz w:val="20"/>
        </w:rPr>
        <w:t xml:space="preserve"> </w:t>
      </w:r>
      <w:r w:rsidRPr="00957A57">
        <w:rPr>
          <w:rFonts w:cs="Arial"/>
          <w:sz w:val="20"/>
        </w:rPr>
        <w:t>may be operated for up to 50 hours per calendar year in non-emergency situations.</w:t>
      </w:r>
      <w:r>
        <w:rPr>
          <w:rFonts w:cs="Arial"/>
          <w:sz w:val="20"/>
        </w:rPr>
        <w:t xml:space="preserve"> </w:t>
      </w:r>
      <w:r w:rsidRPr="00957A57">
        <w:rPr>
          <w:rFonts w:cs="Arial"/>
          <w:sz w:val="20"/>
        </w:rPr>
        <w:t xml:space="preserve"> The 50 hours of operation in non-emergency situations are counted as part of the 100 hours per calendar year for maintenance and testing provided in </w:t>
      </w:r>
      <w:r w:rsidRPr="00957A57">
        <w:rPr>
          <w:rFonts w:cs="Arial"/>
          <w:b/>
          <w:bCs/>
          <w:sz w:val="20"/>
        </w:rPr>
        <w:t>SC lll.5</w:t>
      </w:r>
      <w:r w:rsidRPr="00957A57">
        <w:rPr>
          <w:rFonts w:cs="Arial"/>
          <w:sz w:val="20"/>
        </w:rPr>
        <w:t xml:space="preserve">. </w:t>
      </w:r>
      <w:r>
        <w:rPr>
          <w:rFonts w:cs="Arial"/>
          <w:sz w:val="20"/>
        </w:rPr>
        <w:t xml:space="preserve"> </w:t>
      </w:r>
      <w:r w:rsidRPr="00957A57">
        <w:rPr>
          <w:rFonts w:cs="Arial"/>
          <w:sz w:val="20"/>
        </w:rPr>
        <w:t xml:space="preserve">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Pr>
          <w:rFonts w:cs="Arial"/>
          <w:sz w:val="20"/>
        </w:rPr>
        <w:t xml:space="preserve"> </w:t>
      </w:r>
      <w:r w:rsidRPr="00957A57">
        <w:rPr>
          <w:rFonts w:cs="Arial"/>
          <w:b/>
          <w:sz w:val="20"/>
        </w:rPr>
        <w:t>(40 CFR 63.6640(f)(4))</w:t>
      </w:r>
    </w:p>
    <w:bookmarkEnd w:id="67"/>
    <w:p w14:paraId="7D50A6FB" w14:textId="77777777" w:rsidR="00BC5ACB" w:rsidRPr="00FF27C7" w:rsidRDefault="00BC5ACB" w:rsidP="00BC5ACB">
      <w:pPr>
        <w:ind w:left="360" w:hanging="360"/>
        <w:jc w:val="both"/>
        <w:rPr>
          <w:rFonts w:cs="Arial"/>
          <w:sz w:val="20"/>
        </w:rPr>
      </w:pPr>
    </w:p>
    <w:p w14:paraId="1A22E133" w14:textId="77777777" w:rsidR="00BC5ACB" w:rsidRPr="002E62CB" w:rsidRDefault="00BC5ACB" w:rsidP="00BC5ACB">
      <w:pPr>
        <w:ind w:left="540" w:hanging="540"/>
        <w:jc w:val="both"/>
        <w:rPr>
          <w:b/>
          <w:szCs w:val="22"/>
          <w:u w:val="single"/>
        </w:rPr>
      </w:pPr>
      <w:r w:rsidRPr="002E62CB">
        <w:rPr>
          <w:b/>
          <w:szCs w:val="22"/>
        </w:rPr>
        <w:t xml:space="preserve">IV.  </w:t>
      </w:r>
      <w:r w:rsidRPr="002E62CB">
        <w:rPr>
          <w:b/>
          <w:szCs w:val="22"/>
          <w:u w:val="single"/>
        </w:rPr>
        <w:t>DESIGN/EQUIPMENT PARAMETER(S)</w:t>
      </w:r>
    </w:p>
    <w:p w14:paraId="4726184D" w14:textId="77777777" w:rsidR="00BC5ACB" w:rsidRPr="00FF27C7" w:rsidRDefault="00BC5ACB" w:rsidP="00BC5ACB">
      <w:pPr>
        <w:ind w:left="360" w:hanging="360"/>
        <w:jc w:val="both"/>
        <w:rPr>
          <w:sz w:val="20"/>
        </w:rPr>
      </w:pPr>
    </w:p>
    <w:p w14:paraId="1B7F1359" w14:textId="044B380F" w:rsidR="00BC5ACB" w:rsidRPr="00FF27C7" w:rsidRDefault="00BC5ACB" w:rsidP="00BC5ACB">
      <w:pPr>
        <w:ind w:left="360" w:hanging="360"/>
        <w:jc w:val="both"/>
        <w:rPr>
          <w:sz w:val="20"/>
        </w:rPr>
      </w:pPr>
      <w:bookmarkStart w:id="68" w:name="_Hlk44407438"/>
      <w:r w:rsidRPr="00FF27C7">
        <w:rPr>
          <w:sz w:val="20"/>
        </w:rPr>
        <w:t>1.</w:t>
      </w:r>
      <w:r w:rsidRPr="00FF27C7">
        <w:rPr>
          <w:sz w:val="20"/>
        </w:rPr>
        <w:tab/>
      </w:r>
      <w:r>
        <w:rPr>
          <w:sz w:val="20"/>
        </w:rPr>
        <w:t xml:space="preserve">The permittee shall equip and maintain each </w:t>
      </w:r>
      <w:r w:rsidRPr="007F5C97">
        <w:rPr>
          <w:rFonts w:cs="Arial"/>
          <w:sz w:val="20"/>
        </w:rPr>
        <w:t xml:space="preserve">engine in </w:t>
      </w:r>
      <w:r w:rsidRPr="007D2FBD">
        <w:rPr>
          <w:sz w:val="20"/>
        </w:rPr>
        <w:t>FG</w:t>
      </w:r>
      <w:r w:rsidR="004234ED" w:rsidRPr="00A81225">
        <w:rPr>
          <w:sz w:val="20"/>
        </w:rPr>
        <w:t>MACTZZZZ</w:t>
      </w:r>
      <w:r w:rsidR="004234ED" w:rsidRPr="00A81225">
        <w:rPr>
          <w:rFonts w:cs="Arial"/>
          <w:sz w:val="20"/>
        </w:rPr>
        <w:t>≤</w:t>
      </w:r>
      <w:r w:rsidR="004234ED" w:rsidRPr="00A81225">
        <w:rPr>
          <w:sz w:val="20"/>
        </w:rPr>
        <w:t>500</w:t>
      </w:r>
      <w:r w:rsidRPr="00A81225">
        <w:rPr>
          <w:sz w:val="20"/>
        </w:rPr>
        <w:t xml:space="preserve"> </w:t>
      </w:r>
      <w:r w:rsidRPr="003D7A71">
        <w:rPr>
          <w:sz w:val="20"/>
        </w:rPr>
        <w:t>with non-resettable hours meters to track the operating hours.</w:t>
      </w:r>
      <w:r>
        <w:rPr>
          <w:color w:val="FF0000"/>
          <w:sz w:val="20"/>
        </w:rPr>
        <w:t xml:space="preserve"> </w:t>
      </w:r>
      <w:r>
        <w:rPr>
          <w:sz w:val="20"/>
        </w:rPr>
        <w:t xml:space="preserve"> </w:t>
      </w:r>
      <w:r w:rsidRPr="00E51B78">
        <w:rPr>
          <w:b/>
          <w:sz w:val="20"/>
        </w:rPr>
        <w:t xml:space="preserve">(40 CFR 63.6625(f)) </w:t>
      </w:r>
    </w:p>
    <w:bookmarkEnd w:id="68"/>
    <w:p w14:paraId="7515FAD8" w14:textId="77777777" w:rsidR="00BC5ACB" w:rsidRPr="00FF27C7" w:rsidRDefault="00BC5ACB" w:rsidP="00BC5ACB">
      <w:pPr>
        <w:ind w:left="360" w:hanging="360"/>
        <w:jc w:val="both"/>
        <w:rPr>
          <w:sz w:val="20"/>
        </w:rPr>
      </w:pPr>
    </w:p>
    <w:p w14:paraId="6745358A" w14:textId="77777777" w:rsidR="00BC5ACB" w:rsidRPr="002E62CB" w:rsidRDefault="00BC5ACB" w:rsidP="00BC5ACB">
      <w:pPr>
        <w:ind w:left="540" w:hanging="540"/>
        <w:jc w:val="both"/>
        <w:rPr>
          <w:b/>
          <w:szCs w:val="22"/>
          <w:u w:val="single"/>
        </w:rPr>
      </w:pPr>
      <w:r w:rsidRPr="002E62CB">
        <w:rPr>
          <w:b/>
          <w:szCs w:val="22"/>
        </w:rPr>
        <w:t xml:space="preserve">V.  </w:t>
      </w:r>
      <w:r w:rsidRPr="002E62CB">
        <w:rPr>
          <w:b/>
          <w:szCs w:val="22"/>
          <w:u w:val="single"/>
        </w:rPr>
        <w:t>TESTING/SAMPLING</w:t>
      </w:r>
    </w:p>
    <w:p w14:paraId="6523DFC0" w14:textId="77777777" w:rsidR="00BC5ACB" w:rsidRPr="00FE0AD0" w:rsidRDefault="00BC5ACB" w:rsidP="00BC5ACB">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6CB1EC23" w14:textId="77777777" w:rsidR="00BC5ACB" w:rsidRPr="00FF27C7" w:rsidRDefault="00BC5ACB" w:rsidP="00BC5ACB">
      <w:pPr>
        <w:ind w:left="540" w:hanging="540"/>
        <w:jc w:val="both"/>
        <w:rPr>
          <w:sz w:val="20"/>
        </w:rPr>
      </w:pPr>
    </w:p>
    <w:p w14:paraId="00BCEE1C" w14:textId="77777777" w:rsidR="00BC5ACB" w:rsidRDefault="00BC5ACB" w:rsidP="006816F7">
      <w:pPr>
        <w:numPr>
          <w:ilvl w:val="0"/>
          <w:numId w:val="31"/>
        </w:numPr>
        <w:jc w:val="both"/>
        <w:rPr>
          <w:rFonts w:cs="Arial"/>
          <w:b/>
          <w:sz w:val="20"/>
        </w:rPr>
      </w:pPr>
      <w:bookmarkStart w:id="69" w:name="_Hlk44407508"/>
      <w:r>
        <w:rPr>
          <w:rFonts w:cs="Arial"/>
          <w:sz w:val="20"/>
        </w:rPr>
        <w:t xml:space="preserve">If using the oil analysis program, the permittee must at a minimum analyze the following three parameters: Total Acid Number, viscosity, and percent water content.  The condemning limits for these parameters are as follows: </w:t>
      </w:r>
      <w:r w:rsidRPr="00897014">
        <w:rPr>
          <w:rFonts w:cs="Arial"/>
          <w:sz w:val="20"/>
        </w:rPr>
        <w:t xml:space="preserve">Total Acid Number </w:t>
      </w:r>
      <w:bookmarkStart w:id="70" w:name="_Hlk49870142"/>
      <w:r w:rsidRPr="00897014">
        <w:rPr>
          <w:rFonts w:cs="Arial"/>
          <w:sz w:val="20"/>
        </w:rPr>
        <w:t xml:space="preserve">increases by more than 3.0 milligrams of potassium hydroxide (KOH) per gram from Total Acid </w:t>
      </w:r>
      <w:bookmarkEnd w:id="70"/>
      <w:r w:rsidRPr="00897014">
        <w:rPr>
          <w:rFonts w:cs="Arial"/>
          <w:sz w:val="20"/>
        </w:rPr>
        <w:t>Number of the oil when new; viscosity of the oil has changed by more than 20 percent from the viscosity of the oil when new; or percent water content (by volume) is greater than 0.5.</w:t>
      </w:r>
      <w:r>
        <w:rPr>
          <w:rFonts w:cs="Arial"/>
          <w:sz w:val="20"/>
        </w:rPr>
        <w:t xml:space="preserve"> </w:t>
      </w:r>
      <w:r w:rsidRPr="00897014">
        <w:rPr>
          <w:rFonts w:cs="Arial"/>
          <w:sz w:val="20"/>
        </w:rPr>
        <w:t xml:space="preserve"> </w:t>
      </w:r>
      <w:r>
        <w:rPr>
          <w:rFonts w:cs="Arial"/>
          <w:sz w:val="20"/>
        </w:rPr>
        <w:t xml:space="preserve">If </w:t>
      </w:r>
      <w:proofErr w:type="gramStart"/>
      <w:r>
        <w:rPr>
          <w:rFonts w:cs="Arial"/>
          <w:sz w:val="20"/>
        </w:rPr>
        <w:t>all of</w:t>
      </w:r>
      <w:proofErr w:type="gramEnd"/>
      <w:r>
        <w:rPr>
          <w:rFonts w:cs="Arial"/>
          <w:sz w:val="20"/>
        </w:rPr>
        <w:t xml:space="preserve">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Pr>
          <w:rFonts w:cs="Arial"/>
          <w:b/>
          <w:sz w:val="20"/>
        </w:rPr>
        <w:t>(40 CFR 63.6625(j))</w:t>
      </w:r>
    </w:p>
    <w:bookmarkEnd w:id="69"/>
    <w:p w14:paraId="6B075128" w14:textId="77777777" w:rsidR="00BC5ACB" w:rsidRPr="00FF27C7" w:rsidRDefault="00BC5ACB" w:rsidP="00BC5ACB">
      <w:pPr>
        <w:ind w:left="360" w:hanging="360"/>
        <w:jc w:val="both"/>
        <w:rPr>
          <w:sz w:val="20"/>
        </w:rPr>
      </w:pPr>
    </w:p>
    <w:p w14:paraId="12C15316" w14:textId="77777777" w:rsidR="00BC5ACB" w:rsidRPr="002E62CB" w:rsidRDefault="00BC5ACB" w:rsidP="00BC5ACB">
      <w:pPr>
        <w:ind w:left="540" w:hanging="540"/>
        <w:jc w:val="both"/>
        <w:rPr>
          <w:szCs w:val="22"/>
        </w:rPr>
      </w:pPr>
      <w:r w:rsidRPr="002E62CB">
        <w:rPr>
          <w:b/>
          <w:szCs w:val="22"/>
        </w:rPr>
        <w:t xml:space="preserve">VI.  </w:t>
      </w:r>
      <w:r w:rsidRPr="002E62CB">
        <w:rPr>
          <w:b/>
          <w:szCs w:val="22"/>
          <w:u w:val="single"/>
        </w:rPr>
        <w:t>MONITORING/RECORDKEEPING</w:t>
      </w:r>
    </w:p>
    <w:p w14:paraId="1D9D330F" w14:textId="77777777" w:rsidR="00BC5ACB" w:rsidRPr="00FE0AD0" w:rsidRDefault="00BC5ACB" w:rsidP="00BC5ACB">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055BD6BA" w14:textId="77777777" w:rsidR="00BC5ACB" w:rsidRPr="00FF27C7" w:rsidRDefault="00BC5ACB" w:rsidP="00BC5ACB">
      <w:pPr>
        <w:ind w:left="540" w:hanging="540"/>
        <w:jc w:val="both"/>
        <w:rPr>
          <w:sz w:val="20"/>
        </w:rPr>
      </w:pPr>
    </w:p>
    <w:p w14:paraId="2F495E03" w14:textId="4C10D8D2" w:rsidR="00BC5ACB" w:rsidRPr="007A43E1" w:rsidRDefault="00BC5ACB" w:rsidP="00BC5ACB">
      <w:pPr>
        <w:spacing w:after="120"/>
        <w:ind w:left="360" w:hanging="360"/>
        <w:jc w:val="both"/>
        <w:rPr>
          <w:sz w:val="20"/>
        </w:rPr>
      </w:pPr>
      <w:bookmarkStart w:id="71" w:name="_Hlk44407542"/>
      <w:r>
        <w:rPr>
          <w:bCs/>
          <w:sz w:val="20"/>
        </w:rPr>
        <w:t>1.</w:t>
      </w:r>
      <w:r>
        <w:rPr>
          <w:bCs/>
          <w:sz w:val="20"/>
        </w:rPr>
        <w:tab/>
      </w:r>
      <w:r w:rsidRPr="007A43E1">
        <w:rPr>
          <w:sz w:val="20"/>
        </w:rPr>
        <w:t xml:space="preserve">For each engine in </w:t>
      </w:r>
      <w:r w:rsidRPr="007D2FBD">
        <w:rPr>
          <w:sz w:val="20"/>
        </w:rPr>
        <w:t>FG</w:t>
      </w:r>
      <w:r w:rsidR="00500C81" w:rsidRPr="00A81225">
        <w:rPr>
          <w:sz w:val="20"/>
        </w:rPr>
        <w:t>MACTZZZZ</w:t>
      </w:r>
      <w:r w:rsidR="00500C81" w:rsidRPr="00A81225">
        <w:rPr>
          <w:rFonts w:cs="Arial"/>
          <w:sz w:val="20"/>
        </w:rPr>
        <w:t>≤</w:t>
      </w:r>
      <w:r w:rsidR="00500C81" w:rsidRPr="00A81225">
        <w:rPr>
          <w:sz w:val="20"/>
        </w:rPr>
        <w:t>500</w:t>
      </w:r>
      <w:r w:rsidRPr="007A43E1">
        <w:rPr>
          <w:sz w:val="20"/>
        </w:rPr>
        <w:t>, the permittee shall keep in a satisfactory manner the following:</w:t>
      </w:r>
    </w:p>
    <w:p w14:paraId="2CA854A9" w14:textId="77777777" w:rsidR="00BC5ACB" w:rsidRPr="003D7A71" w:rsidRDefault="00BC5ACB" w:rsidP="006816F7">
      <w:pPr>
        <w:numPr>
          <w:ilvl w:val="0"/>
          <w:numId w:val="33"/>
        </w:numPr>
        <w:spacing w:after="120"/>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p>
    <w:p w14:paraId="50C49A61" w14:textId="77777777" w:rsidR="00BC5ACB" w:rsidRPr="003D7A71" w:rsidRDefault="00BC5ACB" w:rsidP="006816F7">
      <w:pPr>
        <w:numPr>
          <w:ilvl w:val="0"/>
          <w:numId w:val="33"/>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72" w:name="_Hlk39071808"/>
      <w:r>
        <w:rPr>
          <w:sz w:val="20"/>
        </w:rPr>
        <w:t>,</w:t>
      </w:r>
    </w:p>
    <w:p w14:paraId="216363EA" w14:textId="77777777" w:rsidR="00BC5ACB" w:rsidRDefault="00BC5ACB" w:rsidP="006816F7">
      <w:pPr>
        <w:numPr>
          <w:ilvl w:val="0"/>
          <w:numId w:val="33"/>
        </w:numPr>
        <w:spacing w:after="120"/>
        <w:jc w:val="both"/>
        <w:rPr>
          <w:sz w:val="20"/>
        </w:rPr>
      </w:pPr>
      <w:r>
        <w:rPr>
          <w:sz w:val="20"/>
        </w:rPr>
        <w:t>R</w:t>
      </w:r>
      <w:r w:rsidRPr="009069A0">
        <w:rPr>
          <w:sz w:val="20"/>
        </w:rPr>
        <w:t>ecords of</w:t>
      </w:r>
      <w:r>
        <w:rPr>
          <w:sz w:val="20"/>
        </w:rPr>
        <w:t xml:space="preserve"> performance tests and performance evaluations, </w:t>
      </w:r>
    </w:p>
    <w:p w14:paraId="7CFCD854" w14:textId="77777777" w:rsidR="00BC5ACB" w:rsidRDefault="00BC5ACB" w:rsidP="006816F7">
      <w:pPr>
        <w:numPr>
          <w:ilvl w:val="0"/>
          <w:numId w:val="33"/>
        </w:numPr>
        <w:spacing w:after="120"/>
        <w:jc w:val="both"/>
        <w:rPr>
          <w:sz w:val="20"/>
        </w:rPr>
      </w:pPr>
      <w:r w:rsidRPr="003D7A71">
        <w:rPr>
          <w:sz w:val="20"/>
        </w:rPr>
        <w:lastRenderedPageBreak/>
        <w:t xml:space="preserve">Records </w:t>
      </w:r>
      <w:r w:rsidRPr="009069A0">
        <w:rPr>
          <w:sz w:val="20"/>
        </w:rPr>
        <w:t>of</w:t>
      </w:r>
      <w:r>
        <w:rPr>
          <w:sz w:val="20"/>
        </w:rPr>
        <w:t xml:space="preserve"> all required maintenance performed on the air pollution control and monitoring equipment, </w:t>
      </w:r>
    </w:p>
    <w:p w14:paraId="0B0403EF" w14:textId="77777777" w:rsidR="00BC5ACB" w:rsidRPr="003D7A71" w:rsidRDefault="00BC5ACB" w:rsidP="006816F7">
      <w:pPr>
        <w:numPr>
          <w:ilvl w:val="0"/>
          <w:numId w:val="33"/>
        </w:numPr>
        <w:spacing w:after="120"/>
        <w:jc w:val="both"/>
        <w:rPr>
          <w:sz w:val="20"/>
        </w:rPr>
      </w:pPr>
      <w:r w:rsidRPr="00252029">
        <w:rPr>
          <w:sz w:val="20"/>
        </w:rPr>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34178D37" w14:textId="77777777" w:rsidR="00BC5ACB" w:rsidRDefault="00BC5ACB" w:rsidP="00BC5ACB">
      <w:pPr>
        <w:pStyle w:val="ListParagraph"/>
        <w:ind w:left="360"/>
        <w:jc w:val="both"/>
        <w:rPr>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r>
        <w:rPr>
          <w:sz w:val="20"/>
        </w:rPr>
        <w:t xml:space="preserve"> </w:t>
      </w:r>
      <w:bookmarkEnd w:id="71"/>
      <w:bookmarkEnd w:id="72"/>
    </w:p>
    <w:p w14:paraId="069142F6" w14:textId="77777777" w:rsidR="00BC5ACB" w:rsidRDefault="00BC5ACB" w:rsidP="00BC5ACB">
      <w:pPr>
        <w:ind w:left="360" w:hanging="360"/>
        <w:jc w:val="both"/>
        <w:rPr>
          <w:sz w:val="20"/>
        </w:rPr>
      </w:pPr>
    </w:p>
    <w:p w14:paraId="0DC291E4" w14:textId="224CAEA0" w:rsidR="00BC5ACB" w:rsidRDefault="00BC5ACB" w:rsidP="00BC5ACB">
      <w:pPr>
        <w:ind w:left="360" w:hanging="360"/>
        <w:jc w:val="both"/>
        <w:rPr>
          <w:sz w:val="20"/>
        </w:rPr>
      </w:pPr>
      <w:bookmarkStart w:id="73" w:name="_Hlk44407606"/>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7D2FBD">
        <w:rPr>
          <w:sz w:val="20"/>
        </w:rPr>
        <w:t>FG</w:t>
      </w:r>
      <w:r w:rsidR="004E0A63" w:rsidRPr="00A81225">
        <w:rPr>
          <w:sz w:val="20"/>
        </w:rPr>
        <w:t>MACTZZZZ</w:t>
      </w:r>
      <w:r w:rsidR="004E0A63" w:rsidRPr="00A81225">
        <w:rPr>
          <w:rFonts w:cs="Arial"/>
          <w:sz w:val="20"/>
        </w:rPr>
        <w:t>≤</w:t>
      </w:r>
      <w:r w:rsidR="004E0A63" w:rsidRPr="00A81225">
        <w:rPr>
          <w:sz w:val="20"/>
        </w:rPr>
        <w:t>500</w:t>
      </w:r>
      <w:r w:rsidRPr="00A81225">
        <w:rPr>
          <w:sz w:val="20"/>
        </w:rPr>
        <w:t>,</w:t>
      </w:r>
      <w:r w:rsidRPr="007D2FBD">
        <w:rPr>
          <w:sz w:val="20"/>
        </w:rPr>
        <w:t xml:space="preserve"> </w:t>
      </w:r>
      <w:r w:rsidRPr="0096743D">
        <w:rPr>
          <w:sz w:val="20"/>
        </w:rPr>
        <w:t>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7C6385FB" w14:textId="77777777" w:rsidR="00BC5ACB" w:rsidRDefault="00BC5ACB" w:rsidP="00BC5ACB">
      <w:pPr>
        <w:ind w:left="360" w:hanging="360"/>
        <w:jc w:val="both"/>
        <w:rPr>
          <w:sz w:val="20"/>
        </w:rPr>
      </w:pPr>
    </w:p>
    <w:p w14:paraId="1117EA31" w14:textId="26AB107D" w:rsidR="00BC5ACB" w:rsidRDefault="00BC5ACB" w:rsidP="00BC5ACB">
      <w:pPr>
        <w:ind w:left="360" w:hanging="360"/>
        <w:jc w:val="both"/>
        <w:rPr>
          <w:b/>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7D2FBD">
        <w:rPr>
          <w:sz w:val="20"/>
        </w:rPr>
        <w:t>FG</w:t>
      </w:r>
      <w:r w:rsidR="004E0A63" w:rsidRPr="00A81225">
        <w:rPr>
          <w:sz w:val="20"/>
        </w:rPr>
        <w:t>MACTZZZZ</w:t>
      </w:r>
      <w:r w:rsidR="004E0A63" w:rsidRPr="00A81225">
        <w:rPr>
          <w:rFonts w:cs="Arial"/>
          <w:sz w:val="20"/>
        </w:rPr>
        <w:t>≤</w:t>
      </w:r>
      <w:r w:rsidR="004E0A63" w:rsidRPr="00A81225">
        <w:rPr>
          <w:sz w:val="20"/>
        </w:rPr>
        <w:t>500</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5D8024F4" w14:textId="77777777" w:rsidR="00BC5ACB" w:rsidRPr="004F2015" w:rsidRDefault="00BC5ACB" w:rsidP="00BC5ACB">
      <w:pPr>
        <w:ind w:left="360" w:hanging="360"/>
        <w:jc w:val="both"/>
        <w:rPr>
          <w:bCs/>
          <w:sz w:val="20"/>
        </w:rPr>
      </w:pPr>
    </w:p>
    <w:p w14:paraId="77245E92" w14:textId="44A41B19" w:rsidR="00BC5ACB" w:rsidRPr="00BD641D" w:rsidRDefault="00BC5ACB" w:rsidP="00BC5ACB">
      <w:pPr>
        <w:ind w:left="360" w:hanging="360"/>
        <w:jc w:val="both"/>
        <w:rPr>
          <w:bCs/>
          <w:sz w:val="20"/>
        </w:rPr>
      </w:pPr>
      <w:r>
        <w:rPr>
          <w:bCs/>
          <w:sz w:val="20"/>
        </w:rPr>
        <w:t>4.</w:t>
      </w:r>
      <w:r>
        <w:rPr>
          <w:bCs/>
          <w:sz w:val="20"/>
        </w:rPr>
        <w:tab/>
        <w:t>The permittee shall monitor and record, the total hours of operation for each engine in FG</w:t>
      </w:r>
      <w:r w:rsidR="00514668">
        <w:rPr>
          <w:bCs/>
          <w:sz w:val="20"/>
        </w:rPr>
        <w:t>MACTZZZZ</w:t>
      </w:r>
      <w:r w:rsidR="00514668">
        <w:rPr>
          <w:rFonts w:cs="Arial"/>
          <w:bCs/>
          <w:sz w:val="20"/>
        </w:rPr>
        <w:t>≤</w:t>
      </w:r>
      <w:r w:rsidR="00514668">
        <w:rPr>
          <w:bCs/>
          <w:sz w:val="20"/>
        </w:rPr>
        <w:t>500</w:t>
      </w:r>
      <w:r>
        <w:rPr>
          <w:bCs/>
          <w:sz w:val="20"/>
        </w:rPr>
        <w:t xml:space="preserve"> </w:t>
      </w:r>
      <w:proofErr w:type="gramStart"/>
      <w:r>
        <w:rPr>
          <w:bCs/>
          <w:sz w:val="20"/>
        </w:rPr>
        <w:t>on a monthly basis</w:t>
      </w:r>
      <w:proofErr w:type="gramEnd"/>
      <w:r>
        <w:rPr>
          <w:bCs/>
          <w:sz w:val="20"/>
        </w:rPr>
        <w:t xml:space="preserve">, and the hours of operation during emergency and non-emergency service that are recorded through the non-resettable hour meter for each engine in </w:t>
      </w:r>
      <w:r w:rsidRPr="007D2FBD">
        <w:rPr>
          <w:bCs/>
          <w:sz w:val="20"/>
        </w:rPr>
        <w:t>FG</w:t>
      </w:r>
      <w:r w:rsidR="00972641" w:rsidRPr="00A81225">
        <w:rPr>
          <w:bCs/>
          <w:sz w:val="20"/>
        </w:rPr>
        <w:t>MACTZZZZ</w:t>
      </w:r>
      <w:r w:rsidR="00972641" w:rsidRPr="00A81225">
        <w:rPr>
          <w:rFonts w:cs="Arial"/>
          <w:bCs/>
          <w:sz w:val="20"/>
        </w:rPr>
        <w:t>≤</w:t>
      </w:r>
      <w:r w:rsidR="00972641" w:rsidRPr="00A81225">
        <w:rPr>
          <w:bCs/>
          <w:sz w:val="20"/>
        </w:rPr>
        <w:t>500</w:t>
      </w:r>
      <w:r w:rsidRPr="00A81225">
        <w:rPr>
          <w:bCs/>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Pr>
          <w:sz w:val="20"/>
        </w:rPr>
        <w:t>The permittee shall keep all records on file and make them available to the department upon request.</w:t>
      </w:r>
      <w:r>
        <w:rPr>
          <w:bCs/>
          <w:sz w:val="20"/>
        </w:rPr>
        <w:t xml:space="preserve">  </w:t>
      </w:r>
      <w:r w:rsidRPr="00BD641D">
        <w:rPr>
          <w:b/>
          <w:sz w:val="20"/>
        </w:rPr>
        <w:t>(</w:t>
      </w:r>
      <w:r>
        <w:rPr>
          <w:b/>
          <w:sz w:val="20"/>
        </w:rPr>
        <w:t xml:space="preserve">R 336.1213(3), </w:t>
      </w:r>
      <w:r w:rsidRPr="00BD641D">
        <w:rPr>
          <w:b/>
          <w:sz w:val="20"/>
        </w:rPr>
        <w:t>40 CFR 63.6655(f), 40 CFR 63.6660)</w:t>
      </w:r>
    </w:p>
    <w:p w14:paraId="494CFFE6" w14:textId="77777777" w:rsidR="00BC5ACB" w:rsidRPr="004F2015" w:rsidRDefault="00BC5ACB" w:rsidP="00BC5ACB">
      <w:pPr>
        <w:ind w:left="360" w:hanging="360"/>
        <w:jc w:val="both"/>
        <w:rPr>
          <w:bCs/>
          <w:sz w:val="20"/>
        </w:rPr>
      </w:pPr>
    </w:p>
    <w:p w14:paraId="2A01F3F2" w14:textId="77777777" w:rsidR="00BC5ACB" w:rsidRDefault="00BC5ACB" w:rsidP="00BC5ACB">
      <w:pPr>
        <w:ind w:left="360" w:hanging="360"/>
        <w:jc w:val="both"/>
        <w:rPr>
          <w:b/>
          <w:sz w:val="20"/>
        </w:rPr>
      </w:pPr>
      <w:r>
        <w:rPr>
          <w:bCs/>
          <w:sz w:val="20"/>
        </w:rPr>
        <w:t>5</w:t>
      </w:r>
      <w:r w:rsidRPr="003D7A71">
        <w:rPr>
          <w:bCs/>
          <w:sz w:val="20"/>
        </w:rPr>
        <w:t>.</w:t>
      </w:r>
      <w:r w:rsidRPr="003D7A71">
        <w:rPr>
          <w:bCs/>
          <w:sz w:val="20"/>
        </w:rPr>
        <w:tab/>
      </w:r>
      <w:r>
        <w:rPr>
          <w:bCs/>
          <w:sz w:val="20"/>
        </w:rPr>
        <w:t xml:space="preserve">The permittee’s records must be in a form suitable and readily available for expeditious review according to 40 CFR 63.10(b)(1).  </w:t>
      </w:r>
      <w:r w:rsidRPr="003D7A71">
        <w:rPr>
          <w:b/>
          <w:sz w:val="20"/>
        </w:rPr>
        <w:t>(40 CFR 63.6660(a))</w:t>
      </w:r>
    </w:p>
    <w:p w14:paraId="27F85924" w14:textId="77777777" w:rsidR="00BC5ACB" w:rsidRPr="004F2015" w:rsidRDefault="00BC5ACB" w:rsidP="00BC5ACB">
      <w:pPr>
        <w:ind w:left="360" w:hanging="360"/>
        <w:jc w:val="both"/>
        <w:rPr>
          <w:bCs/>
          <w:sz w:val="20"/>
        </w:rPr>
      </w:pPr>
    </w:p>
    <w:p w14:paraId="7D8085D4" w14:textId="77777777" w:rsidR="00BC5ACB" w:rsidRPr="003D7A71" w:rsidRDefault="00BC5ACB" w:rsidP="00BC5ACB">
      <w:pPr>
        <w:ind w:left="360" w:hanging="360"/>
        <w:jc w:val="both"/>
        <w:rPr>
          <w:bCs/>
          <w:sz w:val="20"/>
        </w:rPr>
      </w:pPr>
      <w:r>
        <w:rPr>
          <w:bCs/>
          <w:sz w:val="20"/>
        </w:rPr>
        <w:t>6.</w:t>
      </w:r>
      <w:r>
        <w:rPr>
          <w:bCs/>
          <w:sz w:val="20"/>
        </w:rPr>
        <w:tab/>
        <w:t xml:space="preserve">As specified in 40 CFR 63.10(b)(1), the permittee must keep each record for 5-years following the date of each occurrence, measurement, maintenance, corrective action, report, or record.  </w:t>
      </w:r>
      <w:r w:rsidRPr="003D7A71">
        <w:rPr>
          <w:b/>
          <w:sz w:val="20"/>
        </w:rPr>
        <w:t>(40 CFR 63.6660(b))</w:t>
      </w:r>
    </w:p>
    <w:bookmarkEnd w:id="73"/>
    <w:p w14:paraId="469B085B" w14:textId="77777777" w:rsidR="00BC5ACB" w:rsidRPr="00FF27C7" w:rsidRDefault="00BC5ACB" w:rsidP="00BC5ACB">
      <w:pPr>
        <w:ind w:left="360" w:hanging="360"/>
        <w:jc w:val="both"/>
        <w:rPr>
          <w:sz w:val="20"/>
        </w:rPr>
      </w:pPr>
    </w:p>
    <w:p w14:paraId="449C6C17" w14:textId="77777777" w:rsidR="00BC5ACB" w:rsidRPr="002E62CB" w:rsidRDefault="00BC5ACB" w:rsidP="00BC5ACB">
      <w:pPr>
        <w:ind w:left="540" w:hanging="540"/>
        <w:jc w:val="both"/>
        <w:rPr>
          <w:b/>
          <w:szCs w:val="22"/>
          <w:u w:val="single"/>
        </w:rPr>
      </w:pPr>
      <w:r w:rsidRPr="002E62CB">
        <w:rPr>
          <w:b/>
          <w:szCs w:val="22"/>
        </w:rPr>
        <w:t xml:space="preserve">VII.  </w:t>
      </w:r>
      <w:r w:rsidRPr="002E62CB">
        <w:rPr>
          <w:b/>
          <w:szCs w:val="22"/>
          <w:u w:val="single"/>
        </w:rPr>
        <w:t>REPORTING</w:t>
      </w:r>
    </w:p>
    <w:p w14:paraId="3FEB90D0" w14:textId="77777777" w:rsidR="00BC5ACB" w:rsidRPr="004F2015" w:rsidRDefault="00BC5ACB" w:rsidP="00BC5ACB">
      <w:pPr>
        <w:jc w:val="both"/>
        <w:rPr>
          <w:rFonts w:cs="Arial"/>
          <w:bCs/>
          <w:sz w:val="20"/>
        </w:rPr>
      </w:pPr>
    </w:p>
    <w:p w14:paraId="2CABFBE5" w14:textId="77777777" w:rsidR="00BC5ACB" w:rsidRDefault="00BC5ACB" w:rsidP="00BC5AC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CEB5CF4" w14:textId="77777777" w:rsidR="00BC5ACB" w:rsidRPr="00C0388E" w:rsidRDefault="00BC5ACB" w:rsidP="00BC5ACB">
      <w:pPr>
        <w:ind w:left="360" w:hanging="360"/>
        <w:jc w:val="both"/>
        <w:rPr>
          <w:sz w:val="20"/>
        </w:rPr>
      </w:pPr>
    </w:p>
    <w:p w14:paraId="4C59D189" w14:textId="77777777" w:rsidR="00BC5ACB" w:rsidRDefault="00BC5ACB" w:rsidP="00BC5AC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CC846E4" w14:textId="77777777" w:rsidR="00BC5ACB" w:rsidRPr="00C0388E" w:rsidRDefault="00BC5ACB" w:rsidP="00BC5ACB">
      <w:pPr>
        <w:ind w:left="360" w:hanging="360"/>
        <w:jc w:val="both"/>
        <w:rPr>
          <w:sz w:val="20"/>
        </w:rPr>
      </w:pPr>
    </w:p>
    <w:p w14:paraId="1A5475AB" w14:textId="77777777" w:rsidR="00BC5ACB" w:rsidRPr="00C0388E" w:rsidRDefault="00BC5ACB" w:rsidP="00BC5AC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532D69F" w14:textId="77777777" w:rsidR="00BC5ACB" w:rsidRPr="004F2015" w:rsidRDefault="00BC5ACB" w:rsidP="00BC5ACB">
      <w:pPr>
        <w:pStyle w:val="BodyTextIndent2"/>
        <w:spacing w:after="0" w:line="240" w:lineRule="auto"/>
        <w:ind w:left="0"/>
        <w:jc w:val="both"/>
        <w:rPr>
          <w:rFonts w:cs="Arial"/>
          <w:bCs/>
          <w:sz w:val="20"/>
        </w:rPr>
      </w:pPr>
      <w:bookmarkStart w:id="74" w:name="_Hlk44407666"/>
    </w:p>
    <w:bookmarkEnd w:id="74"/>
    <w:p w14:paraId="6F3CD59C" w14:textId="549770EF" w:rsidR="00BC5ACB" w:rsidRDefault="00BC5ACB" w:rsidP="00BC5ACB">
      <w:pPr>
        <w:jc w:val="both"/>
        <w:rPr>
          <w:rFonts w:cs="Arial"/>
          <w:b/>
          <w:bCs/>
          <w:sz w:val="20"/>
        </w:rPr>
      </w:pPr>
      <w:r>
        <w:rPr>
          <w:rFonts w:cs="Arial"/>
          <w:b/>
          <w:bCs/>
          <w:sz w:val="20"/>
        </w:rPr>
        <w:t xml:space="preserve">See Appendix 8 </w:t>
      </w:r>
    </w:p>
    <w:p w14:paraId="0BDBC5C6" w14:textId="225D3DB4" w:rsidR="00391165" w:rsidRDefault="00391165" w:rsidP="00BC5ACB">
      <w:pPr>
        <w:jc w:val="both"/>
        <w:rPr>
          <w:rFonts w:cs="Arial"/>
          <w:sz w:val="20"/>
        </w:rPr>
      </w:pPr>
      <w:r>
        <w:rPr>
          <w:rFonts w:cs="Arial"/>
          <w:sz w:val="20"/>
        </w:rPr>
        <w:br w:type="page"/>
      </w:r>
    </w:p>
    <w:p w14:paraId="6E14EF57" w14:textId="77777777" w:rsidR="00BC5ACB" w:rsidRPr="004F2015" w:rsidRDefault="00BC5ACB" w:rsidP="00BC5ACB">
      <w:pPr>
        <w:jc w:val="both"/>
        <w:rPr>
          <w:rFonts w:cs="Arial"/>
          <w:sz w:val="20"/>
        </w:rPr>
      </w:pPr>
    </w:p>
    <w:p w14:paraId="093EF967" w14:textId="77777777" w:rsidR="00BC5ACB" w:rsidRPr="002E62CB" w:rsidRDefault="00BC5ACB" w:rsidP="00BC5ACB">
      <w:pPr>
        <w:jc w:val="both"/>
        <w:rPr>
          <w:szCs w:val="22"/>
        </w:rPr>
      </w:pPr>
      <w:r w:rsidRPr="002E62CB">
        <w:rPr>
          <w:b/>
          <w:szCs w:val="22"/>
        </w:rPr>
        <w:t xml:space="preserve">VIII.  </w:t>
      </w:r>
      <w:r w:rsidRPr="002E62CB">
        <w:rPr>
          <w:b/>
          <w:szCs w:val="22"/>
          <w:u w:val="single"/>
        </w:rPr>
        <w:t>STACK/VENT RESTRICTIONS</w:t>
      </w:r>
    </w:p>
    <w:p w14:paraId="4FF287EF" w14:textId="77777777" w:rsidR="00BC5ACB" w:rsidRPr="00FF27C7" w:rsidRDefault="00BC5ACB" w:rsidP="00BC5ACB">
      <w:pPr>
        <w:jc w:val="both"/>
        <w:rPr>
          <w:sz w:val="20"/>
        </w:rPr>
      </w:pPr>
    </w:p>
    <w:p w14:paraId="2655B969" w14:textId="77777777" w:rsidR="00BC5ACB" w:rsidRDefault="00BC5ACB" w:rsidP="00BC5ACB">
      <w:pPr>
        <w:ind w:left="360" w:hanging="360"/>
        <w:jc w:val="both"/>
        <w:rPr>
          <w:sz w:val="20"/>
        </w:rPr>
      </w:pPr>
      <w:r>
        <w:rPr>
          <w:sz w:val="20"/>
        </w:rPr>
        <w:t>NA</w:t>
      </w:r>
    </w:p>
    <w:p w14:paraId="41B6C5F7" w14:textId="77777777" w:rsidR="00BC5ACB" w:rsidRDefault="00BC5ACB" w:rsidP="00BC5ACB">
      <w:pPr>
        <w:ind w:left="360" w:hanging="360"/>
        <w:jc w:val="both"/>
        <w:rPr>
          <w:sz w:val="20"/>
        </w:rPr>
      </w:pPr>
    </w:p>
    <w:p w14:paraId="1BD55FE3" w14:textId="77777777" w:rsidR="00BC5ACB" w:rsidRPr="002E62CB" w:rsidRDefault="00BC5ACB" w:rsidP="00BC5ACB">
      <w:pPr>
        <w:ind w:left="540" w:hanging="540"/>
        <w:jc w:val="both"/>
        <w:rPr>
          <w:szCs w:val="22"/>
        </w:rPr>
      </w:pPr>
      <w:r w:rsidRPr="002E62CB">
        <w:rPr>
          <w:b/>
          <w:szCs w:val="22"/>
        </w:rPr>
        <w:t xml:space="preserve">IX.  </w:t>
      </w:r>
      <w:r w:rsidRPr="002E62CB">
        <w:rPr>
          <w:b/>
          <w:szCs w:val="22"/>
          <w:u w:val="single"/>
        </w:rPr>
        <w:t>OTHER REQUIREMENTS</w:t>
      </w:r>
      <w:r w:rsidRPr="002E62CB">
        <w:rPr>
          <w:vanish/>
          <w:color w:val="0000FF"/>
          <w:szCs w:val="22"/>
        </w:rPr>
        <w:t xml:space="preserve">  </w:t>
      </w:r>
    </w:p>
    <w:p w14:paraId="63CC420F" w14:textId="77777777" w:rsidR="00BC5ACB" w:rsidRDefault="00BC5ACB" w:rsidP="00BC5ACB">
      <w:pPr>
        <w:ind w:left="360" w:hanging="360"/>
        <w:jc w:val="both"/>
        <w:rPr>
          <w:sz w:val="20"/>
        </w:rPr>
      </w:pPr>
    </w:p>
    <w:p w14:paraId="2E0F14F0" w14:textId="77777777" w:rsidR="00BC5ACB" w:rsidRPr="0019584E" w:rsidRDefault="00BC5ACB" w:rsidP="00BC5ACB">
      <w:pPr>
        <w:ind w:left="360" w:hanging="360"/>
        <w:jc w:val="both"/>
        <w:rPr>
          <w:b/>
          <w:sz w:val="20"/>
        </w:rPr>
      </w:pPr>
      <w:bookmarkStart w:id="75" w:name="_Hlk44407708"/>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bookmarkEnd w:id="75"/>
    <w:p w14:paraId="4B4842A9" w14:textId="53051D9E" w:rsidR="00391165" w:rsidRDefault="00391165" w:rsidP="008427BE">
      <w:pPr>
        <w:jc w:val="both"/>
        <w:rPr>
          <w:sz w:val="20"/>
        </w:rPr>
      </w:pPr>
      <w:r>
        <w:rPr>
          <w:sz w:val="20"/>
        </w:rPr>
        <w:br w:type="page"/>
      </w:r>
    </w:p>
    <w:p w14:paraId="126A8315" w14:textId="342ECB5A" w:rsidR="008737B6" w:rsidRPr="00DD2024" w:rsidRDefault="008737B6" w:rsidP="00761B60">
      <w:pPr>
        <w:pStyle w:val="Heading2"/>
        <w:pBdr>
          <w:top w:val="single" w:sz="4" w:space="0" w:color="auto"/>
          <w:left w:val="single" w:sz="4" w:space="4" w:color="auto"/>
          <w:bottom w:val="single" w:sz="4" w:space="1" w:color="auto"/>
          <w:right w:val="single" w:sz="4" w:space="4" w:color="auto"/>
        </w:pBdr>
        <w:rPr>
          <w:i/>
        </w:rPr>
      </w:pPr>
      <w:bookmarkStart w:id="76" w:name="_Toc852399"/>
      <w:bookmarkStart w:id="77" w:name="_Toc852730"/>
      <w:bookmarkStart w:id="78" w:name="_Toc8785176"/>
      <w:bookmarkStart w:id="79" w:name="_Toc222301479"/>
      <w:bookmarkStart w:id="80" w:name="_Toc179797551"/>
      <w:bookmarkStart w:id="81" w:name="_Toc1453518"/>
      <w:bookmarkEnd w:id="53"/>
      <w:bookmarkEnd w:id="54"/>
      <w:bookmarkEnd w:id="55"/>
      <w:r w:rsidRPr="00DD2024">
        <w:lastRenderedPageBreak/>
        <w:t>FG</w:t>
      </w:r>
      <w:bookmarkEnd w:id="76"/>
      <w:bookmarkEnd w:id="77"/>
      <w:bookmarkEnd w:id="78"/>
      <w:bookmarkEnd w:id="79"/>
      <w:r w:rsidRPr="00DD2024">
        <w:t>RULE285</w:t>
      </w:r>
      <w:r>
        <w:t>(2)</w:t>
      </w:r>
      <w:r w:rsidRPr="00DD2024">
        <w:t>(m</w:t>
      </w:r>
      <w:r>
        <w:t>m</w:t>
      </w:r>
      <w:r w:rsidRPr="00DD2024">
        <w:t>)</w:t>
      </w:r>
      <w:bookmarkEnd w:id="80"/>
    </w:p>
    <w:p w14:paraId="1B336B16" w14:textId="77777777" w:rsidR="008737B6" w:rsidRPr="00DD2024" w:rsidRDefault="008737B6" w:rsidP="00761B60">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1E9FF626" w14:textId="77777777" w:rsidR="008737B6" w:rsidRPr="00DD2024" w:rsidRDefault="008737B6" w:rsidP="00761B60">
      <w:pPr>
        <w:rPr>
          <w:sz w:val="20"/>
        </w:rPr>
      </w:pPr>
    </w:p>
    <w:p w14:paraId="0065D1F6" w14:textId="77777777" w:rsidR="008737B6" w:rsidRPr="00C130E1" w:rsidRDefault="008737B6" w:rsidP="000B33D3">
      <w:pPr>
        <w:jc w:val="both"/>
        <w:rPr>
          <w:u w:val="single"/>
        </w:rPr>
      </w:pPr>
      <w:r w:rsidRPr="00DD2024">
        <w:rPr>
          <w:b/>
          <w:u w:val="single"/>
        </w:rPr>
        <w:t>DESCRIPTION</w:t>
      </w:r>
    </w:p>
    <w:p w14:paraId="5D348CFA" w14:textId="77777777" w:rsidR="008737B6" w:rsidRPr="00DD2024" w:rsidRDefault="008737B6" w:rsidP="000B33D3">
      <w:pPr>
        <w:jc w:val="both"/>
      </w:pPr>
    </w:p>
    <w:p w14:paraId="44113F05" w14:textId="77777777" w:rsidR="008737B6" w:rsidRPr="00200A6E" w:rsidRDefault="008737B6" w:rsidP="00C1333A">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64AB6FC4" w14:textId="77777777" w:rsidR="008737B6" w:rsidRPr="00DD2024" w:rsidRDefault="008737B6" w:rsidP="00A47464">
      <w:pPr>
        <w:jc w:val="both"/>
        <w:rPr>
          <w:sz w:val="20"/>
        </w:rPr>
      </w:pPr>
    </w:p>
    <w:p w14:paraId="1FEBA0F3" w14:textId="5DE5E8BA" w:rsidR="008737B6" w:rsidRPr="00391165" w:rsidRDefault="008737B6" w:rsidP="00672A21">
      <w:pPr>
        <w:jc w:val="both"/>
        <w:rPr>
          <w:rFonts w:ascii="Arial Bold" w:hAnsi="Arial Bold" w:cs="Arial"/>
          <w:bCs/>
          <w:sz w:val="20"/>
        </w:rPr>
      </w:pPr>
      <w:r w:rsidRPr="00DD2024">
        <w:rPr>
          <w:b/>
          <w:sz w:val="20"/>
        </w:rPr>
        <w:t>Emission Unit</w:t>
      </w:r>
      <w:r w:rsidRPr="00391165">
        <w:rPr>
          <w:b/>
          <w:sz w:val="20"/>
        </w:rPr>
        <w:t>:</w:t>
      </w:r>
      <w:r w:rsidRPr="00391165">
        <w:rPr>
          <w:rFonts w:cs="Arial"/>
          <w:b/>
          <w:sz w:val="20"/>
        </w:rPr>
        <w:t xml:space="preserve">  </w:t>
      </w:r>
      <w:r w:rsidR="00F55A47" w:rsidRPr="00391165">
        <w:rPr>
          <w:rFonts w:cs="Arial"/>
          <w:bCs/>
          <w:sz w:val="20"/>
        </w:rPr>
        <w:t>EUPIPEMAINT</w:t>
      </w:r>
    </w:p>
    <w:p w14:paraId="2D8A4F96" w14:textId="77777777" w:rsidR="008737B6" w:rsidRPr="00814563" w:rsidRDefault="008737B6" w:rsidP="000B33D3">
      <w:pPr>
        <w:jc w:val="both"/>
        <w:rPr>
          <w:sz w:val="20"/>
        </w:rPr>
      </w:pPr>
    </w:p>
    <w:p w14:paraId="2E1C0802" w14:textId="77777777" w:rsidR="008737B6" w:rsidRPr="00DD2024" w:rsidRDefault="008737B6" w:rsidP="000B33D3">
      <w:pPr>
        <w:jc w:val="both"/>
        <w:rPr>
          <w:b/>
          <w:sz w:val="20"/>
          <w:u w:val="single"/>
        </w:rPr>
      </w:pPr>
      <w:bookmarkStart w:id="82" w:name="_Toc222301474"/>
      <w:r w:rsidRPr="00DD2024">
        <w:rPr>
          <w:b/>
          <w:u w:val="single"/>
        </w:rPr>
        <w:t>POLLUTION CONTROL EQUIPMENT</w:t>
      </w:r>
    </w:p>
    <w:p w14:paraId="046BF864" w14:textId="77777777" w:rsidR="008737B6" w:rsidRPr="00DD2024" w:rsidRDefault="008737B6" w:rsidP="000B33D3">
      <w:pPr>
        <w:jc w:val="both"/>
        <w:rPr>
          <w:sz w:val="20"/>
        </w:rPr>
      </w:pPr>
    </w:p>
    <w:p w14:paraId="3D24C8A1" w14:textId="77777777" w:rsidR="008737B6" w:rsidRPr="00DD2024" w:rsidRDefault="008737B6" w:rsidP="00EE6FA5">
      <w:pPr>
        <w:jc w:val="both"/>
        <w:rPr>
          <w:sz w:val="20"/>
        </w:rPr>
      </w:pPr>
      <w:r w:rsidRPr="00DD2024">
        <w:rPr>
          <w:sz w:val="20"/>
        </w:rPr>
        <w:t>NA</w:t>
      </w:r>
    </w:p>
    <w:p w14:paraId="47319A16" w14:textId="77777777" w:rsidR="008737B6" w:rsidRPr="00DD2024" w:rsidRDefault="008737B6" w:rsidP="000B33D3">
      <w:pPr>
        <w:jc w:val="both"/>
        <w:rPr>
          <w:sz w:val="20"/>
        </w:rPr>
      </w:pPr>
    </w:p>
    <w:p w14:paraId="54F1106A" w14:textId="77777777" w:rsidR="008737B6" w:rsidRPr="00DD2024" w:rsidRDefault="008737B6" w:rsidP="000B33D3">
      <w:pPr>
        <w:jc w:val="both"/>
        <w:rPr>
          <w:b/>
          <w:sz w:val="20"/>
          <w:u w:val="single"/>
        </w:rPr>
      </w:pPr>
      <w:r w:rsidRPr="00DD2024">
        <w:rPr>
          <w:b/>
        </w:rPr>
        <w:t xml:space="preserve">I.  </w:t>
      </w:r>
      <w:r w:rsidRPr="00DD2024">
        <w:rPr>
          <w:b/>
          <w:u w:val="single"/>
        </w:rPr>
        <w:t>EMISSION LIMIT(S)</w:t>
      </w:r>
    </w:p>
    <w:p w14:paraId="3F0F84DB" w14:textId="77777777" w:rsidR="008737B6" w:rsidRPr="00DD2024" w:rsidRDefault="008737B6" w:rsidP="000B33D3">
      <w:pPr>
        <w:jc w:val="both"/>
        <w:rPr>
          <w:sz w:val="20"/>
        </w:rPr>
      </w:pPr>
    </w:p>
    <w:p w14:paraId="516890F0" w14:textId="77777777" w:rsidR="008737B6" w:rsidRPr="00DD2024" w:rsidRDefault="008737B6" w:rsidP="00EE6FA5">
      <w:pPr>
        <w:jc w:val="both"/>
        <w:rPr>
          <w:sz w:val="20"/>
        </w:rPr>
      </w:pPr>
      <w:r w:rsidRPr="00DD2024">
        <w:rPr>
          <w:sz w:val="20"/>
        </w:rPr>
        <w:t>NA</w:t>
      </w:r>
    </w:p>
    <w:p w14:paraId="338D16B0" w14:textId="77777777" w:rsidR="008737B6" w:rsidRPr="00DD2024" w:rsidRDefault="008737B6" w:rsidP="000B33D3">
      <w:pPr>
        <w:jc w:val="both"/>
        <w:rPr>
          <w:sz w:val="20"/>
        </w:rPr>
      </w:pPr>
    </w:p>
    <w:p w14:paraId="46AC2D10" w14:textId="77777777" w:rsidR="008737B6" w:rsidRPr="00DD2024" w:rsidRDefault="008737B6" w:rsidP="000B33D3">
      <w:pPr>
        <w:jc w:val="both"/>
        <w:rPr>
          <w:b/>
          <w:u w:val="single"/>
        </w:rPr>
      </w:pPr>
      <w:r w:rsidRPr="00DD2024">
        <w:rPr>
          <w:b/>
        </w:rPr>
        <w:t xml:space="preserve">II.  </w:t>
      </w:r>
      <w:r w:rsidRPr="00DD2024">
        <w:rPr>
          <w:b/>
          <w:u w:val="single"/>
        </w:rPr>
        <w:t>MATERIAL LIMIT(S)</w:t>
      </w:r>
    </w:p>
    <w:p w14:paraId="56499175" w14:textId="77777777" w:rsidR="008737B6" w:rsidRPr="00DD2024" w:rsidRDefault="008737B6" w:rsidP="000B33D3">
      <w:pPr>
        <w:jc w:val="both"/>
        <w:rPr>
          <w:sz w:val="20"/>
        </w:rPr>
      </w:pPr>
    </w:p>
    <w:p w14:paraId="5F5E1CC1" w14:textId="77777777" w:rsidR="008737B6" w:rsidRDefault="008737B6" w:rsidP="00EE6FA5">
      <w:pPr>
        <w:jc w:val="both"/>
        <w:rPr>
          <w:sz w:val="20"/>
        </w:rPr>
      </w:pPr>
      <w:r w:rsidRPr="00DD2024">
        <w:rPr>
          <w:sz w:val="20"/>
        </w:rPr>
        <w:t>NA</w:t>
      </w:r>
    </w:p>
    <w:p w14:paraId="3881FD7E" w14:textId="77777777" w:rsidR="008737B6" w:rsidRPr="00DD2024" w:rsidRDefault="008737B6" w:rsidP="00662D1A">
      <w:pPr>
        <w:jc w:val="both"/>
        <w:rPr>
          <w:sz w:val="20"/>
        </w:rPr>
      </w:pPr>
    </w:p>
    <w:p w14:paraId="6DE69B65" w14:textId="77777777" w:rsidR="008737B6" w:rsidRPr="00DD2024" w:rsidRDefault="008737B6" w:rsidP="000B33D3">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20087199" w14:textId="77777777" w:rsidR="008737B6" w:rsidRPr="00DD2024" w:rsidRDefault="008737B6" w:rsidP="000B33D3">
      <w:pPr>
        <w:jc w:val="both"/>
        <w:rPr>
          <w:sz w:val="20"/>
        </w:rPr>
      </w:pPr>
    </w:p>
    <w:p w14:paraId="7EFACD60" w14:textId="77777777" w:rsidR="008737B6" w:rsidRPr="00C130E1" w:rsidRDefault="008737B6" w:rsidP="006816F7">
      <w:pPr>
        <w:numPr>
          <w:ilvl w:val="0"/>
          <w:numId w:val="25"/>
        </w:numPr>
        <w:jc w:val="both"/>
        <w:rPr>
          <w:sz w:val="20"/>
        </w:rPr>
      </w:pPr>
      <w:r w:rsidRPr="005A3610">
        <w:rPr>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Pr="001E6F5E">
        <w:rPr>
          <w:b/>
          <w:sz w:val="20"/>
        </w:rPr>
        <w:t>(R</w:t>
      </w:r>
      <w:r>
        <w:rPr>
          <w:b/>
          <w:sz w:val="20"/>
        </w:rPr>
        <w:t> </w:t>
      </w:r>
      <w:r w:rsidRPr="001E6F5E">
        <w:rPr>
          <w:b/>
          <w:sz w:val="20"/>
        </w:rPr>
        <w:t>336.1285</w:t>
      </w:r>
      <w:r>
        <w:rPr>
          <w:b/>
          <w:sz w:val="20"/>
        </w:rPr>
        <w:t>(2)</w:t>
      </w:r>
      <w:r w:rsidRPr="001E6F5E">
        <w:rPr>
          <w:b/>
          <w:sz w:val="20"/>
        </w:rPr>
        <w:t>(mm)(ii)(B))</w:t>
      </w:r>
    </w:p>
    <w:p w14:paraId="36064EBA" w14:textId="77777777" w:rsidR="008737B6" w:rsidRPr="00DD2024" w:rsidRDefault="008737B6" w:rsidP="000B33D3">
      <w:pPr>
        <w:jc w:val="both"/>
        <w:rPr>
          <w:sz w:val="20"/>
        </w:rPr>
      </w:pPr>
    </w:p>
    <w:p w14:paraId="2B06FA0E" w14:textId="77777777" w:rsidR="008737B6" w:rsidRPr="00DD2024" w:rsidRDefault="008737B6" w:rsidP="000B33D3">
      <w:pPr>
        <w:jc w:val="both"/>
        <w:rPr>
          <w:b/>
          <w:sz w:val="20"/>
          <w:u w:val="single"/>
        </w:rPr>
      </w:pPr>
      <w:r w:rsidRPr="00DD2024">
        <w:rPr>
          <w:b/>
        </w:rPr>
        <w:t xml:space="preserve">IV.  </w:t>
      </w:r>
      <w:r w:rsidRPr="00DD2024">
        <w:rPr>
          <w:b/>
          <w:u w:val="single"/>
        </w:rPr>
        <w:t>DESIGN/EQUIPMENT PARAMETER(S)</w:t>
      </w:r>
    </w:p>
    <w:p w14:paraId="45B3C5AD" w14:textId="77777777" w:rsidR="008737B6" w:rsidRPr="00814563" w:rsidRDefault="008737B6" w:rsidP="000B33D3">
      <w:pPr>
        <w:jc w:val="both"/>
        <w:rPr>
          <w:i/>
          <w:sz w:val="20"/>
          <w:u w:val="single"/>
        </w:rPr>
      </w:pPr>
    </w:p>
    <w:p w14:paraId="1CB3487B" w14:textId="77777777" w:rsidR="008737B6" w:rsidRPr="00DD2024" w:rsidRDefault="008737B6" w:rsidP="00EE6FA5">
      <w:pPr>
        <w:jc w:val="both"/>
        <w:rPr>
          <w:sz w:val="20"/>
        </w:rPr>
      </w:pPr>
      <w:r w:rsidRPr="00DD2024">
        <w:rPr>
          <w:sz w:val="20"/>
        </w:rPr>
        <w:t>NA</w:t>
      </w:r>
    </w:p>
    <w:p w14:paraId="24F046DD" w14:textId="77777777" w:rsidR="008737B6" w:rsidRPr="00DD2024" w:rsidRDefault="008737B6" w:rsidP="000B33D3">
      <w:pPr>
        <w:jc w:val="both"/>
        <w:rPr>
          <w:sz w:val="20"/>
        </w:rPr>
      </w:pPr>
    </w:p>
    <w:p w14:paraId="30DB5E42" w14:textId="77777777" w:rsidR="008737B6" w:rsidRPr="00DD2024" w:rsidRDefault="008737B6" w:rsidP="000B33D3">
      <w:pPr>
        <w:jc w:val="both"/>
        <w:rPr>
          <w:b/>
          <w:sz w:val="20"/>
          <w:u w:val="single"/>
        </w:rPr>
      </w:pPr>
      <w:r w:rsidRPr="00DD2024">
        <w:rPr>
          <w:b/>
        </w:rPr>
        <w:t xml:space="preserve">V.  </w:t>
      </w:r>
      <w:r w:rsidRPr="00DD2024">
        <w:rPr>
          <w:b/>
          <w:u w:val="single"/>
        </w:rPr>
        <w:t>TESTING/SAMPLING</w:t>
      </w:r>
    </w:p>
    <w:p w14:paraId="6ABBD8E0" w14:textId="77777777" w:rsidR="008737B6" w:rsidRPr="00DD2024" w:rsidRDefault="008737B6" w:rsidP="0045607C">
      <w:pPr>
        <w:jc w:val="both"/>
        <w:rPr>
          <w:sz w:val="20"/>
        </w:rPr>
      </w:pPr>
      <w:r w:rsidRPr="00DD2024">
        <w:rPr>
          <w:sz w:val="20"/>
        </w:rPr>
        <w:t xml:space="preserve">Records shall be maintained on file for a period of five years.  </w:t>
      </w:r>
      <w:r w:rsidRPr="00DD2024">
        <w:rPr>
          <w:b/>
          <w:sz w:val="20"/>
        </w:rPr>
        <w:t>(R 336.1213(3)(b)(ii))</w:t>
      </w:r>
    </w:p>
    <w:p w14:paraId="437BED7B" w14:textId="77777777" w:rsidR="008737B6" w:rsidRPr="00DD2024" w:rsidRDefault="008737B6" w:rsidP="000B33D3">
      <w:pPr>
        <w:jc w:val="both"/>
        <w:rPr>
          <w:sz w:val="20"/>
        </w:rPr>
      </w:pPr>
    </w:p>
    <w:p w14:paraId="045254F0" w14:textId="77777777" w:rsidR="008737B6" w:rsidRPr="00DD2024" w:rsidRDefault="008737B6" w:rsidP="00EE6FA5">
      <w:pPr>
        <w:jc w:val="both"/>
        <w:rPr>
          <w:sz w:val="20"/>
        </w:rPr>
      </w:pPr>
      <w:r w:rsidRPr="00DD2024">
        <w:rPr>
          <w:sz w:val="20"/>
        </w:rPr>
        <w:t>NA</w:t>
      </w:r>
    </w:p>
    <w:p w14:paraId="65913914" w14:textId="77777777" w:rsidR="008737B6" w:rsidRPr="00DD2024" w:rsidRDefault="008737B6" w:rsidP="000B33D3">
      <w:pPr>
        <w:jc w:val="both"/>
      </w:pPr>
    </w:p>
    <w:p w14:paraId="0F478F75" w14:textId="77777777" w:rsidR="008737B6" w:rsidRPr="00DD2024" w:rsidRDefault="008737B6" w:rsidP="000B33D3">
      <w:pPr>
        <w:jc w:val="both"/>
        <w:rPr>
          <w:b/>
          <w:u w:val="single"/>
        </w:rPr>
      </w:pPr>
      <w:r w:rsidRPr="00DD2024">
        <w:rPr>
          <w:b/>
        </w:rPr>
        <w:t xml:space="preserve">VI.  </w:t>
      </w:r>
      <w:r w:rsidRPr="00DD2024">
        <w:rPr>
          <w:b/>
          <w:u w:val="single"/>
        </w:rPr>
        <w:t>MONITORING/RECORDKEEPING</w:t>
      </w:r>
    </w:p>
    <w:p w14:paraId="47573127" w14:textId="77777777" w:rsidR="008737B6" w:rsidRPr="00DD2024" w:rsidRDefault="008737B6" w:rsidP="0045607C">
      <w:pPr>
        <w:jc w:val="both"/>
        <w:rPr>
          <w:sz w:val="20"/>
        </w:rPr>
      </w:pPr>
      <w:r w:rsidRPr="00DD2024">
        <w:rPr>
          <w:sz w:val="20"/>
        </w:rPr>
        <w:t xml:space="preserve">Records shall be maintained on file for a period of five years.  </w:t>
      </w:r>
      <w:r w:rsidRPr="00DD2024">
        <w:rPr>
          <w:b/>
          <w:sz w:val="20"/>
        </w:rPr>
        <w:t>(R 336.1213(3)(b)(ii))</w:t>
      </w:r>
    </w:p>
    <w:p w14:paraId="7705811A" w14:textId="77777777" w:rsidR="008737B6" w:rsidRPr="00DD2024" w:rsidRDefault="008737B6" w:rsidP="000B33D3">
      <w:pPr>
        <w:jc w:val="both"/>
        <w:rPr>
          <w:sz w:val="20"/>
        </w:rPr>
      </w:pPr>
    </w:p>
    <w:p w14:paraId="2936BDC7" w14:textId="77777777" w:rsidR="008737B6" w:rsidRPr="00DD2024" w:rsidRDefault="008737B6" w:rsidP="00EE6FA5">
      <w:pPr>
        <w:jc w:val="both"/>
        <w:rPr>
          <w:sz w:val="20"/>
        </w:rPr>
      </w:pPr>
      <w:r w:rsidRPr="00DD2024">
        <w:rPr>
          <w:sz w:val="20"/>
        </w:rPr>
        <w:t>NA</w:t>
      </w:r>
    </w:p>
    <w:p w14:paraId="341B5489" w14:textId="77777777" w:rsidR="008737B6" w:rsidRPr="00633438" w:rsidRDefault="008737B6" w:rsidP="000B33D3">
      <w:pPr>
        <w:jc w:val="both"/>
      </w:pPr>
    </w:p>
    <w:p w14:paraId="1786CC10" w14:textId="77777777" w:rsidR="008737B6" w:rsidRPr="00DD2024" w:rsidRDefault="008737B6" w:rsidP="000B33D3">
      <w:pPr>
        <w:jc w:val="both"/>
        <w:rPr>
          <w:b/>
          <w:sz w:val="20"/>
          <w:u w:val="single"/>
        </w:rPr>
      </w:pPr>
      <w:r w:rsidRPr="00DD2024">
        <w:rPr>
          <w:b/>
        </w:rPr>
        <w:t xml:space="preserve">VII.  </w:t>
      </w:r>
      <w:r w:rsidRPr="00DD2024">
        <w:rPr>
          <w:b/>
          <w:u w:val="single"/>
        </w:rPr>
        <w:t>REPORTING</w:t>
      </w:r>
    </w:p>
    <w:p w14:paraId="294F2F72" w14:textId="77777777" w:rsidR="008737B6" w:rsidRPr="00DD2024" w:rsidRDefault="008737B6" w:rsidP="000B33D3">
      <w:pPr>
        <w:jc w:val="both"/>
        <w:rPr>
          <w:sz w:val="20"/>
        </w:rPr>
      </w:pPr>
    </w:p>
    <w:p w14:paraId="5DDBF3A4" w14:textId="77777777" w:rsidR="008737B6" w:rsidRPr="00DD2024" w:rsidRDefault="008737B6" w:rsidP="000B33D3">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5A1EC281" w14:textId="77777777" w:rsidR="008737B6" w:rsidRPr="00DD2024" w:rsidRDefault="008737B6" w:rsidP="000B33D3">
      <w:pPr>
        <w:ind w:left="360" w:hanging="360"/>
        <w:jc w:val="both"/>
        <w:rPr>
          <w:sz w:val="20"/>
        </w:rPr>
      </w:pPr>
    </w:p>
    <w:p w14:paraId="6918A63A" w14:textId="77777777" w:rsidR="008737B6" w:rsidRPr="00DD2024" w:rsidRDefault="008737B6" w:rsidP="006816F7">
      <w:pPr>
        <w:numPr>
          <w:ilvl w:val="0"/>
          <w:numId w:val="30"/>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w:t>
      </w:r>
      <w:proofErr w:type="spellStart"/>
      <w:r w:rsidRPr="00DD2024">
        <w:rPr>
          <w:b/>
          <w:sz w:val="20"/>
        </w:rPr>
        <w:t>i</w:t>
      </w:r>
      <w:proofErr w:type="spellEnd"/>
      <w:r w:rsidRPr="00DD2024">
        <w:rPr>
          <w:b/>
          <w:sz w:val="20"/>
        </w:rPr>
        <w:t>))</w:t>
      </w:r>
    </w:p>
    <w:p w14:paraId="71ADF754" w14:textId="77777777" w:rsidR="008737B6" w:rsidRPr="00814563" w:rsidRDefault="008737B6" w:rsidP="000B33D3">
      <w:pPr>
        <w:jc w:val="both"/>
        <w:rPr>
          <w:sz w:val="20"/>
        </w:rPr>
      </w:pPr>
    </w:p>
    <w:p w14:paraId="39F63FD0" w14:textId="77777777" w:rsidR="008737B6" w:rsidRPr="00DD2024" w:rsidRDefault="008737B6" w:rsidP="006816F7">
      <w:pPr>
        <w:numPr>
          <w:ilvl w:val="0"/>
          <w:numId w:val="30"/>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4E3DB3BB" w14:textId="77777777" w:rsidR="008737B6" w:rsidRPr="00633438" w:rsidRDefault="008737B6" w:rsidP="000B33D3">
      <w:pPr>
        <w:jc w:val="both"/>
        <w:rPr>
          <w:sz w:val="20"/>
        </w:rPr>
      </w:pPr>
    </w:p>
    <w:p w14:paraId="3024FCBA" w14:textId="77777777" w:rsidR="008737B6" w:rsidRPr="00C130E1" w:rsidRDefault="008737B6" w:rsidP="006816F7">
      <w:pPr>
        <w:numPr>
          <w:ilvl w:val="0"/>
          <w:numId w:val="30"/>
        </w:numPr>
        <w:jc w:val="both"/>
        <w:rPr>
          <w:sz w:val="20"/>
        </w:rPr>
      </w:pPr>
      <w:r w:rsidRPr="00640DAC">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1E6F5E">
        <w:rPr>
          <w:sz w:val="20"/>
        </w:rPr>
        <w:t>.</w:t>
      </w:r>
      <w:r w:rsidRPr="001E6F5E">
        <w:rPr>
          <w:sz w:val="20"/>
          <w:vertAlign w:val="superscript"/>
        </w:rPr>
        <w:t xml:space="preserve"> </w:t>
      </w:r>
      <w:r w:rsidRPr="001E6F5E">
        <w:rPr>
          <w:sz w:val="20"/>
        </w:rPr>
        <w:t xml:space="preserve"> </w:t>
      </w:r>
      <w:r>
        <w:rPr>
          <w:sz w:val="20"/>
        </w:rPr>
        <w:t xml:space="preserve"> </w:t>
      </w:r>
      <w:r w:rsidRPr="001E6F5E">
        <w:rPr>
          <w:b/>
          <w:sz w:val="20"/>
        </w:rPr>
        <w:t>(R 336.1285</w:t>
      </w:r>
      <w:r>
        <w:rPr>
          <w:b/>
          <w:sz w:val="20"/>
        </w:rPr>
        <w:t>(2)</w:t>
      </w:r>
      <w:r w:rsidRPr="001E6F5E">
        <w:rPr>
          <w:b/>
          <w:sz w:val="20"/>
        </w:rPr>
        <w:t>(mm)(ii)(A))</w:t>
      </w:r>
    </w:p>
    <w:p w14:paraId="160045B6" w14:textId="77777777" w:rsidR="008737B6" w:rsidRPr="003448EF" w:rsidRDefault="008737B6" w:rsidP="004E1EDE">
      <w:pPr>
        <w:jc w:val="both"/>
        <w:rPr>
          <w:sz w:val="20"/>
        </w:rPr>
      </w:pPr>
    </w:p>
    <w:p w14:paraId="237F1E4D" w14:textId="77777777" w:rsidR="008737B6" w:rsidRPr="00C130E1" w:rsidRDefault="008737B6" w:rsidP="006816F7">
      <w:pPr>
        <w:numPr>
          <w:ilvl w:val="0"/>
          <w:numId w:val="30"/>
        </w:numPr>
        <w:jc w:val="both"/>
        <w:rPr>
          <w:sz w:val="20"/>
        </w:rPr>
      </w:pPr>
      <w:r w:rsidRPr="00640DAC">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1E6F5E">
        <w:rPr>
          <w:b/>
          <w:sz w:val="20"/>
        </w:rPr>
        <w:t>(R 336.1285</w:t>
      </w:r>
      <w:r>
        <w:rPr>
          <w:b/>
          <w:sz w:val="20"/>
        </w:rPr>
        <w:t>(2)</w:t>
      </w:r>
      <w:r w:rsidRPr="001E6F5E">
        <w:rPr>
          <w:b/>
          <w:sz w:val="20"/>
        </w:rPr>
        <w:t>(mm)(ii)(B))</w:t>
      </w:r>
    </w:p>
    <w:p w14:paraId="5EBA38E0" w14:textId="77777777" w:rsidR="008737B6" w:rsidRPr="007521DF" w:rsidRDefault="008737B6" w:rsidP="0050578E">
      <w:pPr>
        <w:jc w:val="both"/>
        <w:rPr>
          <w:rFonts w:cs="Arial"/>
          <w:bCs/>
          <w:sz w:val="20"/>
        </w:rPr>
      </w:pPr>
    </w:p>
    <w:p w14:paraId="2913C5B0" w14:textId="116E218D" w:rsidR="008737B6" w:rsidRPr="00DD2024" w:rsidRDefault="008737B6" w:rsidP="006816F7">
      <w:pPr>
        <w:numPr>
          <w:ilvl w:val="0"/>
          <w:numId w:val="30"/>
        </w:numPr>
        <w:jc w:val="both"/>
        <w:rPr>
          <w:sz w:val="20"/>
        </w:rPr>
      </w:pPr>
      <w:r w:rsidRPr="00DD2024">
        <w:rPr>
          <w:sz w:val="20"/>
        </w:rPr>
        <w:t xml:space="preserve">For emergency venting </w:t>
      </w:r>
      <w:r w:rsidRPr="00AF168A">
        <w:rPr>
          <w:sz w:val="20"/>
        </w:rPr>
        <w:t xml:space="preserve">of </w:t>
      </w:r>
      <w:r w:rsidRPr="00AD21AD">
        <w:rPr>
          <w:bCs/>
          <w:sz w:val="20"/>
        </w:rPr>
        <w:t xml:space="preserve">natural </w:t>
      </w:r>
      <w:r w:rsidR="00AF168A" w:rsidRPr="00AD21AD">
        <w:rPr>
          <w:bCs/>
          <w:sz w:val="20"/>
        </w:rPr>
        <w:t>gas</w:t>
      </w:r>
      <w:r w:rsidR="00AF168A" w:rsidRPr="00AF168A">
        <w:rPr>
          <w:b/>
          <w:sz w:val="20"/>
        </w:rPr>
        <w:t xml:space="preserve"> </w:t>
      </w:r>
      <w:r w:rsidRPr="00DD2024">
        <w:rPr>
          <w:sz w:val="20"/>
        </w:rPr>
        <w:t>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7693BDF6" w14:textId="77777777" w:rsidR="008737B6" w:rsidRPr="00DD2024" w:rsidRDefault="008737B6" w:rsidP="000B33D3">
      <w:pPr>
        <w:ind w:right="72"/>
        <w:jc w:val="both"/>
        <w:rPr>
          <w:rFonts w:cs="Arial"/>
          <w:sz w:val="20"/>
        </w:rPr>
      </w:pPr>
    </w:p>
    <w:p w14:paraId="1CEB7C15" w14:textId="77777777" w:rsidR="008737B6" w:rsidRPr="00DD2024" w:rsidRDefault="008737B6" w:rsidP="000B33D3">
      <w:pPr>
        <w:jc w:val="both"/>
        <w:rPr>
          <w:rFonts w:cs="Arial"/>
          <w:b/>
          <w:sz w:val="20"/>
        </w:rPr>
      </w:pPr>
      <w:r w:rsidRPr="00DD2024">
        <w:rPr>
          <w:rFonts w:cs="Arial"/>
          <w:b/>
          <w:sz w:val="20"/>
        </w:rPr>
        <w:t>See Appendix 8</w:t>
      </w:r>
    </w:p>
    <w:p w14:paraId="1103F2E5" w14:textId="77777777" w:rsidR="008737B6" w:rsidRPr="00814563" w:rsidRDefault="008737B6" w:rsidP="000B33D3"/>
    <w:p w14:paraId="5F89F6AF" w14:textId="77777777" w:rsidR="008737B6" w:rsidRPr="00DD2024" w:rsidRDefault="008737B6" w:rsidP="000B33D3">
      <w:pPr>
        <w:rPr>
          <w:sz w:val="20"/>
        </w:rPr>
      </w:pPr>
      <w:r w:rsidRPr="00DD2024">
        <w:rPr>
          <w:b/>
        </w:rPr>
        <w:t xml:space="preserve">VIII.  </w:t>
      </w:r>
      <w:r w:rsidRPr="00DD2024">
        <w:rPr>
          <w:b/>
          <w:u w:val="single"/>
        </w:rPr>
        <w:t>STACK/VENT RESTRICTION(S)</w:t>
      </w:r>
    </w:p>
    <w:p w14:paraId="4AC979F4" w14:textId="77777777" w:rsidR="008737B6" w:rsidRPr="00DD2024" w:rsidRDefault="008737B6" w:rsidP="000B33D3">
      <w:pPr>
        <w:rPr>
          <w:sz w:val="20"/>
        </w:rPr>
      </w:pPr>
    </w:p>
    <w:p w14:paraId="2E587270" w14:textId="77777777" w:rsidR="008737B6" w:rsidRDefault="008737B6" w:rsidP="000B33D3">
      <w:pPr>
        <w:jc w:val="both"/>
        <w:rPr>
          <w:sz w:val="20"/>
        </w:rPr>
      </w:pPr>
      <w:r>
        <w:rPr>
          <w:sz w:val="20"/>
        </w:rPr>
        <w:t>NA</w:t>
      </w:r>
    </w:p>
    <w:p w14:paraId="122B02A4" w14:textId="77777777" w:rsidR="008737B6" w:rsidRPr="00DD2024" w:rsidRDefault="008737B6" w:rsidP="000B33D3">
      <w:pPr>
        <w:jc w:val="both"/>
        <w:rPr>
          <w:sz w:val="20"/>
        </w:rPr>
      </w:pPr>
    </w:p>
    <w:p w14:paraId="1710F9CA" w14:textId="77777777" w:rsidR="008737B6" w:rsidRPr="00DD2024" w:rsidRDefault="008737B6" w:rsidP="000B33D3">
      <w:pPr>
        <w:jc w:val="both"/>
        <w:rPr>
          <w:sz w:val="20"/>
        </w:rPr>
      </w:pPr>
      <w:r w:rsidRPr="00DD2024">
        <w:rPr>
          <w:b/>
        </w:rPr>
        <w:t xml:space="preserve">IX.  </w:t>
      </w:r>
      <w:r w:rsidRPr="00DD2024">
        <w:rPr>
          <w:b/>
          <w:u w:val="single"/>
        </w:rPr>
        <w:t>OTHER REQUIREMENT(S)</w:t>
      </w:r>
    </w:p>
    <w:p w14:paraId="014B744E" w14:textId="77777777" w:rsidR="008737B6" w:rsidRPr="00DD2024" w:rsidRDefault="008737B6" w:rsidP="000B33D3">
      <w:pPr>
        <w:jc w:val="both"/>
        <w:rPr>
          <w:sz w:val="20"/>
        </w:rPr>
      </w:pPr>
    </w:p>
    <w:p w14:paraId="46B99779" w14:textId="77777777" w:rsidR="008737B6" w:rsidRPr="00DD2024" w:rsidRDefault="008737B6" w:rsidP="00EE6FA5">
      <w:pPr>
        <w:jc w:val="both"/>
        <w:rPr>
          <w:sz w:val="20"/>
        </w:rPr>
      </w:pPr>
      <w:r w:rsidRPr="00DD2024">
        <w:rPr>
          <w:sz w:val="20"/>
        </w:rPr>
        <w:t>NA</w:t>
      </w:r>
    </w:p>
    <w:p w14:paraId="58F4CD35" w14:textId="77777777" w:rsidR="008737B6" w:rsidRPr="00DD2024" w:rsidRDefault="008737B6" w:rsidP="000B33D3">
      <w:pPr>
        <w:jc w:val="both"/>
        <w:rPr>
          <w:sz w:val="20"/>
        </w:rPr>
      </w:pPr>
    </w:p>
    <w:p w14:paraId="42713DCD" w14:textId="77777777" w:rsidR="008737B6" w:rsidRPr="00DD2024" w:rsidRDefault="008737B6" w:rsidP="000B33D3">
      <w:pPr>
        <w:jc w:val="both"/>
        <w:rPr>
          <w:sz w:val="20"/>
        </w:rPr>
      </w:pPr>
    </w:p>
    <w:bookmarkEnd w:id="82"/>
    <w:p w14:paraId="136BE34D" w14:textId="77777777" w:rsidR="008737B6" w:rsidRDefault="008737B6" w:rsidP="007014BE">
      <w:r>
        <w:br w:type="page"/>
      </w:r>
    </w:p>
    <w:p w14:paraId="2CFBAB15" w14:textId="77777777" w:rsidR="007014BE" w:rsidRPr="007014BE" w:rsidRDefault="007014BE" w:rsidP="007014BE">
      <w:pPr>
        <w:rPr>
          <w:sz w:val="20"/>
        </w:rPr>
      </w:pPr>
    </w:p>
    <w:p w14:paraId="4DDF219D" w14:textId="77777777" w:rsidR="005E5399" w:rsidRPr="00440957" w:rsidRDefault="00FE2A0A" w:rsidP="001B5E34">
      <w:pPr>
        <w:pStyle w:val="Heading1"/>
        <w:rPr>
          <w:sz w:val="20"/>
          <w:szCs w:val="20"/>
        </w:rPr>
      </w:pPr>
      <w:bookmarkStart w:id="83" w:name="_Toc179797552"/>
      <w:r w:rsidRPr="001B5E34">
        <w:t>E</w:t>
      </w:r>
      <w:r w:rsidR="005E5399" w:rsidRPr="001B5E34">
        <w:t>.  NON-APPLICABLE REQUIREMENTS</w:t>
      </w:r>
      <w:bookmarkEnd w:id="81"/>
      <w:bookmarkEnd w:id="83"/>
    </w:p>
    <w:p w14:paraId="04196DD6" w14:textId="77777777" w:rsidR="005B2191" w:rsidRDefault="005B2191" w:rsidP="005B2191">
      <w:pPr>
        <w:jc w:val="both"/>
        <w:rPr>
          <w:rFonts w:cs="Arial"/>
          <w:sz w:val="20"/>
        </w:rPr>
      </w:pPr>
    </w:p>
    <w:p w14:paraId="5E977080" w14:textId="77777777" w:rsidR="005E5399" w:rsidRPr="00FE0AD0" w:rsidRDefault="005E5399">
      <w:pPr>
        <w:rPr>
          <w:sz w:val="20"/>
        </w:rPr>
      </w:pPr>
    </w:p>
    <w:p w14:paraId="41B09A04" w14:textId="77777777" w:rsidR="006F7429" w:rsidRDefault="006F7429" w:rsidP="006F7429">
      <w:pPr>
        <w:jc w:val="both"/>
        <w:rPr>
          <w:sz w:val="20"/>
        </w:rPr>
      </w:pPr>
      <w:bookmarkStart w:id="84" w:name="_Toc366569209"/>
      <w:bookmarkStart w:id="85" w:name="_Toc366642171"/>
      <w:bookmarkStart w:id="86"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3C423338" w14:textId="77777777" w:rsidR="005E5399" w:rsidRPr="00694226" w:rsidRDefault="005E5399">
      <w:pPr>
        <w:rPr>
          <w:sz w:val="20"/>
        </w:rPr>
      </w:pPr>
    </w:p>
    <w:bookmarkEnd w:id="84"/>
    <w:bookmarkEnd w:id="85"/>
    <w:bookmarkEnd w:id="86"/>
    <w:p w14:paraId="52B3C82E" w14:textId="77777777" w:rsidR="000822B4" w:rsidRDefault="000822B4" w:rsidP="00D10803">
      <w:pPr>
        <w:jc w:val="both"/>
      </w:pPr>
    </w:p>
    <w:p w14:paraId="56136892" w14:textId="77777777" w:rsidR="00447D64" w:rsidRDefault="00447D64" w:rsidP="00D10803">
      <w:pPr>
        <w:jc w:val="both"/>
      </w:pPr>
    </w:p>
    <w:p w14:paraId="419F9D67" w14:textId="77777777" w:rsidR="00E91170" w:rsidRPr="00E14D0A" w:rsidRDefault="00E91170">
      <w:pPr>
        <w:rPr>
          <w:strike/>
        </w:rPr>
      </w:pPr>
      <w:r>
        <w:br w:type="page"/>
      </w:r>
    </w:p>
    <w:tbl>
      <w:tblPr>
        <w:tblW w:w="10271" w:type="dxa"/>
        <w:tblInd w:w="108" w:type="dxa"/>
        <w:tblLayout w:type="fixed"/>
        <w:tblLook w:val="0000" w:firstRow="0" w:lastRow="0" w:firstColumn="0" w:lastColumn="0" w:noHBand="0" w:noVBand="0"/>
      </w:tblPr>
      <w:tblGrid>
        <w:gridCol w:w="10271"/>
      </w:tblGrid>
      <w:tr w:rsidR="00FC3D76" w:rsidRPr="00253A7B" w14:paraId="27EFD9D5" w14:textId="77777777" w:rsidTr="00B10CBB">
        <w:trPr>
          <w:cantSplit/>
          <w:trHeight w:val="226"/>
        </w:trPr>
        <w:tc>
          <w:tcPr>
            <w:tcW w:w="10271" w:type="dxa"/>
          </w:tcPr>
          <w:p w14:paraId="236655A1"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7" w:name="_Toc367698521"/>
            <w:bookmarkStart w:id="88" w:name="_Toc179797553"/>
            <w:r w:rsidRPr="00253A7B">
              <w:rPr>
                <w:b/>
                <w:kern w:val="28"/>
                <w:sz w:val="28"/>
                <w:szCs w:val="28"/>
              </w:rPr>
              <w:t>APPENDICES</w:t>
            </w:r>
            <w:bookmarkEnd w:id="87"/>
            <w:bookmarkEnd w:id="88"/>
          </w:p>
        </w:tc>
      </w:tr>
    </w:tbl>
    <w:p w14:paraId="378479C6" w14:textId="77777777" w:rsidR="00FC3D76" w:rsidRPr="00FC1F2C" w:rsidRDefault="005C07D8" w:rsidP="005C07D8">
      <w:pPr>
        <w:pStyle w:val="Heading2"/>
        <w:numPr>
          <w:ilvl w:val="0"/>
          <w:numId w:val="0"/>
        </w:numPr>
        <w:spacing w:before="0" w:after="0"/>
        <w:jc w:val="left"/>
        <w:rPr>
          <w:b w:val="0"/>
          <w:sz w:val="22"/>
          <w:szCs w:val="22"/>
        </w:rPr>
      </w:pPr>
      <w:bookmarkStart w:id="89" w:name="_Toc179797554"/>
      <w:bookmarkStart w:id="9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9"/>
    </w:p>
    <w:tbl>
      <w:tblPr>
        <w:tblW w:w="5000" w:type="pct"/>
        <w:jc w:val="center"/>
        <w:tblLook w:val="0000" w:firstRow="0" w:lastRow="0" w:firstColumn="0" w:lastColumn="0" w:noHBand="0" w:noVBand="0"/>
      </w:tblPr>
      <w:tblGrid>
        <w:gridCol w:w="1344"/>
        <w:gridCol w:w="3845"/>
        <w:gridCol w:w="803"/>
        <w:gridCol w:w="4202"/>
      </w:tblGrid>
      <w:tr w:rsidR="00FC3D76" w:rsidRPr="000B6AFE" w14:paraId="2C5456E6"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040800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57BE02F"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1872A8D" w14:textId="77777777" w:rsidTr="00232A18">
        <w:trPr>
          <w:cantSplit/>
          <w:trHeight w:val="245"/>
          <w:jc w:val="center"/>
        </w:trPr>
        <w:tc>
          <w:tcPr>
            <w:tcW w:w="659" w:type="pct"/>
            <w:tcBorders>
              <w:top w:val="single" w:sz="4" w:space="0" w:color="auto"/>
              <w:left w:val="double" w:sz="4" w:space="0" w:color="auto"/>
            </w:tcBorders>
          </w:tcPr>
          <w:p w14:paraId="3A9677B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97B903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458FEB9"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7530F07F"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77A1256" w14:textId="77777777" w:rsidTr="00232A18">
        <w:trPr>
          <w:cantSplit/>
          <w:trHeight w:val="245"/>
          <w:jc w:val="center"/>
        </w:trPr>
        <w:tc>
          <w:tcPr>
            <w:tcW w:w="659" w:type="pct"/>
            <w:tcBorders>
              <w:left w:val="double" w:sz="4" w:space="0" w:color="auto"/>
            </w:tcBorders>
          </w:tcPr>
          <w:p w14:paraId="69784B2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6E7C83F"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4F9F1C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3BC3CE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B8CB4A9" w14:textId="77777777" w:rsidTr="00232A18">
        <w:trPr>
          <w:cantSplit/>
          <w:trHeight w:val="245"/>
          <w:jc w:val="center"/>
        </w:trPr>
        <w:tc>
          <w:tcPr>
            <w:tcW w:w="659" w:type="pct"/>
            <w:tcBorders>
              <w:left w:val="double" w:sz="4" w:space="0" w:color="auto"/>
            </w:tcBorders>
          </w:tcPr>
          <w:p w14:paraId="111E369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F215EC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E3CDD6A"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0071A6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47769D2" w14:textId="77777777" w:rsidTr="00232A18">
        <w:trPr>
          <w:cantSplit/>
          <w:trHeight w:val="245"/>
          <w:jc w:val="center"/>
        </w:trPr>
        <w:tc>
          <w:tcPr>
            <w:tcW w:w="659" w:type="pct"/>
            <w:tcBorders>
              <w:left w:val="double" w:sz="4" w:space="0" w:color="auto"/>
            </w:tcBorders>
          </w:tcPr>
          <w:p w14:paraId="5FFBB00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59CE777"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F68A1C9"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C1388E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2660C64" w14:textId="77777777" w:rsidTr="00232A18">
        <w:trPr>
          <w:cantSplit/>
          <w:trHeight w:val="245"/>
          <w:jc w:val="center"/>
        </w:trPr>
        <w:tc>
          <w:tcPr>
            <w:tcW w:w="659" w:type="pct"/>
            <w:tcBorders>
              <w:left w:val="double" w:sz="4" w:space="0" w:color="auto"/>
            </w:tcBorders>
          </w:tcPr>
          <w:p w14:paraId="342372C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EF7462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F4B751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CD92B7D"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1C7469D" w14:textId="77777777" w:rsidTr="00232A18">
        <w:trPr>
          <w:cantSplit/>
          <w:trHeight w:val="245"/>
          <w:jc w:val="center"/>
        </w:trPr>
        <w:tc>
          <w:tcPr>
            <w:tcW w:w="659" w:type="pct"/>
            <w:tcBorders>
              <w:left w:val="double" w:sz="4" w:space="0" w:color="auto"/>
            </w:tcBorders>
          </w:tcPr>
          <w:p w14:paraId="1FF611BA"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E12C54B"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127ABFB"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9FD9EF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00B6706" w14:textId="77777777" w:rsidTr="00232A18">
        <w:trPr>
          <w:cantSplit/>
          <w:trHeight w:val="245"/>
          <w:jc w:val="center"/>
        </w:trPr>
        <w:tc>
          <w:tcPr>
            <w:tcW w:w="659" w:type="pct"/>
            <w:tcBorders>
              <w:left w:val="double" w:sz="4" w:space="0" w:color="auto"/>
            </w:tcBorders>
          </w:tcPr>
          <w:p w14:paraId="44ECBE5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94DF5A1"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ED4F0E9"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A2B092A"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774D2FC" w14:textId="77777777" w:rsidTr="00232A18">
        <w:trPr>
          <w:cantSplit/>
          <w:trHeight w:val="245"/>
          <w:jc w:val="center"/>
        </w:trPr>
        <w:tc>
          <w:tcPr>
            <w:tcW w:w="659" w:type="pct"/>
            <w:tcBorders>
              <w:left w:val="double" w:sz="4" w:space="0" w:color="auto"/>
            </w:tcBorders>
          </w:tcPr>
          <w:p w14:paraId="107C380F"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87F59F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8ABFDC7"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9337DFB"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F452DF5" w14:textId="77777777" w:rsidTr="00232A18">
        <w:trPr>
          <w:cantSplit/>
          <w:trHeight w:val="218"/>
          <w:jc w:val="center"/>
        </w:trPr>
        <w:tc>
          <w:tcPr>
            <w:tcW w:w="659" w:type="pct"/>
            <w:vMerge w:val="restart"/>
            <w:tcBorders>
              <w:left w:val="double" w:sz="4" w:space="0" w:color="auto"/>
            </w:tcBorders>
          </w:tcPr>
          <w:p w14:paraId="07CEEE5C" w14:textId="77777777" w:rsidR="002229D7" w:rsidRPr="000B6AFE" w:rsidRDefault="002229D7" w:rsidP="008256F1">
            <w:pPr>
              <w:rPr>
                <w:rFonts w:cs="Arial"/>
                <w:sz w:val="19"/>
                <w:szCs w:val="19"/>
              </w:rPr>
            </w:pPr>
            <w:r w:rsidRPr="000B6AFE">
              <w:rPr>
                <w:rFonts w:cs="Arial"/>
                <w:sz w:val="19"/>
                <w:szCs w:val="19"/>
              </w:rPr>
              <w:t>Department/</w:t>
            </w:r>
          </w:p>
          <w:p w14:paraId="289AE69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98DC86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F4F3B64"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DA648D8"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B928103" w14:textId="77777777" w:rsidTr="00232A18">
        <w:trPr>
          <w:cantSplit/>
          <w:trHeight w:val="217"/>
          <w:jc w:val="center"/>
        </w:trPr>
        <w:tc>
          <w:tcPr>
            <w:tcW w:w="659" w:type="pct"/>
            <w:vMerge/>
            <w:tcBorders>
              <w:left w:val="double" w:sz="4" w:space="0" w:color="auto"/>
            </w:tcBorders>
          </w:tcPr>
          <w:p w14:paraId="5C00DF47" w14:textId="77777777" w:rsidR="002229D7" w:rsidRPr="000B6AFE" w:rsidRDefault="002229D7" w:rsidP="008256F1">
            <w:pPr>
              <w:rPr>
                <w:rFonts w:cs="Arial"/>
                <w:sz w:val="19"/>
                <w:szCs w:val="19"/>
              </w:rPr>
            </w:pPr>
          </w:p>
        </w:tc>
        <w:tc>
          <w:tcPr>
            <w:tcW w:w="1886" w:type="pct"/>
            <w:vMerge/>
            <w:tcBorders>
              <w:right w:val="single" w:sz="4" w:space="0" w:color="auto"/>
            </w:tcBorders>
          </w:tcPr>
          <w:p w14:paraId="28828761" w14:textId="77777777" w:rsidR="002229D7" w:rsidRPr="000B6AFE" w:rsidRDefault="002229D7" w:rsidP="00FC3D76">
            <w:pPr>
              <w:rPr>
                <w:rFonts w:cs="Arial"/>
                <w:sz w:val="19"/>
                <w:szCs w:val="19"/>
              </w:rPr>
            </w:pPr>
          </w:p>
        </w:tc>
        <w:tc>
          <w:tcPr>
            <w:tcW w:w="394" w:type="pct"/>
            <w:tcBorders>
              <w:left w:val="single" w:sz="4" w:space="0" w:color="auto"/>
            </w:tcBorders>
          </w:tcPr>
          <w:p w14:paraId="32904CE3"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4E2603A"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BA1241C" w14:textId="77777777" w:rsidTr="00232A18">
        <w:trPr>
          <w:cantSplit/>
          <w:trHeight w:val="245"/>
          <w:jc w:val="center"/>
        </w:trPr>
        <w:tc>
          <w:tcPr>
            <w:tcW w:w="659" w:type="pct"/>
            <w:vMerge w:val="restart"/>
            <w:tcBorders>
              <w:left w:val="double" w:sz="4" w:space="0" w:color="auto"/>
            </w:tcBorders>
          </w:tcPr>
          <w:p w14:paraId="1E6C382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8B3889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A8AC5F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8D983C7"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CAFE038" w14:textId="77777777" w:rsidTr="00232A18">
        <w:trPr>
          <w:cantSplit/>
          <w:trHeight w:val="245"/>
          <w:jc w:val="center"/>
        </w:trPr>
        <w:tc>
          <w:tcPr>
            <w:tcW w:w="659" w:type="pct"/>
            <w:vMerge/>
            <w:tcBorders>
              <w:left w:val="double" w:sz="4" w:space="0" w:color="auto"/>
            </w:tcBorders>
          </w:tcPr>
          <w:p w14:paraId="1FF33691" w14:textId="77777777" w:rsidR="003B1CC9" w:rsidRDefault="003B1CC9" w:rsidP="003B1CC9">
            <w:pPr>
              <w:rPr>
                <w:rFonts w:cs="Arial"/>
                <w:sz w:val="19"/>
                <w:szCs w:val="19"/>
              </w:rPr>
            </w:pPr>
          </w:p>
        </w:tc>
        <w:tc>
          <w:tcPr>
            <w:tcW w:w="1886" w:type="pct"/>
            <w:vMerge/>
            <w:tcBorders>
              <w:right w:val="single" w:sz="4" w:space="0" w:color="auto"/>
            </w:tcBorders>
          </w:tcPr>
          <w:p w14:paraId="50811DD5" w14:textId="77777777" w:rsidR="003B1CC9" w:rsidRPr="000B6AFE" w:rsidRDefault="003B1CC9" w:rsidP="003B1CC9">
            <w:pPr>
              <w:rPr>
                <w:rFonts w:cs="Arial"/>
                <w:sz w:val="19"/>
                <w:szCs w:val="19"/>
              </w:rPr>
            </w:pPr>
          </w:p>
        </w:tc>
        <w:tc>
          <w:tcPr>
            <w:tcW w:w="394" w:type="pct"/>
            <w:tcBorders>
              <w:left w:val="single" w:sz="4" w:space="0" w:color="auto"/>
            </w:tcBorders>
          </w:tcPr>
          <w:p w14:paraId="04626753"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E2280B1"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9A7293D" w14:textId="77777777" w:rsidTr="00232A18">
        <w:trPr>
          <w:cantSplit/>
          <w:trHeight w:val="245"/>
          <w:jc w:val="center"/>
        </w:trPr>
        <w:tc>
          <w:tcPr>
            <w:tcW w:w="659" w:type="pct"/>
            <w:tcBorders>
              <w:left w:val="double" w:sz="4" w:space="0" w:color="auto"/>
            </w:tcBorders>
          </w:tcPr>
          <w:p w14:paraId="2239769F"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188870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DB10C82"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C399F7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962287F" w14:textId="77777777" w:rsidTr="00232A18">
        <w:trPr>
          <w:cantSplit/>
          <w:trHeight w:val="245"/>
          <w:jc w:val="center"/>
        </w:trPr>
        <w:tc>
          <w:tcPr>
            <w:tcW w:w="659" w:type="pct"/>
            <w:tcBorders>
              <w:left w:val="double" w:sz="4" w:space="0" w:color="auto"/>
            </w:tcBorders>
          </w:tcPr>
          <w:p w14:paraId="7CE5EBEA"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B98594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EA600F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17ED29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C4A2467" w14:textId="77777777" w:rsidTr="00232A18">
        <w:trPr>
          <w:cantSplit/>
          <w:trHeight w:val="245"/>
          <w:jc w:val="center"/>
        </w:trPr>
        <w:tc>
          <w:tcPr>
            <w:tcW w:w="659" w:type="pct"/>
            <w:tcBorders>
              <w:left w:val="double" w:sz="4" w:space="0" w:color="auto"/>
            </w:tcBorders>
          </w:tcPr>
          <w:p w14:paraId="45B8861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2FC6888"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8431D3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1C5CCB0"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0EB37525" w14:textId="77777777" w:rsidTr="00232A18">
        <w:trPr>
          <w:cantSplit/>
          <w:trHeight w:val="245"/>
          <w:jc w:val="center"/>
        </w:trPr>
        <w:tc>
          <w:tcPr>
            <w:tcW w:w="659" w:type="pct"/>
            <w:tcBorders>
              <w:left w:val="double" w:sz="4" w:space="0" w:color="auto"/>
            </w:tcBorders>
          </w:tcPr>
          <w:p w14:paraId="63633A31"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0BC522C"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3A9632A"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44DFB6E"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3F0B338" w14:textId="77777777" w:rsidTr="00232A18">
        <w:trPr>
          <w:cantSplit/>
          <w:trHeight w:val="245"/>
          <w:jc w:val="center"/>
        </w:trPr>
        <w:tc>
          <w:tcPr>
            <w:tcW w:w="659" w:type="pct"/>
            <w:tcBorders>
              <w:left w:val="double" w:sz="4" w:space="0" w:color="auto"/>
            </w:tcBorders>
          </w:tcPr>
          <w:p w14:paraId="15A1B92D"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849B7AE"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F18813A"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A22610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A374FA9" w14:textId="77777777" w:rsidTr="00232A18">
        <w:trPr>
          <w:cantSplit/>
          <w:trHeight w:val="245"/>
          <w:jc w:val="center"/>
        </w:trPr>
        <w:tc>
          <w:tcPr>
            <w:tcW w:w="659" w:type="pct"/>
            <w:tcBorders>
              <w:left w:val="double" w:sz="4" w:space="0" w:color="auto"/>
            </w:tcBorders>
          </w:tcPr>
          <w:p w14:paraId="441819E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BA5787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60C7CF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8233864"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F2219FE" w14:textId="77777777" w:rsidTr="00232A18">
        <w:trPr>
          <w:cantSplit/>
          <w:trHeight w:val="245"/>
          <w:jc w:val="center"/>
        </w:trPr>
        <w:tc>
          <w:tcPr>
            <w:tcW w:w="659" w:type="pct"/>
            <w:tcBorders>
              <w:left w:val="double" w:sz="4" w:space="0" w:color="auto"/>
            </w:tcBorders>
          </w:tcPr>
          <w:p w14:paraId="26F7DF7C"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E4570C4"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903C51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0AC5ABF"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7487538" w14:textId="77777777" w:rsidTr="00232A18">
        <w:trPr>
          <w:cantSplit/>
          <w:trHeight w:val="245"/>
          <w:jc w:val="center"/>
        </w:trPr>
        <w:tc>
          <w:tcPr>
            <w:tcW w:w="659" w:type="pct"/>
            <w:tcBorders>
              <w:left w:val="double" w:sz="4" w:space="0" w:color="auto"/>
            </w:tcBorders>
          </w:tcPr>
          <w:p w14:paraId="4A4BFF7D"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0952C8F"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5DB551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A5C702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8FD1C37" w14:textId="77777777" w:rsidTr="00232A18">
        <w:trPr>
          <w:cantSplit/>
          <w:trHeight w:val="245"/>
          <w:jc w:val="center"/>
        </w:trPr>
        <w:tc>
          <w:tcPr>
            <w:tcW w:w="659" w:type="pct"/>
            <w:tcBorders>
              <w:left w:val="double" w:sz="4" w:space="0" w:color="auto"/>
            </w:tcBorders>
          </w:tcPr>
          <w:p w14:paraId="21C5BD6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9FF42DA"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0B46E67"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4FC2AA6"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D08165E" w14:textId="77777777" w:rsidTr="00232A18">
        <w:trPr>
          <w:cantSplit/>
          <w:trHeight w:val="245"/>
          <w:jc w:val="center"/>
        </w:trPr>
        <w:tc>
          <w:tcPr>
            <w:tcW w:w="659" w:type="pct"/>
            <w:tcBorders>
              <w:left w:val="double" w:sz="4" w:space="0" w:color="auto"/>
            </w:tcBorders>
          </w:tcPr>
          <w:p w14:paraId="713031D6"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0F4BFFF"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876912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7AB2DC7"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C89C9F7" w14:textId="77777777" w:rsidTr="00232A18">
        <w:trPr>
          <w:cantSplit/>
          <w:trHeight w:val="245"/>
          <w:jc w:val="center"/>
        </w:trPr>
        <w:tc>
          <w:tcPr>
            <w:tcW w:w="659" w:type="pct"/>
            <w:tcBorders>
              <w:left w:val="double" w:sz="4" w:space="0" w:color="auto"/>
            </w:tcBorders>
          </w:tcPr>
          <w:p w14:paraId="2A4EDD4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E8BD16C"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4EDF3E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7B2AC52"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0AE56D8" w14:textId="77777777" w:rsidTr="00232A18">
        <w:trPr>
          <w:cantSplit/>
          <w:trHeight w:val="245"/>
          <w:jc w:val="center"/>
        </w:trPr>
        <w:tc>
          <w:tcPr>
            <w:tcW w:w="659" w:type="pct"/>
            <w:tcBorders>
              <w:left w:val="double" w:sz="4" w:space="0" w:color="auto"/>
            </w:tcBorders>
          </w:tcPr>
          <w:p w14:paraId="6D15CC17"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843738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EB32475"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98A7B70"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7BE0137" w14:textId="77777777" w:rsidTr="00232A18">
        <w:trPr>
          <w:cantSplit/>
          <w:trHeight w:val="218"/>
          <w:jc w:val="center"/>
        </w:trPr>
        <w:tc>
          <w:tcPr>
            <w:tcW w:w="659" w:type="pct"/>
            <w:tcBorders>
              <w:left w:val="double" w:sz="4" w:space="0" w:color="auto"/>
            </w:tcBorders>
          </w:tcPr>
          <w:p w14:paraId="1B469089"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D23991B"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9B589A2"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46DEA30"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F004FCC" w14:textId="77777777" w:rsidTr="00232A18">
        <w:trPr>
          <w:cantSplit/>
          <w:trHeight w:val="245"/>
          <w:jc w:val="center"/>
        </w:trPr>
        <w:tc>
          <w:tcPr>
            <w:tcW w:w="659" w:type="pct"/>
            <w:tcBorders>
              <w:left w:val="double" w:sz="4" w:space="0" w:color="auto"/>
            </w:tcBorders>
          </w:tcPr>
          <w:p w14:paraId="3F41634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A8ACC39"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9C98557"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30D444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C0E27F9" w14:textId="77777777" w:rsidTr="00232A18">
        <w:trPr>
          <w:cantSplit/>
          <w:trHeight w:val="245"/>
          <w:jc w:val="center"/>
        </w:trPr>
        <w:tc>
          <w:tcPr>
            <w:tcW w:w="659" w:type="pct"/>
            <w:tcBorders>
              <w:left w:val="double" w:sz="4" w:space="0" w:color="auto"/>
            </w:tcBorders>
          </w:tcPr>
          <w:p w14:paraId="0A022B51"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0446C9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C0780A1" w14:textId="77777777" w:rsidR="002229D7" w:rsidRPr="000B6AFE" w:rsidRDefault="002229D7" w:rsidP="002229D7">
            <w:pPr>
              <w:rPr>
                <w:rFonts w:cs="Arial"/>
                <w:sz w:val="19"/>
                <w:szCs w:val="19"/>
              </w:rPr>
            </w:pPr>
          </w:p>
        </w:tc>
        <w:tc>
          <w:tcPr>
            <w:tcW w:w="2061" w:type="pct"/>
            <w:vMerge/>
            <w:tcBorders>
              <w:right w:val="double" w:sz="4" w:space="0" w:color="auto"/>
            </w:tcBorders>
          </w:tcPr>
          <w:p w14:paraId="36DE5FCE" w14:textId="77777777" w:rsidR="002229D7" w:rsidRPr="000B6AFE" w:rsidRDefault="002229D7" w:rsidP="002229D7">
            <w:pPr>
              <w:rPr>
                <w:rFonts w:cs="Arial"/>
                <w:sz w:val="19"/>
                <w:szCs w:val="19"/>
              </w:rPr>
            </w:pPr>
          </w:p>
        </w:tc>
      </w:tr>
      <w:tr w:rsidR="002229D7" w:rsidRPr="000B6AFE" w14:paraId="42896D69" w14:textId="77777777" w:rsidTr="00232A18">
        <w:trPr>
          <w:cantSplit/>
          <w:trHeight w:val="218"/>
          <w:jc w:val="center"/>
        </w:trPr>
        <w:tc>
          <w:tcPr>
            <w:tcW w:w="659" w:type="pct"/>
            <w:tcBorders>
              <w:left w:val="double" w:sz="4" w:space="0" w:color="auto"/>
              <w:bottom w:val="nil"/>
            </w:tcBorders>
          </w:tcPr>
          <w:p w14:paraId="16202F8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BCC5776"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94428A7"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6D85FF7"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5E663A5"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7F5DCD6" w14:textId="77777777" w:rsidTr="00232A18">
        <w:trPr>
          <w:cantSplit/>
          <w:trHeight w:val="218"/>
          <w:jc w:val="center"/>
        </w:trPr>
        <w:tc>
          <w:tcPr>
            <w:tcW w:w="659" w:type="pct"/>
            <w:vMerge w:val="restart"/>
            <w:tcBorders>
              <w:left w:val="double" w:sz="4" w:space="0" w:color="auto"/>
            </w:tcBorders>
          </w:tcPr>
          <w:p w14:paraId="2D371F0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6AE06C4"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D466205"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202B4B56"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DE8C49D" w14:textId="77777777" w:rsidTr="00232A18">
        <w:trPr>
          <w:cantSplit/>
          <w:trHeight w:val="217"/>
          <w:jc w:val="center"/>
        </w:trPr>
        <w:tc>
          <w:tcPr>
            <w:tcW w:w="659" w:type="pct"/>
            <w:vMerge/>
            <w:tcBorders>
              <w:left w:val="double" w:sz="4" w:space="0" w:color="auto"/>
              <w:bottom w:val="nil"/>
            </w:tcBorders>
          </w:tcPr>
          <w:p w14:paraId="6E25D93A" w14:textId="77777777" w:rsidR="002229D7" w:rsidRPr="000B6AFE" w:rsidRDefault="002229D7" w:rsidP="002229D7">
            <w:pPr>
              <w:rPr>
                <w:rFonts w:cs="Arial"/>
                <w:sz w:val="19"/>
                <w:szCs w:val="19"/>
              </w:rPr>
            </w:pPr>
          </w:p>
        </w:tc>
        <w:tc>
          <w:tcPr>
            <w:tcW w:w="1886" w:type="pct"/>
            <w:vMerge/>
            <w:tcBorders>
              <w:right w:val="single" w:sz="4" w:space="0" w:color="auto"/>
            </w:tcBorders>
          </w:tcPr>
          <w:p w14:paraId="3D0B7DF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CEBEB7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1B4BDFA"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8F456F4" w14:textId="77777777" w:rsidTr="00232A18">
        <w:trPr>
          <w:cantSplit/>
          <w:trHeight w:val="245"/>
          <w:jc w:val="center"/>
        </w:trPr>
        <w:tc>
          <w:tcPr>
            <w:tcW w:w="659" w:type="pct"/>
            <w:tcBorders>
              <w:left w:val="double" w:sz="4" w:space="0" w:color="auto"/>
            </w:tcBorders>
          </w:tcPr>
          <w:p w14:paraId="35CB75A2"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96C93FA"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575CCA4"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3387BD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36EB5FE" w14:textId="77777777" w:rsidTr="00232A18">
        <w:trPr>
          <w:cantSplit/>
          <w:trHeight w:val="245"/>
          <w:jc w:val="center"/>
        </w:trPr>
        <w:tc>
          <w:tcPr>
            <w:tcW w:w="659" w:type="pct"/>
            <w:tcBorders>
              <w:left w:val="double" w:sz="4" w:space="0" w:color="auto"/>
            </w:tcBorders>
          </w:tcPr>
          <w:p w14:paraId="40B892AE"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3DFE4FF"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F60BE90"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D7B6F6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40C7D90" w14:textId="77777777" w:rsidTr="00232A18">
        <w:trPr>
          <w:cantSplit/>
          <w:trHeight w:val="245"/>
          <w:jc w:val="center"/>
        </w:trPr>
        <w:tc>
          <w:tcPr>
            <w:tcW w:w="659" w:type="pct"/>
            <w:tcBorders>
              <w:left w:val="double" w:sz="4" w:space="0" w:color="auto"/>
            </w:tcBorders>
          </w:tcPr>
          <w:p w14:paraId="49487B7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CB51B7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AEB3D2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D96FA48" w14:textId="77777777" w:rsidR="002229D7" w:rsidRPr="000B6AFE" w:rsidRDefault="002229D7" w:rsidP="002229D7">
            <w:pPr>
              <w:rPr>
                <w:rFonts w:cs="Arial"/>
                <w:sz w:val="19"/>
                <w:szCs w:val="19"/>
              </w:rPr>
            </w:pPr>
            <w:r>
              <w:rPr>
                <w:rFonts w:cs="Arial"/>
                <w:sz w:val="19"/>
                <w:szCs w:val="19"/>
              </w:rPr>
              <w:t>Percent</w:t>
            </w:r>
          </w:p>
        </w:tc>
      </w:tr>
      <w:tr w:rsidR="002229D7" w:rsidRPr="000B6AFE" w14:paraId="2636DBA2" w14:textId="77777777" w:rsidTr="00232A18">
        <w:trPr>
          <w:cantSplit/>
          <w:trHeight w:val="245"/>
          <w:jc w:val="center"/>
        </w:trPr>
        <w:tc>
          <w:tcPr>
            <w:tcW w:w="659" w:type="pct"/>
            <w:tcBorders>
              <w:left w:val="double" w:sz="4" w:space="0" w:color="auto"/>
            </w:tcBorders>
          </w:tcPr>
          <w:p w14:paraId="4E39DC3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CC33C0C"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8E36610"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6CF352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96ADB0D" w14:textId="77777777" w:rsidTr="00232A18">
        <w:trPr>
          <w:cantSplit/>
          <w:trHeight w:val="245"/>
          <w:jc w:val="center"/>
        </w:trPr>
        <w:tc>
          <w:tcPr>
            <w:tcW w:w="659" w:type="pct"/>
            <w:tcBorders>
              <w:left w:val="double" w:sz="4" w:space="0" w:color="auto"/>
            </w:tcBorders>
          </w:tcPr>
          <w:p w14:paraId="21948DC0"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B0EC58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0BDCB60"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C30063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FB5117B" w14:textId="77777777" w:rsidTr="00232A18">
        <w:trPr>
          <w:cantSplit/>
          <w:trHeight w:val="245"/>
          <w:jc w:val="center"/>
        </w:trPr>
        <w:tc>
          <w:tcPr>
            <w:tcW w:w="659" w:type="pct"/>
            <w:tcBorders>
              <w:left w:val="double" w:sz="4" w:space="0" w:color="auto"/>
            </w:tcBorders>
          </w:tcPr>
          <w:p w14:paraId="63623366"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95ABA4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8AA0B8B"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6E8998B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91F428A" w14:textId="77777777" w:rsidTr="00232A18">
        <w:trPr>
          <w:cantSplit/>
          <w:trHeight w:val="245"/>
          <w:jc w:val="center"/>
        </w:trPr>
        <w:tc>
          <w:tcPr>
            <w:tcW w:w="659" w:type="pct"/>
            <w:tcBorders>
              <w:left w:val="double" w:sz="4" w:space="0" w:color="auto"/>
            </w:tcBorders>
          </w:tcPr>
          <w:p w14:paraId="506C638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9338663"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8B77B53"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203068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053FEE6" w14:textId="77777777" w:rsidTr="00232A18">
        <w:trPr>
          <w:cantSplit/>
          <w:trHeight w:val="245"/>
          <w:jc w:val="center"/>
        </w:trPr>
        <w:tc>
          <w:tcPr>
            <w:tcW w:w="659" w:type="pct"/>
            <w:tcBorders>
              <w:left w:val="double" w:sz="4" w:space="0" w:color="auto"/>
            </w:tcBorders>
          </w:tcPr>
          <w:p w14:paraId="7F48708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9113D44"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5680DE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3EB2E17"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B27357D" w14:textId="77777777" w:rsidTr="00232A18">
        <w:trPr>
          <w:cantSplit/>
          <w:trHeight w:val="245"/>
          <w:jc w:val="center"/>
        </w:trPr>
        <w:tc>
          <w:tcPr>
            <w:tcW w:w="659" w:type="pct"/>
            <w:tcBorders>
              <w:left w:val="double" w:sz="4" w:space="0" w:color="auto"/>
            </w:tcBorders>
          </w:tcPr>
          <w:p w14:paraId="21668F87"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69CFCF1"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FA08DA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D67334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2B707DE" w14:textId="77777777" w:rsidTr="00232A18">
        <w:trPr>
          <w:cantSplit/>
          <w:trHeight w:val="245"/>
          <w:jc w:val="center"/>
        </w:trPr>
        <w:tc>
          <w:tcPr>
            <w:tcW w:w="659" w:type="pct"/>
            <w:tcBorders>
              <w:left w:val="double" w:sz="4" w:space="0" w:color="auto"/>
            </w:tcBorders>
          </w:tcPr>
          <w:p w14:paraId="7A3BB83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0167AC8"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971270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4F3A969"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1DEF5EA8" w14:textId="77777777" w:rsidTr="00232A18">
        <w:trPr>
          <w:cantSplit/>
          <w:trHeight w:val="245"/>
          <w:jc w:val="center"/>
        </w:trPr>
        <w:tc>
          <w:tcPr>
            <w:tcW w:w="659" w:type="pct"/>
            <w:tcBorders>
              <w:left w:val="double" w:sz="4" w:space="0" w:color="auto"/>
            </w:tcBorders>
          </w:tcPr>
          <w:p w14:paraId="72B5D0F9"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441ECE14"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6CD4A536"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4D3018D"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A1893C1" w14:textId="77777777" w:rsidTr="00232A18">
        <w:trPr>
          <w:cantSplit/>
          <w:trHeight w:val="245"/>
          <w:jc w:val="center"/>
        </w:trPr>
        <w:tc>
          <w:tcPr>
            <w:tcW w:w="659" w:type="pct"/>
            <w:tcBorders>
              <w:left w:val="double" w:sz="4" w:space="0" w:color="auto"/>
            </w:tcBorders>
          </w:tcPr>
          <w:p w14:paraId="030F241C"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6E8E7D0"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01205C2"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E73C350"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1C836184" w14:textId="77777777" w:rsidTr="00232A18">
        <w:trPr>
          <w:cantSplit/>
          <w:trHeight w:val="245"/>
          <w:jc w:val="center"/>
        </w:trPr>
        <w:tc>
          <w:tcPr>
            <w:tcW w:w="659" w:type="pct"/>
            <w:tcBorders>
              <w:left w:val="double" w:sz="4" w:space="0" w:color="auto"/>
            </w:tcBorders>
          </w:tcPr>
          <w:p w14:paraId="0BE915BA"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7F3466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AE0C259"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B8C9D82"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D42F67A" w14:textId="77777777" w:rsidTr="00232A18">
        <w:trPr>
          <w:cantSplit/>
          <w:trHeight w:val="245"/>
          <w:jc w:val="center"/>
        </w:trPr>
        <w:tc>
          <w:tcPr>
            <w:tcW w:w="659" w:type="pct"/>
            <w:tcBorders>
              <w:left w:val="double" w:sz="4" w:space="0" w:color="auto"/>
            </w:tcBorders>
          </w:tcPr>
          <w:p w14:paraId="7740BDE5"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9C1FC32"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1F4C355"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5F6846C"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2F95D43C" w14:textId="77777777" w:rsidTr="00232A18">
        <w:trPr>
          <w:cantSplit/>
          <w:trHeight w:val="245"/>
          <w:jc w:val="center"/>
        </w:trPr>
        <w:tc>
          <w:tcPr>
            <w:tcW w:w="659" w:type="pct"/>
            <w:vMerge w:val="restart"/>
            <w:tcBorders>
              <w:left w:val="double" w:sz="4" w:space="0" w:color="auto"/>
            </w:tcBorders>
          </w:tcPr>
          <w:p w14:paraId="3CF69EF5"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C3CE190"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6A632DF"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0FA5B85"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2B153AF" w14:textId="77777777" w:rsidTr="00232A18">
        <w:trPr>
          <w:cantSplit/>
          <w:trHeight w:val="245"/>
          <w:jc w:val="center"/>
        </w:trPr>
        <w:tc>
          <w:tcPr>
            <w:tcW w:w="659" w:type="pct"/>
            <w:vMerge/>
            <w:tcBorders>
              <w:left w:val="double" w:sz="4" w:space="0" w:color="auto"/>
            </w:tcBorders>
          </w:tcPr>
          <w:p w14:paraId="21FBD040" w14:textId="77777777" w:rsidR="00232A18" w:rsidRPr="000B6AFE" w:rsidRDefault="00232A18" w:rsidP="002229D7">
            <w:pPr>
              <w:rPr>
                <w:rFonts w:cs="Arial"/>
                <w:sz w:val="19"/>
                <w:szCs w:val="19"/>
              </w:rPr>
            </w:pPr>
          </w:p>
        </w:tc>
        <w:tc>
          <w:tcPr>
            <w:tcW w:w="1886" w:type="pct"/>
            <w:vMerge/>
            <w:tcBorders>
              <w:right w:val="single" w:sz="4" w:space="0" w:color="auto"/>
            </w:tcBorders>
          </w:tcPr>
          <w:p w14:paraId="5470E18B"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0989777A"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9B93EF6"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5E6E9E27" w14:textId="77777777" w:rsidTr="00232A18">
        <w:trPr>
          <w:cantSplit/>
          <w:trHeight w:val="245"/>
          <w:jc w:val="center"/>
        </w:trPr>
        <w:tc>
          <w:tcPr>
            <w:tcW w:w="659" w:type="pct"/>
            <w:tcBorders>
              <w:left w:val="double" w:sz="4" w:space="0" w:color="auto"/>
              <w:bottom w:val="double" w:sz="4" w:space="0" w:color="auto"/>
            </w:tcBorders>
          </w:tcPr>
          <w:p w14:paraId="77E44533"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B3FB38F"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5D83C82"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3960C9B" w14:textId="77777777" w:rsidR="00232A18" w:rsidRPr="000B6AFE" w:rsidRDefault="00232A18" w:rsidP="002229D7">
            <w:pPr>
              <w:rPr>
                <w:rFonts w:cs="Arial"/>
                <w:sz w:val="19"/>
                <w:szCs w:val="19"/>
              </w:rPr>
            </w:pPr>
          </w:p>
        </w:tc>
      </w:tr>
    </w:tbl>
    <w:p w14:paraId="54B62425"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A958172" w14:textId="77777777" w:rsidR="00C60E84" w:rsidRPr="00FC1F2C" w:rsidRDefault="00C60E84" w:rsidP="00461D22">
      <w:pPr>
        <w:pStyle w:val="Heading2"/>
        <w:numPr>
          <w:ilvl w:val="0"/>
          <w:numId w:val="0"/>
        </w:numPr>
        <w:jc w:val="left"/>
        <w:rPr>
          <w:b w:val="0"/>
          <w:bCs/>
          <w:sz w:val="22"/>
          <w:szCs w:val="22"/>
        </w:rPr>
      </w:pPr>
      <w:bookmarkStart w:id="91" w:name="_Toc179797555"/>
      <w:bookmarkStart w:id="92" w:name="_Toc390499894"/>
      <w:bookmarkStart w:id="93" w:name="_Toc390500323"/>
      <w:bookmarkStart w:id="94" w:name="_Toc390504376"/>
      <w:bookmarkStart w:id="95" w:name="_Toc390570166"/>
      <w:bookmarkStart w:id="96" w:name="_Toc391182900"/>
      <w:bookmarkStart w:id="97" w:name="_Toc437238964"/>
      <w:bookmarkStart w:id="98" w:name="_Toc451333041"/>
      <w:bookmarkStart w:id="99" w:name="_Toc1453521"/>
      <w:bookmarkEnd w:id="90"/>
      <w:r w:rsidRPr="00461D22">
        <w:rPr>
          <w:bCs/>
          <w:sz w:val="22"/>
          <w:szCs w:val="22"/>
        </w:rPr>
        <w:lastRenderedPageBreak/>
        <w:t>Appendix 2.  Schedule of Compliance</w:t>
      </w:r>
      <w:bookmarkEnd w:id="91"/>
    </w:p>
    <w:p w14:paraId="0493E2BC" w14:textId="77777777" w:rsidR="002917CF" w:rsidRDefault="002917CF" w:rsidP="002917CF">
      <w:pPr>
        <w:jc w:val="both"/>
        <w:rPr>
          <w:rFonts w:cs="Arial"/>
          <w:sz w:val="20"/>
        </w:rPr>
      </w:pPr>
    </w:p>
    <w:p w14:paraId="2A2DA817"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0390D1B7" w14:textId="77777777" w:rsidR="00C60E84" w:rsidRPr="00FC1F2C" w:rsidRDefault="00C60E84" w:rsidP="004F09CF">
      <w:pPr>
        <w:pStyle w:val="Heading2"/>
        <w:numPr>
          <w:ilvl w:val="0"/>
          <w:numId w:val="0"/>
        </w:numPr>
        <w:jc w:val="both"/>
        <w:rPr>
          <w:b w:val="0"/>
          <w:sz w:val="20"/>
        </w:rPr>
      </w:pPr>
      <w:bookmarkStart w:id="100" w:name="_Toc179797556"/>
      <w:r w:rsidRPr="00461D22">
        <w:rPr>
          <w:sz w:val="22"/>
          <w:szCs w:val="22"/>
        </w:rPr>
        <w:t>Appendix 3.  Monitoring Requirements</w:t>
      </w:r>
      <w:bookmarkEnd w:id="100"/>
    </w:p>
    <w:p w14:paraId="65CA0563" w14:textId="77777777" w:rsidR="00C60E84" w:rsidRPr="0080590E" w:rsidRDefault="00C60E84" w:rsidP="004F09CF">
      <w:pPr>
        <w:jc w:val="both"/>
        <w:rPr>
          <w:sz w:val="20"/>
        </w:rPr>
      </w:pPr>
    </w:p>
    <w:p w14:paraId="27D67F3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89A2E61" w14:textId="77777777" w:rsidR="00C60E84" w:rsidRPr="00FC1F2C" w:rsidRDefault="00C60E84" w:rsidP="004F09CF">
      <w:pPr>
        <w:pStyle w:val="Heading2"/>
        <w:numPr>
          <w:ilvl w:val="0"/>
          <w:numId w:val="0"/>
        </w:numPr>
        <w:jc w:val="both"/>
        <w:rPr>
          <w:b w:val="0"/>
          <w:sz w:val="22"/>
          <w:szCs w:val="22"/>
        </w:rPr>
      </w:pPr>
      <w:bookmarkStart w:id="101" w:name="_Toc179797557"/>
      <w:r w:rsidRPr="00461D22">
        <w:rPr>
          <w:sz w:val="22"/>
          <w:szCs w:val="22"/>
        </w:rPr>
        <w:t>Appendix 4.  Recordkeeping</w:t>
      </w:r>
      <w:bookmarkEnd w:id="101"/>
    </w:p>
    <w:p w14:paraId="4DF2345A" w14:textId="77777777" w:rsidR="00C60E84" w:rsidRPr="0080590E" w:rsidRDefault="00C60E84" w:rsidP="004F09CF">
      <w:pPr>
        <w:jc w:val="both"/>
        <w:rPr>
          <w:sz w:val="20"/>
        </w:rPr>
      </w:pPr>
    </w:p>
    <w:p w14:paraId="67E80835"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7F81649" w14:textId="77777777" w:rsidR="00C60E84" w:rsidRPr="00FC1F2C" w:rsidRDefault="00C60E84" w:rsidP="004F09CF">
      <w:pPr>
        <w:pStyle w:val="Heading2"/>
        <w:numPr>
          <w:ilvl w:val="0"/>
          <w:numId w:val="0"/>
        </w:numPr>
        <w:jc w:val="both"/>
        <w:rPr>
          <w:b w:val="0"/>
          <w:sz w:val="22"/>
          <w:szCs w:val="22"/>
        </w:rPr>
      </w:pPr>
      <w:bookmarkStart w:id="102" w:name="_Toc179797558"/>
      <w:r w:rsidRPr="00461D22">
        <w:rPr>
          <w:sz w:val="22"/>
          <w:szCs w:val="22"/>
        </w:rPr>
        <w:t>Appendix 5.  Testing Procedures</w:t>
      </w:r>
      <w:bookmarkEnd w:id="102"/>
    </w:p>
    <w:p w14:paraId="337BEAC0" w14:textId="77777777" w:rsidR="00C60E84" w:rsidRPr="00B77C68" w:rsidRDefault="00C60E84" w:rsidP="004F09CF">
      <w:pPr>
        <w:jc w:val="both"/>
        <w:rPr>
          <w:sz w:val="20"/>
        </w:rPr>
      </w:pPr>
    </w:p>
    <w:p w14:paraId="45070CA8"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0912F90" w14:textId="77777777" w:rsidR="00EC07BA" w:rsidRPr="00FC1F2C" w:rsidRDefault="00EC07BA" w:rsidP="001838ED">
      <w:pPr>
        <w:pStyle w:val="Heading2"/>
        <w:numPr>
          <w:ilvl w:val="0"/>
          <w:numId w:val="0"/>
        </w:numPr>
        <w:jc w:val="both"/>
        <w:rPr>
          <w:b w:val="0"/>
          <w:sz w:val="20"/>
        </w:rPr>
      </w:pPr>
      <w:bookmarkStart w:id="103" w:name="_Toc179797559"/>
      <w:bookmarkStart w:id="104" w:name="_Hlk105501004"/>
      <w:bookmarkStart w:id="105" w:name="_Hlk105500931"/>
      <w:r w:rsidRPr="00461D22">
        <w:rPr>
          <w:sz w:val="22"/>
          <w:szCs w:val="22"/>
        </w:rPr>
        <w:t>Appendix 6.  Permits to Install</w:t>
      </w:r>
      <w:bookmarkEnd w:id="103"/>
    </w:p>
    <w:p w14:paraId="0CDA9BAE" w14:textId="77777777" w:rsidR="00EC07BA" w:rsidRPr="0080590E" w:rsidRDefault="00EC07BA" w:rsidP="001838ED">
      <w:pPr>
        <w:jc w:val="both"/>
        <w:rPr>
          <w:sz w:val="20"/>
        </w:rPr>
      </w:pPr>
    </w:p>
    <w:bookmarkEnd w:id="104"/>
    <w:bookmarkEnd w:id="105"/>
    <w:p w14:paraId="7012C529" w14:textId="4312709E" w:rsidR="00EC07BA" w:rsidRPr="00F70F98"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943C67" w:rsidRPr="00943C67">
        <w:rPr>
          <w:rFonts w:cs="Arial"/>
          <w:sz w:val="20"/>
        </w:rPr>
        <w:t>B8573</w:t>
      </w:r>
      <w:r w:rsidRPr="00943C67">
        <w:rPr>
          <w:rFonts w:cs="Arial"/>
          <w:sz w:val="20"/>
        </w:rPr>
        <w:t>-</w:t>
      </w:r>
      <w:r w:rsidR="00943C67" w:rsidRPr="00943C67">
        <w:rPr>
          <w:rFonts w:cs="Arial"/>
          <w:sz w:val="20"/>
        </w:rPr>
        <w:t>2019</w:t>
      </w:r>
      <w:r w:rsidRPr="00727724">
        <w:rPr>
          <w:rFonts w:cs="Arial"/>
          <w:sz w:val="20"/>
        </w:rPr>
        <w:t>.</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B22A65D" w14:textId="77777777" w:rsidR="00EC07BA" w:rsidRPr="007713F1" w:rsidRDefault="00EC07BA" w:rsidP="001838ED">
      <w:pPr>
        <w:jc w:val="both"/>
        <w:rPr>
          <w:rFonts w:cs="Arial"/>
          <w:sz w:val="20"/>
        </w:rPr>
      </w:pPr>
    </w:p>
    <w:p w14:paraId="1B5509FD" w14:textId="5D9914E5" w:rsidR="00EC07BA" w:rsidRPr="003C19DE" w:rsidRDefault="00EC07BA" w:rsidP="001838ED">
      <w:pPr>
        <w:jc w:val="both"/>
        <w:rPr>
          <w:rFonts w:cs="Arial"/>
          <w:sz w:val="20"/>
        </w:rPr>
      </w:pPr>
      <w:r w:rsidRPr="00903ACF">
        <w:rPr>
          <w:rFonts w:cs="Arial"/>
          <w:sz w:val="20"/>
        </w:rPr>
        <w:t>Source-Wide PTI No MI-PTI-</w:t>
      </w:r>
      <w:r w:rsidR="00780983">
        <w:rPr>
          <w:rFonts w:cs="Arial"/>
          <w:sz w:val="20"/>
        </w:rPr>
        <w:t>B8573-2019</w:t>
      </w:r>
      <w:r w:rsidRPr="00903ACF">
        <w:rPr>
          <w:rFonts w:cs="Arial"/>
          <w:color w:val="FF0000"/>
          <w:sz w:val="20"/>
        </w:rPr>
        <w:t xml:space="preserve"> </w:t>
      </w:r>
      <w:r w:rsidRPr="00903ACF">
        <w:rPr>
          <w:rFonts w:cs="Arial"/>
          <w:sz w:val="20"/>
        </w:rPr>
        <w:t>is being reissued as Source-Wide PTI No. MI-PTI-</w:t>
      </w:r>
      <w:r w:rsidR="00780983" w:rsidRPr="00391165">
        <w:rPr>
          <w:rFonts w:cs="Arial"/>
          <w:sz w:val="20"/>
        </w:rPr>
        <w:t>B8573-20</w:t>
      </w:r>
      <w:r w:rsidR="00EE713F">
        <w:rPr>
          <w:rFonts w:cs="Arial"/>
          <w:sz w:val="20"/>
        </w:rPr>
        <w:t>24</w:t>
      </w:r>
    </w:p>
    <w:p w14:paraId="286CFE56" w14:textId="77777777" w:rsidR="00EC07BA" w:rsidRDefault="00EC07BA" w:rsidP="001838ED">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404"/>
        <w:gridCol w:w="2540"/>
        <w:gridCol w:w="3938"/>
        <w:gridCol w:w="2190"/>
      </w:tblGrid>
      <w:tr w:rsidR="00727724" w:rsidRPr="001D53D9" w14:paraId="6465E51D" w14:textId="77777777" w:rsidTr="00391165">
        <w:tc>
          <w:tcPr>
            <w:tcW w:w="697" w:type="pct"/>
            <w:shd w:val="clear" w:color="auto" w:fill="E0E0E0"/>
          </w:tcPr>
          <w:p w14:paraId="0FB066D4" w14:textId="77777777" w:rsidR="00727724" w:rsidRPr="001D53D9" w:rsidRDefault="00727724" w:rsidP="00041914">
            <w:pPr>
              <w:jc w:val="center"/>
              <w:rPr>
                <w:rFonts w:cs="Arial"/>
                <w:b/>
                <w:sz w:val="20"/>
              </w:rPr>
            </w:pPr>
            <w:r w:rsidRPr="001D53D9">
              <w:rPr>
                <w:rFonts w:cs="Arial"/>
                <w:b/>
                <w:sz w:val="20"/>
              </w:rPr>
              <w:t>Permit to Install Number</w:t>
            </w:r>
          </w:p>
        </w:tc>
        <w:tc>
          <w:tcPr>
            <w:tcW w:w="1261" w:type="pct"/>
            <w:shd w:val="clear" w:color="auto" w:fill="E0E0E0"/>
          </w:tcPr>
          <w:p w14:paraId="7D659C11" w14:textId="77777777" w:rsidR="00727724" w:rsidRPr="001D53D9" w:rsidRDefault="00727724" w:rsidP="00041914">
            <w:pPr>
              <w:jc w:val="center"/>
              <w:rPr>
                <w:rFonts w:cs="Arial"/>
                <w:b/>
                <w:sz w:val="20"/>
              </w:rPr>
            </w:pPr>
            <w:r w:rsidRPr="001D53D9">
              <w:rPr>
                <w:rFonts w:cs="Arial"/>
                <w:b/>
                <w:sz w:val="20"/>
              </w:rPr>
              <w:t>ROP Revision</w:t>
            </w:r>
          </w:p>
          <w:p w14:paraId="3E213C33" w14:textId="77777777" w:rsidR="00727724" w:rsidRPr="001D53D9" w:rsidRDefault="00727724" w:rsidP="00041914">
            <w:pPr>
              <w:jc w:val="center"/>
              <w:rPr>
                <w:rFonts w:cs="Arial"/>
                <w:b/>
                <w:sz w:val="20"/>
              </w:rPr>
            </w:pPr>
            <w:r w:rsidRPr="001D53D9">
              <w:rPr>
                <w:rFonts w:cs="Arial"/>
                <w:b/>
                <w:sz w:val="20"/>
              </w:rPr>
              <w:t>Application Number</w:t>
            </w:r>
          </w:p>
        </w:tc>
        <w:tc>
          <w:tcPr>
            <w:tcW w:w="1955" w:type="pct"/>
            <w:shd w:val="clear" w:color="auto" w:fill="E0E0E0"/>
          </w:tcPr>
          <w:p w14:paraId="1C0F4C78" w14:textId="77777777" w:rsidR="00727724" w:rsidRPr="001D53D9" w:rsidRDefault="00727724" w:rsidP="00041914">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11F54634" w14:textId="77777777" w:rsidR="00727724" w:rsidRPr="001D53D9" w:rsidRDefault="00727724" w:rsidP="00041914">
            <w:pPr>
              <w:jc w:val="center"/>
              <w:rPr>
                <w:rFonts w:cs="Arial"/>
                <w:b/>
                <w:sz w:val="20"/>
              </w:rPr>
            </w:pPr>
            <w:r w:rsidRPr="001D53D9">
              <w:rPr>
                <w:rFonts w:cs="Arial"/>
                <w:b/>
                <w:sz w:val="20"/>
              </w:rPr>
              <w:t>Corresponding Emission Unit(s) or</w:t>
            </w:r>
          </w:p>
          <w:p w14:paraId="0992EB9F" w14:textId="77777777" w:rsidR="00727724" w:rsidRPr="001D53D9" w:rsidRDefault="00727724" w:rsidP="00041914">
            <w:pPr>
              <w:jc w:val="center"/>
              <w:rPr>
                <w:rFonts w:cs="Arial"/>
                <w:b/>
                <w:sz w:val="20"/>
              </w:rPr>
            </w:pPr>
            <w:r w:rsidRPr="001D53D9">
              <w:rPr>
                <w:rFonts w:cs="Arial"/>
                <w:b/>
                <w:sz w:val="20"/>
              </w:rPr>
              <w:t>Flexible Group(s)</w:t>
            </w:r>
          </w:p>
        </w:tc>
      </w:tr>
      <w:tr w:rsidR="00727724" w:rsidRPr="001D53D9" w14:paraId="613EFBE1" w14:textId="77777777" w:rsidTr="00391165">
        <w:tc>
          <w:tcPr>
            <w:tcW w:w="697" w:type="pct"/>
            <w:shd w:val="clear" w:color="auto" w:fill="auto"/>
          </w:tcPr>
          <w:p w14:paraId="341365C6" w14:textId="47B252AC" w:rsidR="00727724" w:rsidRPr="001D53D9" w:rsidRDefault="00727724" w:rsidP="00AD21AD">
            <w:pPr>
              <w:jc w:val="center"/>
              <w:rPr>
                <w:rFonts w:cs="Arial"/>
                <w:sz w:val="20"/>
              </w:rPr>
            </w:pPr>
            <w:r>
              <w:rPr>
                <w:rFonts w:cs="Arial"/>
                <w:sz w:val="20"/>
              </w:rPr>
              <w:t>NA</w:t>
            </w:r>
          </w:p>
        </w:tc>
        <w:tc>
          <w:tcPr>
            <w:tcW w:w="1261" w:type="pct"/>
            <w:shd w:val="clear" w:color="auto" w:fill="auto"/>
          </w:tcPr>
          <w:p w14:paraId="67342768" w14:textId="3156B9EC" w:rsidR="00727724" w:rsidRPr="001D53D9" w:rsidRDefault="00727724" w:rsidP="00AD21AD">
            <w:pPr>
              <w:jc w:val="center"/>
              <w:rPr>
                <w:rFonts w:cs="Arial"/>
                <w:sz w:val="20"/>
              </w:rPr>
            </w:pPr>
            <w:r>
              <w:rPr>
                <w:rFonts w:cs="Arial"/>
                <w:sz w:val="20"/>
              </w:rPr>
              <w:t>NA</w:t>
            </w:r>
          </w:p>
        </w:tc>
        <w:tc>
          <w:tcPr>
            <w:tcW w:w="1955" w:type="pct"/>
            <w:shd w:val="clear" w:color="auto" w:fill="auto"/>
          </w:tcPr>
          <w:p w14:paraId="56D8AFC0" w14:textId="642F37C7" w:rsidR="00727724" w:rsidRPr="001D53D9" w:rsidRDefault="00727724" w:rsidP="00AD21AD">
            <w:pPr>
              <w:jc w:val="center"/>
              <w:rPr>
                <w:rFonts w:cs="Arial"/>
                <w:sz w:val="20"/>
              </w:rPr>
            </w:pPr>
            <w:r>
              <w:rPr>
                <w:rFonts w:cs="Arial"/>
                <w:sz w:val="20"/>
              </w:rPr>
              <w:t>NA</w:t>
            </w:r>
          </w:p>
        </w:tc>
        <w:tc>
          <w:tcPr>
            <w:tcW w:w="1087" w:type="pct"/>
            <w:shd w:val="clear" w:color="auto" w:fill="auto"/>
          </w:tcPr>
          <w:p w14:paraId="51DB32F7" w14:textId="7CA8CC62" w:rsidR="00727724" w:rsidRPr="001D53D9" w:rsidRDefault="00727724" w:rsidP="00AD21AD">
            <w:pPr>
              <w:jc w:val="center"/>
              <w:rPr>
                <w:rFonts w:cs="Arial"/>
                <w:sz w:val="20"/>
              </w:rPr>
            </w:pPr>
            <w:r>
              <w:rPr>
                <w:rFonts w:cs="Arial"/>
                <w:sz w:val="20"/>
              </w:rPr>
              <w:t>NA</w:t>
            </w:r>
          </w:p>
        </w:tc>
      </w:tr>
    </w:tbl>
    <w:p w14:paraId="5C963136" w14:textId="77777777" w:rsidR="00C60E84" w:rsidRPr="00FC1F2C" w:rsidRDefault="00C60E84" w:rsidP="004F09CF">
      <w:pPr>
        <w:pStyle w:val="Heading2"/>
        <w:numPr>
          <w:ilvl w:val="0"/>
          <w:numId w:val="0"/>
        </w:numPr>
        <w:jc w:val="both"/>
        <w:rPr>
          <w:b w:val="0"/>
          <w:sz w:val="20"/>
        </w:rPr>
      </w:pPr>
      <w:bookmarkStart w:id="106" w:name="_Toc179797560"/>
      <w:r w:rsidRPr="00461D22">
        <w:rPr>
          <w:sz w:val="22"/>
          <w:szCs w:val="22"/>
        </w:rPr>
        <w:t>Appendix 7.  Emission Calculations</w:t>
      </w:r>
      <w:bookmarkEnd w:id="106"/>
      <w:r w:rsidRPr="00461D22">
        <w:rPr>
          <w:sz w:val="22"/>
          <w:szCs w:val="22"/>
        </w:rPr>
        <w:t xml:space="preserve"> </w:t>
      </w:r>
    </w:p>
    <w:p w14:paraId="08EACDF8" w14:textId="77777777" w:rsidR="00C60E84" w:rsidRPr="0080590E" w:rsidRDefault="00C60E84" w:rsidP="004F09CF">
      <w:pPr>
        <w:jc w:val="both"/>
        <w:rPr>
          <w:sz w:val="20"/>
        </w:rPr>
      </w:pPr>
    </w:p>
    <w:p w14:paraId="2F2A143C" w14:textId="71751632" w:rsidR="00AE6A4E" w:rsidRPr="00B77C68" w:rsidRDefault="006816F7" w:rsidP="00AE6A4E">
      <w:pPr>
        <w:jc w:val="both"/>
        <w:rPr>
          <w:sz w:val="20"/>
        </w:rPr>
      </w:pPr>
      <w:bookmarkStart w:id="107" w:name="_Toc377276143"/>
      <w:bookmarkStart w:id="108" w:name="_Toc377877183"/>
      <w:r>
        <w:rPr>
          <w:sz w:val="20"/>
        </w:rPr>
        <w:t>NA</w:t>
      </w:r>
    </w:p>
    <w:p w14:paraId="30F7D9FD" w14:textId="77777777" w:rsidR="00C60E84" w:rsidRPr="00FC1F2C" w:rsidRDefault="00C60E84" w:rsidP="004F09CF">
      <w:pPr>
        <w:pStyle w:val="Heading2"/>
        <w:numPr>
          <w:ilvl w:val="0"/>
          <w:numId w:val="0"/>
        </w:numPr>
        <w:jc w:val="both"/>
        <w:rPr>
          <w:b w:val="0"/>
          <w:sz w:val="22"/>
          <w:szCs w:val="22"/>
        </w:rPr>
      </w:pPr>
      <w:bookmarkStart w:id="109" w:name="_Toc382035381"/>
      <w:bookmarkStart w:id="110" w:name="_Toc382726630"/>
      <w:bookmarkStart w:id="111" w:name="_Toc382726705"/>
      <w:bookmarkStart w:id="112" w:name="_Toc382726784"/>
      <w:bookmarkStart w:id="113" w:name="_Toc387818190"/>
      <w:bookmarkStart w:id="114" w:name="_Toc390499900"/>
      <w:bookmarkStart w:id="115" w:name="_Toc390500329"/>
      <w:bookmarkStart w:id="116" w:name="_Toc390504382"/>
      <w:bookmarkStart w:id="117" w:name="_Toc390570172"/>
      <w:bookmarkStart w:id="118" w:name="_Toc391182906"/>
      <w:bookmarkStart w:id="119" w:name="_Toc437238970"/>
      <w:bookmarkStart w:id="120" w:name="_Toc451333047"/>
      <w:bookmarkStart w:id="121" w:name="_Toc179797561"/>
      <w:r w:rsidRPr="00461D22">
        <w:rPr>
          <w:sz w:val="22"/>
          <w:szCs w:val="22"/>
        </w:rPr>
        <w:t>Appendix 8.  Reporting</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F728A37" w14:textId="77777777" w:rsidR="00C60E84" w:rsidRPr="00B77C68" w:rsidRDefault="00C60E84" w:rsidP="004F09CF">
      <w:pPr>
        <w:jc w:val="both"/>
        <w:rPr>
          <w:sz w:val="20"/>
        </w:rPr>
      </w:pPr>
    </w:p>
    <w:p w14:paraId="582D288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777FCD6" w14:textId="77777777" w:rsidR="00C60E84" w:rsidRPr="0080590E" w:rsidRDefault="00C60E84" w:rsidP="004F09CF">
      <w:pPr>
        <w:jc w:val="both"/>
        <w:rPr>
          <w:sz w:val="20"/>
        </w:rPr>
      </w:pPr>
    </w:p>
    <w:p w14:paraId="312B7004"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67DB1F94" w14:textId="77777777" w:rsidR="00C60E84" w:rsidRDefault="00C60E84" w:rsidP="004F09CF">
      <w:pPr>
        <w:jc w:val="both"/>
        <w:rPr>
          <w:sz w:val="20"/>
        </w:rPr>
      </w:pPr>
    </w:p>
    <w:p w14:paraId="1860E15B" w14:textId="77777777" w:rsidR="007521DF" w:rsidRDefault="007521DF" w:rsidP="004F09CF">
      <w:pPr>
        <w:jc w:val="both"/>
        <w:rPr>
          <w:sz w:val="20"/>
        </w:rPr>
      </w:pPr>
    </w:p>
    <w:p w14:paraId="69AF11E2" w14:textId="77777777" w:rsidR="007521DF" w:rsidRDefault="007521DF" w:rsidP="004F09CF">
      <w:pPr>
        <w:jc w:val="both"/>
        <w:rPr>
          <w:sz w:val="20"/>
        </w:rPr>
      </w:pPr>
    </w:p>
    <w:p w14:paraId="55266E45" w14:textId="77777777" w:rsidR="007521DF" w:rsidRDefault="007521DF" w:rsidP="004F09CF">
      <w:pPr>
        <w:jc w:val="both"/>
        <w:rPr>
          <w:sz w:val="20"/>
        </w:rPr>
      </w:pPr>
    </w:p>
    <w:p w14:paraId="337CBD28" w14:textId="77777777" w:rsidR="007521DF" w:rsidRPr="00B77C68" w:rsidRDefault="007521DF" w:rsidP="004F09CF">
      <w:pPr>
        <w:jc w:val="both"/>
        <w:rPr>
          <w:sz w:val="20"/>
        </w:rPr>
      </w:pPr>
    </w:p>
    <w:p w14:paraId="27A1AAE8" w14:textId="77777777" w:rsidR="00C60E84" w:rsidRPr="00FC1F2C" w:rsidRDefault="00C60E84" w:rsidP="004F09CF">
      <w:pPr>
        <w:jc w:val="both"/>
        <w:rPr>
          <w:sz w:val="20"/>
        </w:rPr>
      </w:pPr>
      <w:r w:rsidRPr="00B77C68">
        <w:rPr>
          <w:b/>
          <w:sz w:val="20"/>
        </w:rPr>
        <w:t>B.  Other Reporting</w:t>
      </w:r>
    </w:p>
    <w:p w14:paraId="00265509" w14:textId="77777777" w:rsidR="00C60E84" w:rsidRPr="00B77C68" w:rsidRDefault="00C60E84" w:rsidP="004F09CF">
      <w:pPr>
        <w:jc w:val="both"/>
        <w:rPr>
          <w:sz w:val="20"/>
        </w:rPr>
      </w:pPr>
    </w:p>
    <w:p w14:paraId="5998EA13"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2"/>
      <w:bookmarkEnd w:id="93"/>
      <w:bookmarkEnd w:id="94"/>
      <w:bookmarkEnd w:id="95"/>
      <w:bookmarkEnd w:id="96"/>
      <w:bookmarkEnd w:id="97"/>
      <w:bookmarkEnd w:id="98"/>
      <w:bookmarkEnd w:id="99"/>
    </w:p>
    <w:sectPr w:rsidR="00DC3CDB" w:rsidSect="00146838">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EE359" w14:textId="77777777" w:rsidR="00146838" w:rsidRDefault="00146838">
      <w:r>
        <w:separator/>
      </w:r>
    </w:p>
    <w:p w14:paraId="43E4B269" w14:textId="77777777" w:rsidR="00146838" w:rsidRDefault="00146838"/>
  </w:endnote>
  <w:endnote w:type="continuationSeparator" w:id="0">
    <w:p w14:paraId="26DD5606" w14:textId="77777777" w:rsidR="00146838" w:rsidRDefault="00146838">
      <w:r>
        <w:continuationSeparator/>
      </w:r>
    </w:p>
    <w:p w14:paraId="1439DDE1" w14:textId="77777777" w:rsidR="00146838" w:rsidRDefault="00146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05C5"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D14E74" w14:textId="77777777" w:rsidR="00F11B78" w:rsidRDefault="00F11B78" w:rsidP="00BD6C4A">
    <w:pPr>
      <w:pStyle w:val="Footer"/>
      <w:ind w:right="360"/>
    </w:pPr>
  </w:p>
  <w:p w14:paraId="31BB8398"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60EF0"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75880692" w14:textId="77777777" w:rsidR="00F11B78" w:rsidRDefault="00F11B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39895" w14:textId="24F87ECF"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AA00" w14:textId="77777777" w:rsidR="00146838" w:rsidRDefault="00146838">
      <w:r>
        <w:separator/>
      </w:r>
    </w:p>
    <w:p w14:paraId="389F81FD" w14:textId="77777777" w:rsidR="00146838" w:rsidRDefault="00146838"/>
  </w:footnote>
  <w:footnote w:type="continuationSeparator" w:id="0">
    <w:p w14:paraId="7CB7FADD" w14:textId="77777777" w:rsidR="00146838" w:rsidRDefault="00146838">
      <w:r>
        <w:continuationSeparator/>
      </w:r>
    </w:p>
    <w:p w14:paraId="391FF50F" w14:textId="77777777" w:rsidR="00146838" w:rsidRDefault="00146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F0E4" w14:textId="77777777" w:rsidR="00F11B78" w:rsidRDefault="00F11B78">
    <w:pPr>
      <w:pStyle w:val="Header"/>
    </w:pPr>
  </w:p>
  <w:p w14:paraId="72393377"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8808" w14:textId="4135FDB8" w:rsidR="00F11B78" w:rsidRPr="00391165" w:rsidRDefault="00DE5527" w:rsidP="00DE5527">
    <w:pPr>
      <w:ind w:left="6480" w:firstLine="180"/>
      <w:rPr>
        <w:rFonts w:cs="Arial"/>
        <w:sz w:val="20"/>
      </w:rPr>
    </w:pPr>
    <w:r>
      <w:rPr>
        <w:rFonts w:cs="Arial"/>
        <w:sz w:val="20"/>
      </w:rPr>
      <w:t>R</w:t>
    </w:r>
    <w:r w:rsidR="00F11B78" w:rsidRPr="00E414B8">
      <w:rPr>
        <w:rFonts w:cs="Arial"/>
        <w:sz w:val="20"/>
      </w:rPr>
      <w:t>OP No:  MI-ROP-</w:t>
    </w:r>
    <w:bookmarkStart w:id="122" w:name="bSRN4"/>
    <w:bookmarkEnd w:id="122"/>
    <w:r w:rsidR="009E772C">
      <w:rPr>
        <w:rFonts w:cs="Arial"/>
        <w:sz w:val="20"/>
      </w:rPr>
      <w:t>B8573</w:t>
    </w:r>
    <w:r w:rsidR="00F11B78" w:rsidRPr="00E414B8">
      <w:rPr>
        <w:rFonts w:cs="Arial"/>
        <w:sz w:val="20"/>
      </w:rPr>
      <w:t>-</w:t>
    </w:r>
    <w:bookmarkStart w:id="123" w:name="bIssueYear3"/>
    <w:bookmarkEnd w:id="123"/>
    <w:r w:rsidR="009E772C" w:rsidRPr="00391165">
      <w:rPr>
        <w:rFonts w:cs="Arial"/>
        <w:sz w:val="20"/>
      </w:rPr>
      <w:t>20</w:t>
    </w:r>
    <w:r>
      <w:rPr>
        <w:rFonts w:cs="Arial"/>
        <w:sz w:val="20"/>
      </w:rPr>
      <w:t>24</w:t>
    </w:r>
  </w:p>
  <w:p w14:paraId="7AA2976F" w14:textId="498E436F" w:rsidR="00F11B78" w:rsidRPr="00391165" w:rsidRDefault="00F11B78" w:rsidP="002332C3">
    <w:pPr>
      <w:pStyle w:val="Header"/>
      <w:tabs>
        <w:tab w:val="clear" w:pos="4320"/>
        <w:tab w:val="clear" w:pos="8640"/>
        <w:tab w:val="left" w:pos="6660"/>
      </w:tabs>
      <w:rPr>
        <w:rFonts w:cs="Arial"/>
        <w:sz w:val="20"/>
      </w:rPr>
    </w:pPr>
    <w:r w:rsidRPr="00391165">
      <w:rPr>
        <w:rFonts w:cs="Arial"/>
        <w:sz w:val="20"/>
      </w:rPr>
      <w:tab/>
      <w:t xml:space="preserve">Expiration Date:  </w:t>
    </w:r>
    <w:bookmarkStart w:id="124" w:name="bExpireDate2"/>
    <w:bookmarkEnd w:id="124"/>
    <w:r w:rsidR="00DE5527">
      <w:rPr>
        <w:rFonts w:cs="Arial"/>
        <w:sz w:val="20"/>
      </w:rPr>
      <w:t xml:space="preserve">October </w:t>
    </w:r>
    <w:r w:rsidR="00CF0172">
      <w:rPr>
        <w:rFonts w:cs="Arial"/>
        <w:sz w:val="20"/>
      </w:rPr>
      <w:t>14</w:t>
    </w:r>
    <w:r w:rsidR="00DE5527">
      <w:rPr>
        <w:rFonts w:cs="Arial"/>
        <w:sz w:val="20"/>
      </w:rPr>
      <w:t>, 2029</w:t>
    </w:r>
  </w:p>
  <w:p w14:paraId="4A987955" w14:textId="0B69038F" w:rsidR="00F11B78" w:rsidRDefault="00F11B78" w:rsidP="00B63D7A">
    <w:pPr>
      <w:pStyle w:val="Header"/>
      <w:tabs>
        <w:tab w:val="clear" w:pos="8640"/>
        <w:tab w:val="left" w:pos="6660"/>
      </w:tabs>
      <w:rPr>
        <w:sz w:val="20"/>
      </w:rPr>
    </w:pPr>
    <w:r w:rsidRPr="00391165">
      <w:rPr>
        <w:sz w:val="20"/>
      </w:rPr>
      <w:tab/>
    </w:r>
    <w:r w:rsidRPr="00391165">
      <w:rPr>
        <w:sz w:val="20"/>
      </w:rPr>
      <w:tab/>
      <w:t>PTI No:  MI-PTI</w:t>
    </w:r>
    <w:bookmarkStart w:id="125" w:name="bIssueYear4"/>
    <w:bookmarkStart w:id="126" w:name="bSRN5"/>
    <w:bookmarkEnd w:id="125"/>
    <w:bookmarkEnd w:id="126"/>
    <w:r w:rsidR="009E772C" w:rsidRPr="00391165">
      <w:rPr>
        <w:sz w:val="20"/>
      </w:rPr>
      <w:t>-B8573</w:t>
    </w:r>
    <w:r w:rsidR="00541363" w:rsidRPr="00391165">
      <w:rPr>
        <w:sz w:val="20"/>
      </w:rPr>
      <w:t>-</w:t>
    </w:r>
    <w:r w:rsidR="009E772C" w:rsidRPr="00391165">
      <w:rPr>
        <w:sz w:val="20"/>
      </w:rPr>
      <w:t>20</w:t>
    </w:r>
    <w:r w:rsidR="00DE5527">
      <w:rPr>
        <w:sz w:val="20"/>
      </w:rPr>
      <w:t>24</w:t>
    </w:r>
  </w:p>
  <w:p w14:paraId="31158E36" w14:textId="77777777" w:rsidR="007521DF" w:rsidRDefault="007521DF" w:rsidP="00B63D7A">
    <w:pPr>
      <w:pStyle w:val="Header"/>
      <w:tabs>
        <w:tab w:val="clear" w:pos="8640"/>
        <w:tab w:val="left" w:pos="666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AD62" w14:textId="460A8336" w:rsidR="009447F3" w:rsidRPr="009447F3" w:rsidRDefault="009447F3" w:rsidP="009447F3">
    <w:pPr>
      <w:pStyle w:val="Header"/>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136D0"/>
    <w:multiLevelType w:val="hybridMultilevel"/>
    <w:tmpl w:val="2AA44340"/>
    <w:lvl w:ilvl="0" w:tplc="7974F08C">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A7027C"/>
    <w:multiLevelType w:val="hybridMultilevel"/>
    <w:tmpl w:val="955A0212"/>
    <w:lvl w:ilvl="0" w:tplc="DEFE3DB0">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6903FE1"/>
    <w:multiLevelType w:val="hybridMultilevel"/>
    <w:tmpl w:val="524A39E6"/>
    <w:lvl w:ilvl="0" w:tplc="0562F64C">
      <w:start w:val="3"/>
      <w:numFmt w:val="lowerLetter"/>
      <w:lvlText w:val="%1."/>
      <w:lvlJc w:val="left"/>
      <w:pPr>
        <w:ind w:left="1080" w:hanging="360"/>
      </w:pPr>
      <w:rPr>
        <w:rFonts w:hint="default"/>
      </w:rPr>
    </w:lvl>
    <w:lvl w:ilvl="1" w:tplc="FEE8D254">
      <w:start w:val="3"/>
      <w:numFmt w:val="lowerLetter"/>
      <w:lvlText w:val="%2."/>
      <w:lvlJc w:val="left"/>
      <w:pPr>
        <w:ind w:left="1800" w:hanging="360"/>
      </w:pPr>
      <w:rPr>
        <w:rFonts w:ascii="Arial" w:hAnsi="Arial"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C800AB"/>
    <w:multiLevelType w:val="hybridMultilevel"/>
    <w:tmpl w:val="9A2E768E"/>
    <w:lvl w:ilvl="0" w:tplc="AF5AA806">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D9627FE"/>
    <w:multiLevelType w:val="hybridMultilevel"/>
    <w:tmpl w:val="D508248E"/>
    <w:lvl w:ilvl="0" w:tplc="8F16B990">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4FD12D4"/>
    <w:multiLevelType w:val="hybridMultilevel"/>
    <w:tmpl w:val="5FCED970"/>
    <w:lvl w:ilvl="0" w:tplc="43441724">
      <w:start w:val="1"/>
      <w:numFmt w:val="lowerLetter"/>
      <w:lvlText w:val="%1."/>
      <w:lvlJc w:val="left"/>
      <w:pPr>
        <w:ind w:left="1800" w:hanging="360"/>
      </w:pPr>
      <w:rPr>
        <w:rFonts w:ascii="Arial" w:hAnsi="Arial" w:hint="default"/>
        <w:b w:val="0"/>
        <w:i w:val="0"/>
        <w:sz w:val="20"/>
      </w:rPr>
    </w:lvl>
    <w:lvl w:ilvl="1" w:tplc="559812EA">
      <w:start w:val="1"/>
      <w:numFmt w:val="lowerLetter"/>
      <w:lvlText w:val="%2."/>
      <w:lvlJc w:val="left"/>
      <w:pPr>
        <w:ind w:left="1440" w:hanging="360"/>
      </w:pPr>
      <w:rPr>
        <w:rFonts w:ascii="Arial" w:hAnsi="Arial"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6394897">
    <w:abstractNumId w:val="2"/>
  </w:num>
  <w:num w:numId="2" w16cid:durableId="485779082">
    <w:abstractNumId w:val="36"/>
  </w:num>
  <w:num w:numId="3" w16cid:durableId="414940233">
    <w:abstractNumId w:val="6"/>
  </w:num>
  <w:num w:numId="4" w16cid:durableId="1064139866">
    <w:abstractNumId w:val="24"/>
  </w:num>
  <w:num w:numId="5" w16cid:durableId="1120808227">
    <w:abstractNumId w:val="1"/>
  </w:num>
  <w:num w:numId="6" w16cid:durableId="1339429406">
    <w:abstractNumId w:val="37"/>
  </w:num>
  <w:num w:numId="7" w16cid:durableId="1786076463">
    <w:abstractNumId w:val="21"/>
  </w:num>
  <w:num w:numId="8" w16cid:durableId="421417450">
    <w:abstractNumId w:val="32"/>
  </w:num>
  <w:num w:numId="9" w16cid:durableId="1317687794">
    <w:abstractNumId w:val="5"/>
  </w:num>
  <w:num w:numId="10" w16cid:durableId="1626960419">
    <w:abstractNumId w:val="14"/>
  </w:num>
  <w:num w:numId="11" w16cid:durableId="1816604698">
    <w:abstractNumId w:val="25"/>
  </w:num>
  <w:num w:numId="12" w16cid:durableId="354423727">
    <w:abstractNumId w:val="34"/>
  </w:num>
  <w:num w:numId="13" w16cid:durableId="1760559209">
    <w:abstractNumId w:val="31"/>
  </w:num>
  <w:num w:numId="14" w16cid:durableId="234780367">
    <w:abstractNumId w:val="3"/>
  </w:num>
  <w:num w:numId="15" w16cid:durableId="1371878724">
    <w:abstractNumId w:val="33"/>
  </w:num>
  <w:num w:numId="16" w16cid:durableId="680277531">
    <w:abstractNumId w:val="12"/>
  </w:num>
  <w:num w:numId="17" w16cid:durableId="136728160">
    <w:abstractNumId w:val="29"/>
  </w:num>
  <w:num w:numId="18" w16cid:durableId="1493571054">
    <w:abstractNumId w:val="28"/>
  </w:num>
  <w:num w:numId="19" w16cid:durableId="817964581">
    <w:abstractNumId w:val="4"/>
  </w:num>
  <w:num w:numId="20" w16cid:durableId="1461193524">
    <w:abstractNumId w:val="13"/>
  </w:num>
  <w:num w:numId="21" w16cid:durableId="917635138">
    <w:abstractNumId w:val="16"/>
  </w:num>
  <w:num w:numId="22" w16cid:durableId="879245090">
    <w:abstractNumId w:val="0"/>
  </w:num>
  <w:num w:numId="23" w16cid:durableId="242029474">
    <w:abstractNumId w:val="23"/>
  </w:num>
  <w:num w:numId="24" w16cid:durableId="1596093934">
    <w:abstractNumId w:val="19"/>
  </w:num>
  <w:num w:numId="25" w16cid:durableId="842548365">
    <w:abstractNumId w:val="27"/>
  </w:num>
  <w:num w:numId="26" w16cid:durableId="778379733">
    <w:abstractNumId w:val="20"/>
  </w:num>
  <w:num w:numId="27" w16cid:durableId="1872720464">
    <w:abstractNumId w:val="18"/>
  </w:num>
  <w:num w:numId="28" w16cid:durableId="770666573">
    <w:abstractNumId w:val="7"/>
  </w:num>
  <w:num w:numId="29" w16cid:durableId="1937132352">
    <w:abstractNumId w:val="8"/>
  </w:num>
  <w:num w:numId="30" w16cid:durableId="1931499672">
    <w:abstractNumId w:val="15"/>
  </w:num>
  <w:num w:numId="31" w16cid:durableId="17249140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4120270">
    <w:abstractNumId w:val="10"/>
  </w:num>
  <w:num w:numId="33" w16cid:durableId="1833569993">
    <w:abstractNumId w:val="22"/>
  </w:num>
  <w:num w:numId="34" w16cid:durableId="54085003">
    <w:abstractNumId w:val="11"/>
  </w:num>
  <w:num w:numId="35" w16cid:durableId="1915115940">
    <w:abstractNumId w:val="9"/>
  </w:num>
  <w:num w:numId="36" w16cid:durableId="984547542">
    <w:abstractNumId w:val="17"/>
  </w:num>
  <w:num w:numId="37" w16cid:durableId="111242466">
    <w:abstractNumId w:val="30"/>
  </w:num>
  <w:num w:numId="38" w16cid:durableId="1753776001">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7jYUo3W7B7lTvfKJNwKdEu785RRxuCAIpzN3USJf/nSg32H/ZRuq7lYGjZHG9L/NXDHGPNB9Tp1VjadtaVunTA==" w:salt="jn0Swl4F9f9u4xa+BS2v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2C"/>
    <w:rsid w:val="000000B9"/>
    <w:rsid w:val="000067DD"/>
    <w:rsid w:val="00006871"/>
    <w:rsid w:val="000069B5"/>
    <w:rsid w:val="00006A4E"/>
    <w:rsid w:val="00006F92"/>
    <w:rsid w:val="000112F8"/>
    <w:rsid w:val="00012235"/>
    <w:rsid w:val="00012E33"/>
    <w:rsid w:val="00014082"/>
    <w:rsid w:val="00017E74"/>
    <w:rsid w:val="00021E1F"/>
    <w:rsid w:val="00021F93"/>
    <w:rsid w:val="00024091"/>
    <w:rsid w:val="000243E8"/>
    <w:rsid w:val="00025A80"/>
    <w:rsid w:val="0002792B"/>
    <w:rsid w:val="000317CC"/>
    <w:rsid w:val="00034931"/>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2C97"/>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6DDF"/>
    <w:rsid w:val="00117BC4"/>
    <w:rsid w:val="00117BC6"/>
    <w:rsid w:val="0012240D"/>
    <w:rsid w:val="001270E4"/>
    <w:rsid w:val="0012743F"/>
    <w:rsid w:val="00127459"/>
    <w:rsid w:val="0013346B"/>
    <w:rsid w:val="00133F34"/>
    <w:rsid w:val="001375CA"/>
    <w:rsid w:val="00140790"/>
    <w:rsid w:val="00143E55"/>
    <w:rsid w:val="0014500E"/>
    <w:rsid w:val="00146838"/>
    <w:rsid w:val="00146AA5"/>
    <w:rsid w:val="00151027"/>
    <w:rsid w:val="001515E9"/>
    <w:rsid w:val="00152BC7"/>
    <w:rsid w:val="00152C77"/>
    <w:rsid w:val="00153FA5"/>
    <w:rsid w:val="00154BE3"/>
    <w:rsid w:val="00156668"/>
    <w:rsid w:val="001570B9"/>
    <w:rsid w:val="00160359"/>
    <w:rsid w:val="00161CF0"/>
    <w:rsid w:val="00162814"/>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00C"/>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E7A9F"/>
    <w:rsid w:val="001F02BE"/>
    <w:rsid w:val="001F15C6"/>
    <w:rsid w:val="001F25A4"/>
    <w:rsid w:val="001F2F2C"/>
    <w:rsid w:val="001F3E8E"/>
    <w:rsid w:val="001F649E"/>
    <w:rsid w:val="001F7DDD"/>
    <w:rsid w:val="002002CC"/>
    <w:rsid w:val="00200950"/>
    <w:rsid w:val="00201DE4"/>
    <w:rsid w:val="0020723D"/>
    <w:rsid w:val="00216128"/>
    <w:rsid w:val="0022115A"/>
    <w:rsid w:val="00221386"/>
    <w:rsid w:val="0022171F"/>
    <w:rsid w:val="002229D7"/>
    <w:rsid w:val="00226013"/>
    <w:rsid w:val="002266D2"/>
    <w:rsid w:val="00230346"/>
    <w:rsid w:val="00231889"/>
    <w:rsid w:val="00232A18"/>
    <w:rsid w:val="002332C3"/>
    <w:rsid w:val="00233961"/>
    <w:rsid w:val="00233CD5"/>
    <w:rsid w:val="00233E3B"/>
    <w:rsid w:val="00233E61"/>
    <w:rsid w:val="00234667"/>
    <w:rsid w:val="0023479A"/>
    <w:rsid w:val="00235B98"/>
    <w:rsid w:val="002373B3"/>
    <w:rsid w:val="002413B2"/>
    <w:rsid w:val="00241B5D"/>
    <w:rsid w:val="002425DC"/>
    <w:rsid w:val="00244C2E"/>
    <w:rsid w:val="00244FD5"/>
    <w:rsid w:val="002465A7"/>
    <w:rsid w:val="00251830"/>
    <w:rsid w:val="00251FED"/>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288"/>
    <w:rsid w:val="002E3875"/>
    <w:rsid w:val="002E4DE5"/>
    <w:rsid w:val="002E6E40"/>
    <w:rsid w:val="002E6E9A"/>
    <w:rsid w:val="002F1A73"/>
    <w:rsid w:val="002F2615"/>
    <w:rsid w:val="002F307C"/>
    <w:rsid w:val="002F4C64"/>
    <w:rsid w:val="002F4C9E"/>
    <w:rsid w:val="0030089A"/>
    <w:rsid w:val="00302715"/>
    <w:rsid w:val="003033E1"/>
    <w:rsid w:val="003035A1"/>
    <w:rsid w:val="00304085"/>
    <w:rsid w:val="003042E2"/>
    <w:rsid w:val="00304770"/>
    <w:rsid w:val="00304852"/>
    <w:rsid w:val="003051A1"/>
    <w:rsid w:val="003052C8"/>
    <w:rsid w:val="0030591B"/>
    <w:rsid w:val="003102FB"/>
    <w:rsid w:val="003113BF"/>
    <w:rsid w:val="003163DA"/>
    <w:rsid w:val="0031787E"/>
    <w:rsid w:val="0032188A"/>
    <w:rsid w:val="00322F56"/>
    <w:rsid w:val="00324B98"/>
    <w:rsid w:val="003255D2"/>
    <w:rsid w:val="00327430"/>
    <w:rsid w:val="0033042D"/>
    <w:rsid w:val="00330626"/>
    <w:rsid w:val="003310CA"/>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291F"/>
    <w:rsid w:val="003633AD"/>
    <w:rsid w:val="003647B9"/>
    <w:rsid w:val="00371AEB"/>
    <w:rsid w:val="00372E7C"/>
    <w:rsid w:val="00374A95"/>
    <w:rsid w:val="003757DF"/>
    <w:rsid w:val="00375AE2"/>
    <w:rsid w:val="003802E9"/>
    <w:rsid w:val="0038082B"/>
    <w:rsid w:val="00382004"/>
    <w:rsid w:val="00384E08"/>
    <w:rsid w:val="00385F1E"/>
    <w:rsid w:val="00385FF4"/>
    <w:rsid w:val="0039080E"/>
    <w:rsid w:val="00391165"/>
    <w:rsid w:val="003922C1"/>
    <w:rsid w:val="00392956"/>
    <w:rsid w:val="00393A6F"/>
    <w:rsid w:val="00395AB3"/>
    <w:rsid w:val="00395F98"/>
    <w:rsid w:val="00396734"/>
    <w:rsid w:val="003968B8"/>
    <w:rsid w:val="003A0E4B"/>
    <w:rsid w:val="003A0F52"/>
    <w:rsid w:val="003A28DA"/>
    <w:rsid w:val="003A327D"/>
    <w:rsid w:val="003A4268"/>
    <w:rsid w:val="003A52A1"/>
    <w:rsid w:val="003A6802"/>
    <w:rsid w:val="003B1CC9"/>
    <w:rsid w:val="003B3AB8"/>
    <w:rsid w:val="003B4A42"/>
    <w:rsid w:val="003B5C33"/>
    <w:rsid w:val="003B5FEF"/>
    <w:rsid w:val="003C19DE"/>
    <w:rsid w:val="003C2679"/>
    <w:rsid w:val="003C4678"/>
    <w:rsid w:val="003C4BF3"/>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34ED"/>
    <w:rsid w:val="004249DD"/>
    <w:rsid w:val="00425031"/>
    <w:rsid w:val="004255EC"/>
    <w:rsid w:val="00427891"/>
    <w:rsid w:val="00430A3C"/>
    <w:rsid w:val="00431A42"/>
    <w:rsid w:val="00431EA0"/>
    <w:rsid w:val="0043250B"/>
    <w:rsid w:val="00434344"/>
    <w:rsid w:val="00435A6A"/>
    <w:rsid w:val="004377EE"/>
    <w:rsid w:val="00440957"/>
    <w:rsid w:val="00440C26"/>
    <w:rsid w:val="004425B7"/>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0A63"/>
    <w:rsid w:val="004E101B"/>
    <w:rsid w:val="004E2DF9"/>
    <w:rsid w:val="004E384B"/>
    <w:rsid w:val="004F09CF"/>
    <w:rsid w:val="004F0BCA"/>
    <w:rsid w:val="004F0E04"/>
    <w:rsid w:val="004F111B"/>
    <w:rsid w:val="004F1860"/>
    <w:rsid w:val="004F2B2E"/>
    <w:rsid w:val="004F47B3"/>
    <w:rsid w:val="004F5B1A"/>
    <w:rsid w:val="004F5DF2"/>
    <w:rsid w:val="004F6B23"/>
    <w:rsid w:val="004F77DB"/>
    <w:rsid w:val="00500C81"/>
    <w:rsid w:val="0050200E"/>
    <w:rsid w:val="005032BF"/>
    <w:rsid w:val="005035AE"/>
    <w:rsid w:val="00504297"/>
    <w:rsid w:val="0050707C"/>
    <w:rsid w:val="005114C5"/>
    <w:rsid w:val="0051355E"/>
    <w:rsid w:val="00514668"/>
    <w:rsid w:val="00514F56"/>
    <w:rsid w:val="00515D25"/>
    <w:rsid w:val="005161BF"/>
    <w:rsid w:val="00516B00"/>
    <w:rsid w:val="00517D38"/>
    <w:rsid w:val="00517F80"/>
    <w:rsid w:val="005207F9"/>
    <w:rsid w:val="0052082F"/>
    <w:rsid w:val="00521599"/>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3610"/>
    <w:rsid w:val="005A402E"/>
    <w:rsid w:val="005A494F"/>
    <w:rsid w:val="005A53BF"/>
    <w:rsid w:val="005A6329"/>
    <w:rsid w:val="005A7899"/>
    <w:rsid w:val="005B1526"/>
    <w:rsid w:val="005B1A4B"/>
    <w:rsid w:val="005B1DED"/>
    <w:rsid w:val="005B2191"/>
    <w:rsid w:val="005B2E64"/>
    <w:rsid w:val="005B508D"/>
    <w:rsid w:val="005B60CF"/>
    <w:rsid w:val="005B7DF9"/>
    <w:rsid w:val="005C07D8"/>
    <w:rsid w:val="005C142E"/>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50F3"/>
    <w:rsid w:val="005F70F5"/>
    <w:rsid w:val="005F7AB4"/>
    <w:rsid w:val="00600524"/>
    <w:rsid w:val="00603F1B"/>
    <w:rsid w:val="00604FCD"/>
    <w:rsid w:val="006065E2"/>
    <w:rsid w:val="00606A98"/>
    <w:rsid w:val="0060772E"/>
    <w:rsid w:val="00611D4F"/>
    <w:rsid w:val="006148BA"/>
    <w:rsid w:val="00614B30"/>
    <w:rsid w:val="00614F3E"/>
    <w:rsid w:val="00616027"/>
    <w:rsid w:val="006173A1"/>
    <w:rsid w:val="00620183"/>
    <w:rsid w:val="0062119B"/>
    <w:rsid w:val="006216D3"/>
    <w:rsid w:val="0062282D"/>
    <w:rsid w:val="006231CC"/>
    <w:rsid w:val="006239A2"/>
    <w:rsid w:val="00624B73"/>
    <w:rsid w:val="00624C4A"/>
    <w:rsid w:val="006270FA"/>
    <w:rsid w:val="0063015F"/>
    <w:rsid w:val="0063184B"/>
    <w:rsid w:val="006320E4"/>
    <w:rsid w:val="00632741"/>
    <w:rsid w:val="00633C60"/>
    <w:rsid w:val="00633CFE"/>
    <w:rsid w:val="0063453B"/>
    <w:rsid w:val="00636F7C"/>
    <w:rsid w:val="0063764A"/>
    <w:rsid w:val="006377A6"/>
    <w:rsid w:val="006409E6"/>
    <w:rsid w:val="00640DAC"/>
    <w:rsid w:val="0064210C"/>
    <w:rsid w:val="0064283E"/>
    <w:rsid w:val="00642C98"/>
    <w:rsid w:val="00644153"/>
    <w:rsid w:val="00644DF8"/>
    <w:rsid w:val="00646B80"/>
    <w:rsid w:val="00646EB0"/>
    <w:rsid w:val="00646EC6"/>
    <w:rsid w:val="00650A8F"/>
    <w:rsid w:val="00651081"/>
    <w:rsid w:val="0065116B"/>
    <w:rsid w:val="00652842"/>
    <w:rsid w:val="006538D9"/>
    <w:rsid w:val="00655DC0"/>
    <w:rsid w:val="00656AC0"/>
    <w:rsid w:val="00661224"/>
    <w:rsid w:val="006615E2"/>
    <w:rsid w:val="00665417"/>
    <w:rsid w:val="00665478"/>
    <w:rsid w:val="0066595D"/>
    <w:rsid w:val="0067176C"/>
    <w:rsid w:val="00671FED"/>
    <w:rsid w:val="00672E09"/>
    <w:rsid w:val="00673358"/>
    <w:rsid w:val="00673BC8"/>
    <w:rsid w:val="006746BD"/>
    <w:rsid w:val="00674FBC"/>
    <w:rsid w:val="00680067"/>
    <w:rsid w:val="00680676"/>
    <w:rsid w:val="006816F7"/>
    <w:rsid w:val="0068205D"/>
    <w:rsid w:val="0068362D"/>
    <w:rsid w:val="00684018"/>
    <w:rsid w:val="006874EB"/>
    <w:rsid w:val="00690C5A"/>
    <w:rsid w:val="00690F0D"/>
    <w:rsid w:val="00691891"/>
    <w:rsid w:val="00693960"/>
    <w:rsid w:val="00694226"/>
    <w:rsid w:val="00695513"/>
    <w:rsid w:val="00696E27"/>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31"/>
    <w:rsid w:val="006E7E8E"/>
    <w:rsid w:val="006F0E96"/>
    <w:rsid w:val="006F1CF6"/>
    <w:rsid w:val="006F2C46"/>
    <w:rsid w:val="006F37A6"/>
    <w:rsid w:val="006F4A84"/>
    <w:rsid w:val="006F555B"/>
    <w:rsid w:val="006F5D35"/>
    <w:rsid w:val="006F7429"/>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27724"/>
    <w:rsid w:val="00730A50"/>
    <w:rsid w:val="00734D35"/>
    <w:rsid w:val="0073523B"/>
    <w:rsid w:val="007366EB"/>
    <w:rsid w:val="00736BDB"/>
    <w:rsid w:val="00736D46"/>
    <w:rsid w:val="00737183"/>
    <w:rsid w:val="0073763E"/>
    <w:rsid w:val="00740FB3"/>
    <w:rsid w:val="00741D93"/>
    <w:rsid w:val="00744901"/>
    <w:rsid w:val="00745526"/>
    <w:rsid w:val="007455ED"/>
    <w:rsid w:val="00745818"/>
    <w:rsid w:val="007462AC"/>
    <w:rsid w:val="00746B3F"/>
    <w:rsid w:val="00750161"/>
    <w:rsid w:val="007521DF"/>
    <w:rsid w:val="00752D7A"/>
    <w:rsid w:val="0075368E"/>
    <w:rsid w:val="007542B3"/>
    <w:rsid w:val="0075518C"/>
    <w:rsid w:val="00765F1A"/>
    <w:rsid w:val="00766B07"/>
    <w:rsid w:val="007701F8"/>
    <w:rsid w:val="00770D74"/>
    <w:rsid w:val="007713F1"/>
    <w:rsid w:val="007718C6"/>
    <w:rsid w:val="007721E9"/>
    <w:rsid w:val="007743F0"/>
    <w:rsid w:val="00774AB9"/>
    <w:rsid w:val="00774B98"/>
    <w:rsid w:val="00775BB9"/>
    <w:rsid w:val="00780983"/>
    <w:rsid w:val="00784B66"/>
    <w:rsid w:val="00784CFD"/>
    <w:rsid w:val="00785E06"/>
    <w:rsid w:val="00785EAC"/>
    <w:rsid w:val="00786553"/>
    <w:rsid w:val="00786C09"/>
    <w:rsid w:val="00790853"/>
    <w:rsid w:val="00791BB1"/>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04A6"/>
    <w:rsid w:val="007C452F"/>
    <w:rsid w:val="007C57A5"/>
    <w:rsid w:val="007C7621"/>
    <w:rsid w:val="007C7A90"/>
    <w:rsid w:val="007D1729"/>
    <w:rsid w:val="007D2FBD"/>
    <w:rsid w:val="007D348A"/>
    <w:rsid w:val="007D3703"/>
    <w:rsid w:val="007D4237"/>
    <w:rsid w:val="007D5FF8"/>
    <w:rsid w:val="007D6731"/>
    <w:rsid w:val="007E0212"/>
    <w:rsid w:val="007E091E"/>
    <w:rsid w:val="007E0EE4"/>
    <w:rsid w:val="007E32BB"/>
    <w:rsid w:val="007E4030"/>
    <w:rsid w:val="007E490C"/>
    <w:rsid w:val="007F1A87"/>
    <w:rsid w:val="007F320C"/>
    <w:rsid w:val="007F3965"/>
    <w:rsid w:val="007F3CE7"/>
    <w:rsid w:val="007F7347"/>
    <w:rsid w:val="00800656"/>
    <w:rsid w:val="00800D49"/>
    <w:rsid w:val="00800F24"/>
    <w:rsid w:val="008055D8"/>
    <w:rsid w:val="0080590E"/>
    <w:rsid w:val="00806D12"/>
    <w:rsid w:val="0080749F"/>
    <w:rsid w:val="00807634"/>
    <w:rsid w:val="008101C6"/>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5B09"/>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36AC"/>
    <w:rsid w:val="008539B7"/>
    <w:rsid w:val="00854153"/>
    <w:rsid w:val="008544F3"/>
    <w:rsid w:val="00855EA0"/>
    <w:rsid w:val="0085653E"/>
    <w:rsid w:val="0085717A"/>
    <w:rsid w:val="00857C26"/>
    <w:rsid w:val="00861233"/>
    <w:rsid w:val="0086167B"/>
    <w:rsid w:val="00862334"/>
    <w:rsid w:val="008627B5"/>
    <w:rsid w:val="0086299F"/>
    <w:rsid w:val="00862ED1"/>
    <w:rsid w:val="00863111"/>
    <w:rsid w:val="008637E3"/>
    <w:rsid w:val="008653C8"/>
    <w:rsid w:val="00865632"/>
    <w:rsid w:val="00866ECC"/>
    <w:rsid w:val="00871287"/>
    <w:rsid w:val="008737B6"/>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4BF9"/>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1ABF"/>
    <w:rsid w:val="009222BA"/>
    <w:rsid w:val="009233B2"/>
    <w:rsid w:val="00926547"/>
    <w:rsid w:val="00927270"/>
    <w:rsid w:val="00930C1A"/>
    <w:rsid w:val="00932561"/>
    <w:rsid w:val="00933E24"/>
    <w:rsid w:val="00934EA9"/>
    <w:rsid w:val="00936739"/>
    <w:rsid w:val="00937179"/>
    <w:rsid w:val="0094194F"/>
    <w:rsid w:val="00943C67"/>
    <w:rsid w:val="009447F3"/>
    <w:rsid w:val="009448E0"/>
    <w:rsid w:val="0094514E"/>
    <w:rsid w:val="00946B73"/>
    <w:rsid w:val="00946E9F"/>
    <w:rsid w:val="00947357"/>
    <w:rsid w:val="00950BE4"/>
    <w:rsid w:val="009525FD"/>
    <w:rsid w:val="009539C8"/>
    <w:rsid w:val="00955616"/>
    <w:rsid w:val="00956139"/>
    <w:rsid w:val="009602B7"/>
    <w:rsid w:val="00960BD7"/>
    <w:rsid w:val="009613AF"/>
    <w:rsid w:val="00961A2F"/>
    <w:rsid w:val="0096213B"/>
    <w:rsid w:val="009628BB"/>
    <w:rsid w:val="0096474C"/>
    <w:rsid w:val="00965B19"/>
    <w:rsid w:val="009668B9"/>
    <w:rsid w:val="00967CFC"/>
    <w:rsid w:val="00972641"/>
    <w:rsid w:val="00972C29"/>
    <w:rsid w:val="00974763"/>
    <w:rsid w:val="0097566A"/>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5EB5"/>
    <w:rsid w:val="009B70A7"/>
    <w:rsid w:val="009B716E"/>
    <w:rsid w:val="009C023E"/>
    <w:rsid w:val="009C1AA9"/>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E772C"/>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20D4"/>
    <w:rsid w:val="00A23F19"/>
    <w:rsid w:val="00A23F64"/>
    <w:rsid w:val="00A24EF1"/>
    <w:rsid w:val="00A25076"/>
    <w:rsid w:val="00A34B51"/>
    <w:rsid w:val="00A34CC4"/>
    <w:rsid w:val="00A36763"/>
    <w:rsid w:val="00A409AF"/>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6008"/>
    <w:rsid w:val="00A775C6"/>
    <w:rsid w:val="00A80977"/>
    <w:rsid w:val="00A80EA0"/>
    <w:rsid w:val="00A81225"/>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7F6"/>
    <w:rsid w:val="00AC29BE"/>
    <w:rsid w:val="00AC3DCD"/>
    <w:rsid w:val="00AC5663"/>
    <w:rsid w:val="00AC614D"/>
    <w:rsid w:val="00AC6A86"/>
    <w:rsid w:val="00AD01DF"/>
    <w:rsid w:val="00AD1E74"/>
    <w:rsid w:val="00AD21AD"/>
    <w:rsid w:val="00AD441E"/>
    <w:rsid w:val="00AD4678"/>
    <w:rsid w:val="00AD4BEB"/>
    <w:rsid w:val="00AE1187"/>
    <w:rsid w:val="00AE1D84"/>
    <w:rsid w:val="00AE2FA7"/>
    <w:rsid w:val="00AE62E4"/>
    <w:rsid w:val="00AE63D6"/>
    <w:rsid w:val="00AE6A4E"/>
    <w:rsid w:val="00AF168A"/>
    <w:rsid w:val="00AF183E"/>
    <w:rsid w:val="00AF1C4F"/>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26D9D"/>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8B6"/>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16A6"/>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9F2"/>
    <w:rsid w:val="00BA5CC0"/>
    <w:rsid w:val="00BA695C"/>
    <w:rsid w:val="00BB022D"/>
    <w:rsid w:val="00BB103F"/>
    <w:rsid w:val="00BB13D1"/>
    <w:rsid w:val="00BB23E6"/>
    <w:rsid w:val="00BB36FE"/>
    <w:rsid w:val="00BB49FE"/>
    <w:rsid w:val="00BB6058"/>
    <w:rsid w:val="00BB7C9E"/>
    <w:rsid w:val="00BC107D"/>
    <w:rsid w:val="00BC48B8"/>
    <w:rsid w:val="00BC48DF"/>
    <w:rsid w:val="00BC5ACB"/>
    <w:rsid w:val="00BD04A1"/>
    <w:rsid w:val="00BD3CBA"/>
    <w:rsid w:val="00BD640D"/>
    <w:rsid w:val="00BD6AF5"/>
    <w:rsid w:val="00BD6C4A"/>
    <w:rsid w:val="00BD6C6D"/>
    <w:rsid w:val="00BD6F22"/>
    <w:rsid w:val="00BE0766"/>
    <w:rsid w:val="00BE42B9"/>
    <w:rsid w:val="00BE535F"/>
    <w:rsid w:val="00BF00F3"/>
    <w:rsid w:val="00BF3332"/>
    <w:rsid w:val="00BF63B0"/>
    <w:rsid w:val="00BF7CB0"/>
    <w:rsid w:val="00BF7F72"/>
    <w:rsid w:val="00C011AB"/>
    <w:rsid w:val="00C05C56"/>
    <w:rsid w:val="00C05F14"/>
    <w:rsid w:val="00C063C0"/>
    <w:rsid w:val="00C06ED7"/>
    <w:rsid w:val="00C07D89"/>
    <w:rsid w:val="00C1113C"/>
    <w:rsid w:val="00C12A10"/>
    <w:rsid w:val="00C16668"/>
    <w:rsid w:val="00C175E1"/>
    <w:rsid w:val="00C17B92"/>
    <w:rsid w:val="00C2134D"/>
    <w:rsid w:val="00C21D15"/>
    <w:rsid w:val="00C22B41"/>
    <w:rsid w:val="00C24A37"/>
    <w:rsid w:val="00C250A9"/>
    <w:rsid w:val="00C25938"/>
    <w:rsid w:val="00C26134"/>
    <w:rsid w:val="00C2618F"/>
    <w:rsid w:val="00C31A89"/>
    <w:rsid w:val="00C34A5A"/>
    <w:rsid w:val="00C35218"/>
    <w:rsid w:val="00C3571F"/>
    <w:rsid w:val="00C36162"/>
    <w:rsid w:val="00C363B3"/>
    <w:rsid w:val="00C37067"/>
    <w:rsid w:val="00C401DE"/>
    <w:rsid w:val="00C416C1"/>
    <w:rsid w:val="00C41F4B"/>
    <w:rsid w:val="00C423D8"/>
    <w:rsid w:val="00C43223"/>
    <w:rsid w:val="00C44C61"/>
    <w:rsid w:val="00C44E0D"/>
    <w:rsid w:val="00C45EF0"/>
    <w:rsid w:val="00C4691B"/>
    <w:rsid w:val="00C46952"/>
    <w:rsid w:val="00C5097E"/>
    <w:rsid w:val="00C50CB7"/>
    <w:rsid w:val="00C52A08"/>
    <w:rsid w:val="00C53769"/>
    <w:rsid w:val="00C53D5A"/>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97C65"/>
    <w:rsid w:val="00CA231F"/>
    <w:rsid w:val="00CA3179"/>
    <w:rsid w:val="00CA6307"/>
    <w:rsid w:val="00CA665E"/>
    <w:rsid w:val="00CB06AA"/>
    <w:rsid w:val="00CB2632"/>
    <w:rsid w:val="00CB7260"/>
    <w:rsid w:val="00CB7F4F"/>
    <w:rsid w:val="00CC02A3"/>
    <w:rsid w:val="00CC0536"/>
    <w:rsid w:val="00CC13E5"/>
    <w:rsid w:val="00CC57F2"/>
    <w:rsid w:val="00CC5C04"/>
    <w:rsid w:val="00CC5D64"/>
    <w:rsid w:val="00CC6BC5"/>
    <w:rsid w:val="00CD068F"/>
    <w:rsid w:val="00CD2497"/>
    <w:rsid w:val="00CD4737"/>
    <w:rsid w:val="00CD7846"/>
    <w:rsid w:val="00CD7EA8"/>
    <w:rsid w:val="00CE0FF1"/>
    <w:rsid w:val="00CE1923"/>
    <w:rsid w:val="00CE1925"/>
    <w:rsid w:val="00CE2DDF"/>
    <w:rsid w:val="00CE40E3"/>
    <w:rsid w:val="00CE44D8"/>
    <w:rsid w:val="00CE4628"/>
    <w:rsid w:val="00CE4F2C"/>
    <w:rsid w:val="00CE5C49"/>
    <w:rsid w:val="00CE7CD6"/>
    <w:rsid w:val="00CF0172"/>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45A"/>
    <w:rsid w:val="00D46E53"/>
    <w:rsid w:val="00D47218"/>
    <w:rsid w:val="00D503E6"/>
    <w:rsid w:val="00D50DDB"/>
    <w:rsid w:val="00D50F0D"/>
    <w:rsid w:val="00D5293E"/>
    <w:rsid w:val="00D53CE3"/>
    <w:rsid w:val="00D555A9"/>
    <w:rsid w:val="00D55B2C"/>
    <w:rsid w:val="00D55FFF"/>
    <w:rsid w:val="00D56DE9"/>
    <w:rsid w:val="00D56F5E"/>
    <w:rsid w:val="00D57BB5"/>
    <w:rsid w:val="00D606E3"/>
    <w:rsid w:val="00D62872"/>
    <w:rsid w:val="00D64FFC"/>
    <w:rsid w:val="00D6512F"/>
    <w:rsid w:val="00D702C7"/>
    <w:rsid w:val="00D72D77"/>
    <w:rsid w:val="00D74287"/>
    <w:rsid w:val="00D74BA6"/>
    <w:rsid w:val="00D74BBE"/>
    <w:rsid w:val="00D765AA"/>
    <w:rsid w:val="00D80937"/>
    <w:rsid w:val="00D82604"/>
    <w:rsid w:val="00D8429D"/>
    <w:rsid w:val="00D84588"/>
    <w:rsid w:val="00D8564A"/>
    <w:rsid w:val="00D86B5E"/>
    <w:rsid w:val="00D91B0D"/>
    <w:rsid w:val="00D92592"/>
    <w:rsid w:val="00D935B1"/>
    <w:rsid w:val="00D93691"/>
    <w:rsid w:val="00D93901"/>
    <w:rsid w:val="00D93AAD"/>
    <w:rsid w:val="00D96F22"/>
    <w:rsid w:val="00D97005"/>
    <w:rsid w:val="00D97218"/>
    <w:rsid w:val="00D97437"/>
    <w:rsid w:val="00DA20DA"/>
    <w:rsid w:val="00DA5482"/>
    <w:rsid w:val="00DA6C16"/>
    <w:rsid w:val="00DB1151"/>
    <w:rsid w:val="00DB1513"/>
    <w:rsid w:val="00DB2A79"/>
    <w:rsid w:val="00DB34A2"/>
    <w:rsid w:val="00DB3605"/>
    <w:rsid w:val="00DB4BB4"/>
    <w:rsid w:val="00DB5EB0"/>
    <w:rsid w:val="00DC029A"/>
    <w:rsid w:val="00DC22AE"/>
    <w:rsid w:val="00DC2B04"/>
    <w:rsid w:val="00DC3A29"/>
    <w:rsid w:val="00DC3CDB"/>
    <w:rsid w:val="00DC44C7"/>
    <w:rsid w:val="00DC5758"/>
    <w:rsid w:val="00DD09C1"/>
    <w:rsid w:val="00DD1B48"/>
    <w:rsid w:val="00DD3183"/>
    <w:rsid w:val="00DD34D6"/>
    <w:rsid w:val="00DD3E9B"/>
    <w:rsid w:val="00DD4564"/>
    <w:rsid w:val="00DD4C73"/>
    <w:rsid w:val="00DE0229"/>
    <w:rsid w:val="00DE02EC"/>
    <w:rsid w:val="00DE144B"/>
    <w:rsid w:val="00DE297F"/>
    <w:rsid w:val="00DE3E0D"/>
    <w:rsid w:val="00DE5527"/>
    <w:rsid w:val="00DE62B0"/>
    <w:rsid w:val="00DF0078"/>
    <w:rsid w:val="00DF0348"/>
    <w:rsid w:val="00DF42B7"/>
    <w:rsid w:val="00DF47A8"/>
    <w:rsid w:val="00DF5FD6"/>
    <w:rsid w:val="00DF62D4"/>
    <w:rsid w:val="00DF65F0"/>
    <w:rsid w:val="00DF6609"/>
    <w:rsid w:val="00DF71E4"/>
    <w:rsid w:val="00DF7564"/>
    <w:rsid w:val="00E023A3"/>
    <w:rsid w:val="00E03236"/>
    <w:rsid w:val="00E06733"/>
    <w:rsid w:val="00E07623"/>
    <w:rsid w:val="00E10E00"/>
    <w:rsid w:val="00E12C93"/>
    <w:rsid w:val="00E12DE3"/>
    <w:rsid w:val="00E12F2B"/>
    <w:rsid w:val="00E14632"/>
    <w:rsid w:val="00E14D0A"/>
    <w:rsid w:val="00E154FB"/>
    <w:rsid w:val="00E16194"/>
    <w:rsid w:val="00E174A2"/>
    <w:rsid w:val="00E20681"/>
    <w:rsid w:val="00E24CD5"/>
    <w:rsid w:val="00E26233"/>
    <w:rsid w:val="00E27FD2"/>
    <w:rsid w:val="00E31F00"/>
    <w:rsid w:val="00E33024"/>
    <w:rsid w:val="00E33412"/>
    <w:rsid w:val="00E3386C"/>
    <w:rsid w:val="00E342EC"/>
    <w:rsid w:val="00E414B8"/>
    <w:rsid w:val="00E4393D"/>
    <w:rsid w:val="00E45E0A"/>
    <w:rsid w:val="00E512AA"/>
    <w:rsid w:val="00E52AB7"/>
    <w:rsid w:val="00E53654"/>
    <w:rsid w:val="00E55356"/>
    <w:rsid w:val="00E57258"/>
    <w:rsid w:val="00E60BEE"/>
    <w:rsid w:val="00E61A10"/>
    <w:rsid w:val="00E62FD8"/>
    <w:rsid w:val="00E64BE3"/>
    <w:rsid w:val="00E652C3"/>
    <w:rsid w:val="00E662BA"/>
    <w:rsid w:val="00E6685E"/>
    <w:rsid w:val="00E679AC"/>
    <w:rsid w:val="00E67F6E"/>
    <w:rsid w:val="00E716C1"/>
    <w:rsid w:val="00E71DBD"/>
    <w:rsid w:val="00E7223C"/>
    <w:rsid w:val="00E735E6"/>
    <w:rsid w:val="00E7425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6B7"/>
    <w:rsid w:val="00EB07C5"/>
    <w:rsid w:val="00EB1238"/>
    <w:rsid w:val="00EB212A"/>
    <w:rsid w:val="00EB2721"/>
    <w:rsid w:val="00EB3149"/>
    <w:rsid w:val="00EB457B"/>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3C2F"/>
    <w:rsid w:val="00EE57C0"/>
    <w:rsid w:val="00EE5F4E"/>
    <w:rsid w:val="00EE6065"/>
    <w:rsid w:val="00EE62DF"/>
    <w:rsid w:val="00EE6970"/>
    <w:rsid w:val="00EE713F"/>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921"/>
    <w:rsid w:val="00F15F33"/>
    <w:rsid w:val="00F164F1"/>
    <w:rsid w:val="00F16767"/>
    <w:rsid w:val="00F16F5D"/>
    <w:rsid w:val="00F20EDE"/>
    <w:rsid w:val="00F21983"/>
    <w:rsid w:val="00F23328"/>
    <w:rsid w:val="00F24287"/>
    <w:rsid w:val="00F25782"/>
    <w:rsid w:val="00F259E4"/>
    <w:rsid w:val="00F2601B"/>
    <w:rsid w:val="00F2791C"/>
    <w:rsid w:val="00F30EB9"/>
    <w:rsid w:val="00F34503"/>
    <w:rsid w:val="00F35ADC"/>
    <w:rsid w:val="00F35BF3"/>
    <w:rsid w:val="00F428FA"/>
    <w:rsid w:val="00F4313D"/>
    <w:rsid w:val="00F466A0"/>
    <w:rsid w:val="00F466CC"/>
    <w:rsid w:val="00F557DA"/>
    <w:rsid w:val="00F55A47"/>
    <w:rsid w:val="00F571C8"/>
    <w:rsid w:val="00F6033B"/>
    <w:rsid w:val="00F60FAF"/>
    <w:rsid w:val="00F62984"/>
    <w:rsid w:val="00F62E0D"/>
    <w:rsid w:val="00F63BA2"/>
    <w:rsid w:val="00F63FF0"/>
    <w:rsid w:val="00F647A0"/>
    <w:rsid w:val="00F654D2"/>
    <w:rsid w:val="00F66296"/>
    <w:rsid w:val="00F6747E"/>
    <w:rsid w:val="00F67D46"/>
    <w:rsid w:val="00F70E6A"/>
    <w:rsid w:val="00F70F98"/>
    <w:rsid w:val="00F711C8"/>
    <w:rsid w:val="00F71803"/>
    <w:rsid w:val="00F71970"/>
    <w:rsid w:val="00F72694"/>
    <w:rsid w:val="00F73D71"/>
    <w:rsid w:val="00F757CE"/>
    <w:rsid w:val="00F76625"/>
    <w:rsid w:val="00F76F98"/>
    <w:rsid w:val="00F85D4F"/>
    <w:rsid w:val="00F861F5"/>
    <w:rsid w:val="00F867B6"/>
    <w:rsid w:val="00F86884"/>
    <w:rsid w:val="00F86964"/>
    <w:rsid w:val="00F92F76"/>
    <w:rsid w:val="00F954AB"/>
    <w:rsid w:val="00F978DA"/>
    <w:rsid w:val="00FA0205"/>
    <w:rsid w:val="00FA25C4"/>
    <w:rsid w:val="00FB4DB7"/>
    <w:rsid w:val="00FB52DF"/>
    <w:rsid w:val="00FB53C0"/>
    <w:rsid w:val="00FB59FD"/>
    <w:rsid w:val="00FB6540"/>
    <w:rsid w:val="00FB6B54"/>
    <w:rsid w:val="00FB7DFA"/>
    <w:rsid w:val="00FC1581"/>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73"/>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6EFB6"/>
  <w15:chartTrackingRefBased/>
  <w15:docId w15:val="{846D83F9-DDD7-412D-B26C-D4234E68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BCA"/>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B26D9D"/>
    <w:pPr>
      <w:tabs>
        <w:tab w:val="right" w:leader="dot" w:pos="10210"/>
      </w:tabs>
      <w:spacing w:before="120" w:after="120"/>
    </w:pPr>
    <w:rPr>
      <w:b/>
      <w:szCs w:val="22"/>
    </w:rPr>
  </w:style>
  <w:style w:type="paragraph" w:styleId="TOC2">
    <w:name w:val="toc 2"/>
    <w:basedOn w:val="Normal"/>
    <w:next w:val="Normal"/>
    <w:autoRedefine/>
    <w:uiPriority w:val="39"/>
    <w:rsid w:val="00B26D9D"/>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E662BA"/>
    <w:rPr>
      <w:rFonts w:ascii="Arial" w:hAnsi="Arial"/>
      <w:sz w:val="22"/>
    </w:rPr>
  </w:style>
  <w:style w:type="paragraph" w:styleId="NormalWeb">
    <w:name w:val="Normal (Web)"/>
    <w:basedOn w:val="Normal"/>
    <w:rsid w:val="00BC5ACB"/>
    <w:pPr>
      <w:spacing w:before="100" w:beforeAutospacing="1" w:after="100" w:afterAutospacing="1"/>
    </w:pPr>
    <w:rPr>
      <w:rFonts w:ascii="Times New Roman" w:hAnsi="Times New Roman"/>
      <w:sz w:val="24"/>
      <w:szCs w:val="24"/>
    </w:rPr>
  </w:style>
  <w:style w:type="paragraph" w:customStyle="1" w:styleId="Default">
    <w:name w:val="Default"/>
    <w:rsid w:val="00BC5AC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BC5ACB"/>
    <w:pPr>
      <w:spacing w:after="120" w:line="480" w:lineRule="auto"/>
      <w:ind w:left="360"/>
    </w:pPr>
  </w:style>
  <w:style w:type="character" w:customStyle="1" w:styleId="BodyTextIndent2Char">
    <w:name w:val="Body Text Indent 2 Char"/>
    <w:basedOn w:val="DefaultParagraphFont"/>
    <w:link w:val="BodyTextIndent2"/>
    <w:rsid w:val="00BC5AC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97506393">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8824</Words>
  <Characters>48390</Characters>
  <Application>Microsoft Office Word</Application>
  <DocSecurity>0</DocSecurity>
  <Lines>1273</Lines>
  <Paragraphs>627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56907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Noble-Woods, Deb (EGLE)</dc:creator>
  <cp:keywords>AQD-AIR-ROP-TITLE V, Template Shell New</cp:keywords>
  <dc:description/>
  <cp:lastModifiedBy>Noble-Woods, Deb (EGLE)</cp:lastModifiedBy>
  <cp:revision>8</cp:revision>
  <cp:lastPrinted>2024-10-14T15:51:00Z</cp:lastPrinted>
  <dcterms:created xsi:type="dcterms:W3CDTF">2024-10-14T15:28:00Z</dcterms:created>
  <dcterms:modified xsi:type="dcterms:W3CDTF">2024-10-14T15:53:00Z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