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6F0DA41" w14:textId="77777777" w:rsidTr="00846376">
        <w:trPr>
          <w:trHeight w:val="651"/>
        </w:trPr>
        <w:tc>
          <w:tcPr>
            <w:tcW w:w="810" w:type="dxa"/>
          </w:tcPr>
          <w:p w14:paraId="62CBD1C0" w14:textId="77777777" w:rsidR="005E5399" w:rsidRDefault="005E5399">
            <w:pPr>
              <w:jc w:val="center"/>
              <w:rPr>
                <w:sz w:val="16"/>
              </w:rPr>
            </w:pPr>
          </w:p>
        </w:tc>
        <w:tc>
          <w:tcPr>
            <w:tcW w:w="9000" w:type="dxa"/>
          </w:tcPr>
          <w:p w14:paraId="403A8F7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19D899D" w14:textId="77777777" w:rsidR="005E5399" w:rsidRDefault="00012E33">
            <w:pPr>
              <w:spacing w:before="20" w:after="20"/>
              <w:jc w:val="center"/>
              <w:rPr>
                <w:sz w:val="16"/>
              </w:rPr>
            </w:pPr>
            <w:r w:rsidRPr="00012E33">
              <w:rPr>
                <w:b/>
                <w:sz w:val="24"/>
                <w:szCs w:val="24"/>
              </w:rPr>
              <w:t>AIR QUALITY DIVISION</w:t>
            </w:r>
          </w:p>
        </w:tc>
        <w:tc>
          <w:tcPr>
            <w:tcW w:w="720" w:type="dxa"/>
          </w:tcPr>
          <w:p w14:paraId="33B52247" w14:textId="77777777" w:rsidR="005E5399" w:rsidRDefault="005E5399">
            <w:pPr>
              <w:jc w:val="center"/>
              <w:rPr>
                <w:b/>
                <w:sz w:val="24"/>
              </w:rPr>
            </w:pPr>
          </w:p>
        </w:tc>
      </w:tr>
      <w:tr w:rsidR="005E5399" w14:paraId="016875C9" w14:textId="77777777" w:rsidTr="00846376">
        <w:trPr>
          <w:cantSplit/>
          <w:trHeight w:val="149"/>
        </w:trPr>
        <w:tc>
          <w:tcPr>
            <w:tcW w:w="10530" w:type="dxa"/>
            <w:gridSpan w:val="3"/>
          </w:tcPr>
          <w:p w14:paraId="20F1CF00" w14:textId="77777777" w:rsidR="00C7692A" w:rsidRPr="006B4E48" w:rsidRDefault="00C7692A" w:rsidP="00C2618F">
            <w:pPr>
              <w:jc w:val="center"/>
              <w:rPr>
                <w:szCs w:val="22"/>
              </w:rPr>
            </w:pPr>
          </w:p>
          <w:p w14:paraId="779EEF3D" w14:textId="60C44383"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6BE8">
              <w:rPr>
                <w:szCs w:val="22"/>
              </w:rPr>
              <w:t xml:space="preserve">  October 19, 2022</w:t>
            </w:r>
          </w:p>
          <w:p w14:paraId="274CF8DD" w14:textId="77777777" w:rsidR="006B4E48" w:rsidRPr="00927270" w:rsidRDefault="006B4E48" w:rsidP="00C2618F">
            <w:pPr>
              <w:jc w:val="center"/>
              <w:rPr>
                <w:szCs w:val="22"/>
              </w:rPr>
            </w:pPr>
          </w:p>
          <w:p w14:paraId="4EF3F9F2" w14:textId="77777777" w:rsidR="00C2618F" w:rsidRPr="00927270" w:rsidRDefault="00C2618F" w:rsidP="00C2618F">
            <w:pPr>
              <w:jc w:val="center"/>
              <w:rPr>
                <w:szCs w:val="22"/>
              </w:rPr>
            </w:pPr>
            <w:r w:rsidRPr="00927270">
              <w:rPr>
                <w:szCs w:val="22"/>
              </w:rPr>
              <w:t>ISSUED TO</w:t>
            </w:r>
          </w:p>
          <w:p w14:paraId="00C89395" w14:textId="77777777" w:rsidR="00C2618F" w:rsidRPr="00927270" w:rsidRDefault="00C2618F" w:rsidP="00C2618F">
            <w:pPr>
              <w:jc w:val="center"/>
              <w:rPr>
                <w:szCs w:val="22"/>
              </w:rPr>
            </w:pPr>
          </w:p>
          <w:p w14:paraId="29D2665D" w14:textId="77777777" w:rsidR="00B9050D" w:rsidRPr="00745818" w:rsidRDefault="00ED2AAC" w:rsidP="00B9050D">
            <w:pPr>
              <w:jc w:val="center"/>
              <w:rPr>
                <w:b/>
                <w:szCs w:val="22"/>
              </w:rPr>
            </w:pPr>
            <w:bookmarkStart w:id="0" w:name="bCompanyName"/>
            <w:r>
              <w:rPr>
                <w:b/>
                <w:szCs w:val="22"/>
              </w:rPr>
              <w:t>LaFata Enterprises Inc.</w:t>
            </w:r>
          </w:p>
          <w:bookmarkEnd w:id="0"/>
          <w:p w14:paraId="07ADD036" w14:textId="77777777" w:rsidR="00C2618F" w:rsidRPr="00927270" w:rsidRDefault="00C2618F" w:rsidP="00C2618F">
            <w:pPr>
              <w:jc w:val="center"/>
              <w:rPr>
                <w:szCs w:val="22"/>
              </w:rPr>
            </w:pPr>
          </w:p>
          <w:p w14:paraId="32195F1A" w14:textId="77777777" w:rsidR="00C2618F" w:rsidRDefault="00C2618F" w:rsidP="00C2618F">
            <w:pPr>
              <w:jc w:val="center"/>
              <w:rPr>
                <w:szCs w:val="22"/>
              </w:rPr>
            </w:pPr>
            <w:r w:rsidRPr="00927270">
              <w:rPr>
                <w:szCs w:val="22"/>
              </w:rPr>
              <w:t xml:space="preserve">State Registration Number (SRN):  </w:t>
            </w:r>
            <w:bookmarkStart w:id="1" w:name="bSRN"/>
            <w:r w:rsidR="00ED2AAC">
              <w:rPr>
                <w:szCs w:val="22"/>
              </w:rPr>
              <w:t>B7625</w:t>
            </w:r>
            <w:bookmarkEnd w:id="1"/>
          </w:p>
          <w:p w14:paraId="1262427A" w14:textId="77777777" w:rsidR="00807634" w:rsidRPr="00927270" w:rsidRDefault="00807634" w:rsidP="00C2618F">
            <w:pPr>
              <w:jc w:val="center"/>
              <w:rPr>
                <w:szCs w:val="22"/>
              </w:rPr>
            </w:pPr>
          </w:p>
          <w:p w14:paraId="5E9CEBDE" w14:textId="77777777" w:rsidR="00C2618F" w:rsidRPr="00927270" w:rsidRDefault="00C2618F" w:rsidP="00C2618F">
            <w:pPr>
              <w:jc w:val="center"/>
              <w:rPr>
                <w:szCs w:val="22"/>
              </w:rPr>
            </w:pPr>
            <w:r w:rsidRPr="00927270">
              <w:rPr>
                <w:szCs w:val="22"/>
              </w:rPr>
              <w:t>LOCATED AT</w:t>
            </w:r>
          </w:p>
          <w:p w14:paraId="451185EB" w14:textId="77777777" w:rsidR="002B29E9" w:rsidRPr="00927270" w:rsidRDefault="002B29E9" w:rsidP="002B29E9">
            <w:pPr>
              <w:jc w:val="center"/>
              <w:rPr>
                <w:szCs w:val="22"/>
              </w:rPr>
            </w:pPr>
          </w:p>
          <w:p w14:paraId="4C4B577F" w14:textId="1094E314" w:rsidR="005E5399" w:rsidRPr="003F5BE8" w:rsidRDefault="00ED2AAC" w:rsidP="002B29E9">
            <w:pPr>
              <w:jc w:val="center"/>
              <w:rPr>
                <w:szCs w:val="22"/>
              </w:rPr>
            </w:pPr>
            <w:bookmarkStart w:id="2" w:name="bStreetAddress"/>
            <w:bookmarkEnd w:id="2"/>
            <w:r>
              <w:rPr>
                <w:szCs w:val="22"/>
              </w:rPr>
              <w:t>50905 Hayes Road</w:t>
            </w:r>
            <w:r w:rsidR="002B29E9">
              <w:rPr>
                <w:szCs w:val="22"/>
              </w:rPr>
              <w:t xml:space="preserve">, </w:t>
            </w:r>
            <w:bookmarkStart w:id="3" w:name="bCity"/>
            <w:bookmarkEnd w:id="3"/>
            <w:r>
              <w:rPr>
                <w:szCs w:val="22"/>
              </w:rPr>
              <w:t>Shelby Township</w:t>
            </w:r>
            <w:r w:rsidR="002B29E9">
              <w:rPr>
                <w:szCs w:val="22"/>
              </w:rPr>
              <w:t>,</w:t>
            </w:r>
            <w:r w:rsidR="00995605">
              <w:rPr>
                <w:szCs w:val="22"/>
              </w:rPr>
              <w:t xml:space="preserve"> </w:t>
            </w:r>
            <w:bookmarkStart w:id="4" w:name="bCounty"/>
            <w:bookmarkEnd w:id="4"/>
            <w:r>
              <w:rPr>
                <w:szCs w:val="22"/>
              </w:rPr>
              <w:t>Macomb</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48315</w:t>
            </w:r>
          </w:p>
        </w:tc>
      </w:tr>
      <w:tr w:rsidR="00C2618F" w:rsidRPr="00DF47A8" w14:paraId="5B4189A9" w14:textId="77777777" w:rsidTr="00846376">
        <w:trPr>
          <w:cantSplit/>
          <w:trHeight w:val="148"/>
        </w:trPr>
        <w:tc>
          <w:tcPr>
            <w:tcW w:w="10530" w:type="dxa"/>
            <w:gridSpan w:val="3"/>
          </w:tcPr>
          <w:p w14:paraId="1F7B60E9" w14:textId="77777777" w:rsidR="00C2618F" w:rsidRPr="00DF47A8" w:rsidRDefault="00C2618F" w:rsidP="00C2618F">
            <w:pPr>
              <w:pStyle w:val="Header"/>
              <w:spacing w:before="20" w:after="20"/>
              <w:rPr>
                <w:szCs w:val="22"/>
              </w:rPr>
            </w:pPr>
          </w:p>
        </w:tc>
      </w:tr>
      <w:tr w:rsidR="00C2618F" w:rsidRPr="001838ED" w14:paraId="2995D81C"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C4AF484" w14:textId="77777777" w:rsidR="00C2618F" w:rsidRPr="006F2C46" w:rsidRDefault="00C2618F" w:rsidP="001838ED">
            <w:pPr>
              <w:jc w:val="center"/>
              <w:rPr>
                <w:szCs w:val="22"/>
              </w:rPr>
            </w:pPr>
          </w:p>
          <w:p w14:paraId="6293657C" w14:textId="77777777" w:rsidR="00C2618F" w:rsidRPr="001838ED" w:rsidRDefault="00C2618F" w:rsidP="001838ED">
            <w:pPr>
              <w:jc w:val="center"/>
              <w:rPr>
                <w:b/>
                <w:sz w:val="28"/>
              </w:rPr>
            </w:pPr>
            <w:r w:rsidRPr="001838ED">
              <w:rPr>
                <w:b/>
                <w:sz w:val="28"/>
              </w:rPr>
              <w:t>RENEWABLE OPERATING PERMIT</w:t>
            </w:r>
          </w:p>
          <w:p w14:paraId="4BA937DD" w14:textId="77777777" w:rsidR="00C2618F" w:rsidRPr="001838ED" w:rsidRDefault="00C2618F" w:rsidP="001838ED">
            <w:pPr>
              <w:ind w:left="3240"/>
              <w:rPr>
                <w:sz w:val="24"/>
              </w:rPr>
            </w:pPr>
          </w:p>
          <w:p w14:paraId="35D0EFC1" w14:textId="7441421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ED2AAC">
              <w:rPr>
                <w:sz w:val="24"/>
              </w:rPr>
              <w:t>B7625</w:t>
            </w:r>
            <w:r w:rsidR="004032B7" w:rsidRPr="001838ED">
              <w:rPr>
                <w:sz w:val="24"/>
              </w:rPr>
              <w:t>-</w:t>
            </w:r>
            <w:bookmarkStart w:id="7" w:name="bIssueYear"/>
            <w:bookmarkEnd w:id="7"/>
            <w:r w:rsidR="0031272C">
              <w:rPr>
                <w:sz w:val="24"/>
              </w:rPr>
              <w:t>20</w:t>
            </w:r>
            <w:r w:rsidR="00EF6BE8">
              <w:rPr>
                <w:sz w:val="24"/>
              </w:rPr>
              <w:t>22</w:t>
            </w:r>
          </w:p>
          <w:p w14:paraId="2B8A8A1E" w14:textId="77777777" w:rsidR="00C2618F" w:rsidRPr="001838ED" w:rsidRDefault="00C2618F" w:rsidP="001838ED">
            <w:pPr>
              <w:ind w:left="3240"/>
              <w:rPr>
                <w:sz w:val="24"/>
              </w:rPr>
            </w:pPr>
          </w:p>
          <w:p w14:paraId="7CE173EA" w14:textId="2F282AF3" w:rsidR="00C2618F" w:rsidRPr="001838ED" w:rsidRDefault="00C2618F" w:rsidP="001838ED">
            <w:pPr>
              <w:ind w:left="2880" w:firstLine="720"/>
              <w:rPr>
                <w:sz w:val="24"/>
                <w:szCs w:val="24"/>
              </w:rPr>
            </w:pPr>
            <w:r w:rsidRPr="001838ED">
              <w:rPr>
                <w:sz w:val="24"/>
              </w:rPr>
              <w:t>Expiration Date:</w:t>
            </w:r>
            <w:r w:rsidRPr="001838ED">
              <w:rPr>
                <w:sz w:val="24"/>
              </w:rPr>
              <w:tab/>
            </w:r>
            <w:r w:rsidR="00EF6BE8">
              <w:rPr>
                <w:sz w:val="24"/>
              </w:rPr>
              <w:t>October 19, 2027</w:t>
            </w:r>
          </w:p>
          <w:p w14:paraId="7028E219" w14:textId="77777777" w:rsidR="0025601A" w:rsidRPr="001838ED" w:rsidRDefault="0025601A" w:rsidP="001838ED">
            <w:pPr>
              <w:ind w:left="2880" w:firstLine="360"/>
              <w:rPr>
                <w:sz w:val="24"/>
              </w:rPr>
            </w:pPr>
          </w:p>
          <w:p w14:paraId="347C70D0" w14:textId="77777777" w:rsidR="003A720E"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42004EC0" w14:textId="3D8CE94A" w:rsidR="004925A5" w:rsidRPr="008941BC" w:rsidRDefault="004925A5" w:rsidP="004925A5">
            <w:pPr>
              <w:jc w:val="center"/>
              <w:rPr>
                <w:sz w:val="24"/>
                <w:szCs w:val="24"/>
              </w:rPr>
            </w:pPr>
            <w:r w:rsidRPr="008941BC">
              <w:rPr>
                <w:sz w:val="24"/>
                <w:szCs w:val="24"/>
              </w:rPr>
              <w:t xml:space="preserve">Due Between </w:t>
            </w:r>
            <w:bookmarkStart w:id="8" w:name="bAppDueDate1"/>
            <w:bookmarkEnd w:id="8"/>
            <w:r w:rsidR="00EF6BE8">
              <w:rPr>
                <w:sz w:val="24"/>
                <w:szCs w:val="24"/>
              </w:rPr>
              <w:t xml:space="preserve">April 19, 2026 </w:t>
            </w:r>
            <w:r>
              <w:rPr>
                <w:sz w:val="24"/>
                <w:szCs w:val="24"/>
              </w:rPr>
              <w:t>and</w:t>
            </w:r>
            <w:r w:rsidR="00EF6BE8">
              <w:rPr>
                <w:sz w:val="24"/>
                <w:szCs w:val="24"/>
              </w:rPr>
              <w:t xml:space="preserve"> April 19, 2027</w:t>
            </w:r>
          </w:p>
          <w:p w14:paraId="4E084941" w14:textId="77777777" w:rsidR="00DF47A8" w:rsidRPr="001838ED" w:rsidRDefault="00DF47A8" w:rsidP="00DF47A8">
            <w:pPr>
              <w:rPr>
                <w:sz w:val="24"/>
              </w:rPr>
            </w:pPr>
          </w:p>
          <w:p w14:paraId="2EEF3375"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4908462"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3EBC922D" w14:textId="77777777" w:rsidTr="00846376">
        <w:trPr>
          <w:trHeight w:val="2914"/>
        </w:trPr>
        <w:tc>
          <w:tcPr>
            <w:tcW w:w="10562" w:type="dxa"/>
            <w:shd w:val="clear" w:color="auto" w:fill="auto"/>
          </w:tcPr>
          <w:p w14:paraId="6733981D" w14:textId="77777777" w:rsidR="00461E40" w:rsidRPr="00846376" w:rsidRDefault="00461E40" w:rsidP="00846376">
            <w:pPr>
              <w:ind w:right="108"/>
              <w:jc w:val="center"/>
              <w:rPr>
                <w:bCs/>
                <w:szCs w:val="22"/>
              </w:rPr>
            </w:pPr>
          </w:p>
          <w:p w14:paraId="415F7BC2" w14:textId="77777777" w:rsidR="005D5FBE" w:rsidRDefault="0058429B" w:rsidP="0025601A">
            <w:pPr>
              <w:jc w:val="center"/>
              <w:rPr>
                <w:b/>
                <w:sz w:val="28"/>
                <w:szCs w:val="28"/>
              </w:rPr>
            </w:pPr>
            <w:r>
              <w:rPr>
                <w:b/>
                <w:sz w:val="28"/>
                <w:szCs w:val="28"/>
              </w:rPr>
              <w:t>SOURCE-WIDE PERMIT TO INSTALL</w:t>
            </w:r>
          </w:p>
          <w:p w14:paraId="27478193" w14:textId="77777777" w:rsidR="003A720E" w:rsidRDefault="003A720E" w:rsidP="00F15F33">
            <w:pPr>
              <w:jc w:val="center"/>
              <w:rPr>
                <w:sz w:val="24"/>
              </w:rPr>
            </w:pPr>
          </w:p>
          <w:p w14:paraId="48B7E8E2" w14:textId="5E65D316"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ED2AAC">
              <w:rPr>
                <w:sz w:val="24"/>
                <w:szCs w:val="24"/>
              </w:rPr>
              <w:t>B7625</w:t>
            </w:r>
            <w:r w:rsidR="000D5F06">
              <w:rPr>
                <w:sz w:val="24"/>
                <w:szCs w:val="24"/>
              </w:rPr>
              <w:t>-</w:t>
            </w:r>
            <w:bookmarkStart w:id="10" w:name="bIssueYear2"/>
            <w:bookmarkEnd w:id="10"/>
            <w:r w:rsidR="0031272C">
              <w:rPr>
                <w:sz w:val="24"/>
                <w:szCs w:val="24"/>
              </w:rPr>
              <w:t>20</w:t>
            </w:r>
            <w:r w:rsidR="00EF6BE8">
              <w:rPr>
                <w:sz w:val="24"/>
                <w:szCs w:val="24"/>
              </w:rPr>
              <w:t>22</w:t>
            </w:r>
          </w:p>
          <w:p w14:paraId="526DFE84" w14:textId="77777777" w:rsidR="00C2618F" w:rsidRPr="00846376" w:rsidRDefault="00C2618F" w:rsidP="0025601A">
            <w:pPr>
              <w:jc w:val="center"/>
              <w:rPr>
                <w:szCs w:val="22"/>
              </w:rPr>
            </w:pPr>
          </w:p>
          <w:p w14:paraId="60C9F4AE"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3408F74" w14:textId="7C9600A5" w:rsidR="00DC44C7" w:rsidRDefault="00ED2AAC" w:rsidP="00F73D71">
      <w:pPr>
        <w:ind w:left="-180"/>
        <w:rPr>
          <w:szCs w:val="22"/>
        </w:rPr>
      </w:pPr>
      <w:r>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p>
    <w:p w14:paraId="052C56EE" w14:textId="37081D60" w:rsidR="00EF6BE8" w:rsidRDefault="00EF6BE8" w:rsidP="00F73D71">
      <w:pPr>
        <w:ind w:left="-180"/>
        <w:rPr>
          <w:szCs w:val="22"/>
        </w:rPr>
      </w:pPr>
    </w:p>
    <w:p w14:paraId="3ECC3D71" w14:textId="7E35556C" w:rsidR="00233961" w:rsidRDefault="00233961" w:rsidP="00F73D71">
      <w:pPr>
        <w:ind w:left="-180"/>
        <w:rPr>
          <w:szCs w:val="22"/>
        </w:rPr>
      </w:pPr>
    </w:p>
    <w:p w14:paraId="3C5DEBE5" w14:textId="31E33991" w:rsidR="006F2C46" w:rsidRDefault="006F2C46" w:rsidP="00F73D71">
      <w:pPr>
        <w:ind w:left="-180"/>
        <w:rPr>
          <w:szCs w:val="22"/>
        </w:rPr>
      </w:pPr>
    </w:p>
    <w:p w14:paraId="0E47B5A4" w14:textId="408ADF9D" w:rsidR="002F4C64" w:rsidRPr="00ED2AAC" w:rsidRDefault="00AB2375" w:rsidP="00ED2AAC">
      <w:pPr>
        <w:ind w:left="-180"/>
        <w:rPr>
          <w:szCs w:val="22"/>
        </w:rPr>
      </w:pPr>
      <w:r w:rsidRPr="006A1190">
        <w:rPr>
          <w:szCs w:val="22"/>
        </w:rPr>
        <w:t>_________________________</w:t>
      </w:r>
      <w:r w:rsidR="00EF6BE8">
        <w:rPr>
          <w:szCs w:val="22"/>
        </w:rPr>
        <w:t>___</w:t>
      </w:r>
      <w:r w:rsidRPr="006A1190">
        <w:rPr>
          <w:szCs w:val="22"/>
        </w:rPr>
        <w:t>____</w:t>
      </w:r>
      <w:bookmarkStart w:id="11" w:name="bDS"/>
      <w:bookmarkEnd w:id="11"/>
      <w:r w:rsidR="00ED2AAC">
        <w:rPr>
          <w:szCs w:val="22"/>
        </w:rPr>
        <w:br/>
        <w:t xml:space="preserve"> 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01004E7" w14:textId="77777777" w:rsidR="002F4C64" w:rsidRDefault="002F4C64" w:rsidP="002F4C64"/>
    <w:p w14:paraId="01A6DE9E" w14:textId="06003654" w:rsidR="00EC2E58"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7065676" w:history="1">
        <w:r w:rsidR="00EC2E58" w:rsidRPr="009E0F6A">
          <w:rPr>
            <w:rStyle w:val="Hyperlink"/>
            <w:noProof/>
          </w:rPr>
          <w:t>AUTHORITY AND ENFORCEABILITY</w:t>
        </w:r>
        <w:r w:rsidR="00EC2E58">
          <w:rPr>
            <w:noProof/>
            <w:webHidden/>
          </w:rPr>
          <w:tab/>
        </w:r>
        <w:r w:rsidR="00EC2E58">
          <w:rPr>
            <w:noProof/>
            <w:webHidden/>
          </w:rPr>
          <w:fldChar w:fldCharType="begin"/>
        </w:r>
        <w:r w:rsidR="00EC2E58">
          <w:rPr>
            <w:noProof/>
            <w:webHidden/>
          </w:rPr>
          <w:instrText xml:space="preserve"> PAGEREF _Toc117065676 \h </w:instrText>
        </w:r>
        <w:r w:rsidR="00EC2E58">
          <w:rPr>
            <w:noProof/>
            <w:webHidden/>
          </w:rPr>
        </w:r>
        <w:r w:rsidR="00EC2E58">
          <w:rPr>
            <w:noProof/>
            <w:webHidden/>
          </w:rPr>
          <w:fldChar w:fldCharType="separate"/>
        </w:r>
        <w:r w:rsidR="00EC2E58">
          <w:rPr>
            <w:noProof/>
            <w:webHidden/>
          </w:rPr>
          <w:t>3</w:t>
        </w:r>
        <w:r w:rsidR="00EC2E58">
          <w:rPr>
            <w:noProof/>
            <w:webHidden/>
          </w:rPr>
          <w:fldChar w:fldCharType="end"/>
        </w:r>
      </w:hyperlink>
    </w:p>
    <w:p w14:paraId="79B71602" w14:textId="6897583D" w:rsidR="00EC2E58" w:rsidRDefault="00CF391D">
      <w:pPr>
        <w:pStyle w:val="TOC1"/>
        <w:rPr>
          <w:rFonts w:asciiTheme="minorHAnsi" w:eastAsiaTheme="minorEastAsia" w:hAnsiTheme="minorHAnsi" w:cstheme="minorBidi"/>
          <w:b w:val="0"/>
          <w:noProof/>
        </w:rPr>
      </w:pPr>
      <w:hyperlink w:anchor="_Toc117065677" w:history="1">
        <w:r w:rsidR="00EC2E58" w:rsidRPr="009E0F6A">
          <w:rPr>
            <w:rStyle w:val="Hyperlink"/>
            <w:noProof/>
          </w:rPr>
          <w:t>A.  GENERAL CONDITIONS</w:t>
        </w:r>
        <w:r w:rsidR="00EC2E58">
          <w:rPr>
            <w:noProof/>
            <w:webHidden/>
          </w:rPr>
          <w:tab/>
        </w:r>
        <w:r w:rsidR="00EC2E58">
          <w:rPr>
            <w:noProof/>
            <w:webHidden/>
          </w:rPr>
          <w:fldChar w:fldCharType="begin"/>
        </w:r>
        <w:r w:rsidR="00EC2E58">
          <w:rPr>
            <w:noProof/>
            <w:webHidden/>
          </w:rPr>
          <w:instrText xml:space="preserve"> PAGEREF _Toc117065677 \h </w:instrText>
        </w:r>
        <w:r w:rsidR="00EC2E58">
          <w:rPr>
            <w:noProof/>
            <w:webHidden/>
          </w:rPr>
        </w:r>
        <w:r w:rsidR="00EC2E58">
          <w:rPr>
            <w:noProof/>
            <w:webHidden/>
          </w:rPr>
          <w:fldChar w:fldCharType="separate"/>
        </w:r>
        <w:r w:rsidR="00EC2E58">
          <w:rPr>
            <w:noProof/>
            <w:webHidden/>
          </w:rPr>
          <w:t>4</w:t>
        </w:r>
        <w:r w:rsidR="00EC2E58">
          <w:rPr>
            <w:noProof/>
            <w:webHidden/>
          </w:rPr>
          <w:fldChar w:fldCharType="end"/>
        </w:r>
      </w:hyperlink>
    </w:p>
    <w:p w14:paraId="7FD436EC" w14:textId="4EEF6A7C" w:rsidR="00EC2E58" w:rsidRDefault="00CF391D">
      <w:pPr>
        <w:pStyle w:val="TOC2"/>
        <w:rPr>
          <w:rFonts w:asciiTheme="minorHAnsi" w:eastAsiaTheme="minorEastAsia" w:hAnsiTheme="minorHAnsi" w:cstheme="minorBidi"/>
          <w:noProof/>
        </w:rPr>
      </w:pPr>
      <w:hyperlink w:anchor="_Toc117065678" w:history="1">
        <w:r w:rsidR="00EC2E58" w:rsidRPr="009E0F6A">
          <w:rPr>
            <w:rStyle w:val="Hyperlink"/>
            <w:noProof/>
          </w:rPr>
          <w:t>Permit Enforceability</w:t>
        </w:r>
        <w:r w:rsidR="00EC2E58">
          <w:rPr>
            <w:noProof/>
            <w:webHidden/>
          </w:rPr>
          <w:tab/>
        </w:r>
        <w:r w:rsidR="00EC2E58">
          <w:rPr>
            <w:noProof/>
            <w:webHidden/>
          </w:rPr>
          <w:fldChar w:fldCharType="begin"/>
        </w:r>
        <w:r w:rsidR="00EC2E58">
          <w:rPr>
            <w:noProof/>
            <w:webHidden/>
          </w:rPr>
          <w:instrText xml:space="preserve"> PAGEREF _Toc117065678 \h </w:instrText>
        </w:r>
        <w:r w:rsidR="00EC2E58">
          <w:rPr>
            <w:noProof/>
            <w:webHidden/>
          </w:rPr>
        </w:r>
        <w:r w:rsidR="00EC2E58">
          <w:rPr>
            <w:noProof/>
            <w:webHidden/>
          </w:rPr>
          <w:fldChar w:fldCharType="separate"/>
        </w:r>
        <w:r w:rsidR="00EC2E58">
          <w:rPr>
            <w:noProof/>
            <w:webHidden/>
          </w:rPr>
          <w:t>4</w:t>
        </w:r>
        <w:r w:rsidR="00EC2E58">
          <w:rPr>
            <w:noProof/>
            <w:webHidden/>
          </w:rPr>
          <w:fldChar w:fldCharType="end"/>
        </w:r>
      </w:hyperlink>
    </w:p>
    <w:p w14:paraId="0B4BEC35" w14:textId="7E3232F9" w:rsidR="00EC2E58" w:rsidRDefault="00CF391D">
      <w:pPr>
        <w:pStyle w:val="TOC2"/>
        <w:rPr>
          <w:rFonts w:asciiTheme="minorHAnsi" w:eastAsiaTheme="minorEastAsia" w:hAnsiTheme="minorHAnsi" w:cstheme="minorBidi"/>
          <w:noProof/>
        </w:rPr>
      </w:pPr>
      <w:hyperlink w:anchor="_Toc117065679" w:history="1">
        <w:r w:rsidR="00EC2E58" w:rsidRPr="009E0F6A">
          <w:rPr>
            <w:rStyle w:val="Hyperlink"/>
            <w:noProof/>
          </w:rPr>
          <w:t>General Provisions</w:t>
        </w:r>
        <w:r w:rsidR="00EC2E58">
          <w:rPr>
            <w:noProof/>
            <w:webHidden/>
          </w:rPr>
          <w:tab/>
        </w:r>
        <w:r w:rsidR="00EC2E58">
          <w:rPr>
            <w:noProof/>
            <w:webHidden/>
          </w:rPr>
          <w:fldChar w:fldCharType="begin"/>
        </w:r>
        <w:r w:rsidR="00EC2E58">
          <w:rPr>
            <w:noProof/>
            <w:webHidden/>
          </w:rPr>
          <w:instrText xml:space="preserve"> PAGEREF _Toc117065679 \h </w:instrText>
        </w:r>
        <w:r w:rsidR="00EC2E58">
          <w:rPr>
            <w:noProof/>
            <w:webHidden/>
          </w:rPr>
        </w:r>
        <w:r w:rsidR="00EC2E58">
          <w:rPr>
            <w:noProof/>
            <w:webHidden/>
          </w:rPr>
          <w:fldChar w:fldCharType="separate"/>
        </w:r>
        <w:r w:rsidR="00EC2E58">
          <w:rPr>
            <w:noProof/>
            <w:webHidden/>
          </w:rPr>
          <w:t>4</w:t>
        </w:r>
        <w:r w:rsidR="00EC2E58">
          <w:rPr>
            <w:noProof/>
            <w:webHidden/>
          </w:rPr>
          <w:fldChar w:fldCharType="end"/>
        </w:r>
      </w:hyperlink>
    </w:p>
    <w:p w14:paraId="7AB15317" w14:textId="2E86211A" w:rsidR="00EC2E58" w:rsidRDefault="00CF391D">
      <w:pPr>
        <w:pStyle w:val="TOC2"/>
        <w:rPr>
          <w:rFonts w:asciiTheme="minorHAnsi" w:eastAsiaTheme="minorEastAsia" w:hAnsiTheme="minorHAnsi" w:cstheme="minorBidi"/>
          <w:noProof/>
        </w:rPr>
      </w:pPr>
      <w:hyperlink w:anchor="_Toc117065680" w:history="1">
        <w:r w:rsidR="00EC2E58" w:rsidRPr="009E0F6A">
          <w:rPr>
            <w:rStyle w:val="Hyperlink"/>
            <w:noProof/>
          </w:rPr>
          <w:t>Equipment &amp; Design</w:t>
        </w:r>
        <w:r w:rsidR="00EC2E58">
          <w:rPr>
            <w:noProof/>
            <w:webHidden/>
          </w:rPr>
          <w:tab/>
        </w:r>
        <w:r w:rsidR="00EC2E58">
          <w:rPr>
            <w:noProof/>
            <w:webHidden/>
          </w:rPr>
          <w:fldChar w:fldCharType="begin"/>
        </w:r>
        <w:r w:rsidR="00EC2E58">
          <w:rPr>
            <w:noProof/>
            <w:webHidden/>
          </w:rPr>
          <w:instrText xml:space="preserve"> PAGEREF _Toc117065680 \h </w:instrText>
        </w:r>
        <w:r w:rsidR="00EC2E58">
          <w:rPr>
            <w:noProof/>
            <w:webHidden/>
          </w:rPr>
        </w:r>
        <w:r w:rsidR="00EC2E58">
          <w:rPr>
            <w:noProof/>
            <w:webHidden/>
          </w:rPr>
          <w:fldChar w:fldCharType="separate"/>
        </w:r>
        <w:r w:rsidR="00EC2E58">
          <w:rPr>
            <w:noProof/>
            <w:webHidden/>
          </w:rPr>
          <w:t>5</w:t>
        </w:r>
        <w:r w:rsidR="00EC2E58">
          <w:rPr>
            <w:noProof/>
            <w:webHidden/>
          </w:rPr>
          <w:fldChar w:fldCharType="end"/>
        </w:r>
      </w:hyperlink>
    </w:p>
    <w:p w14:paraId="7FCD8F24" w14:textId="0FB3BE32" w:rsidR="00EC2E58" w:rsidRDefault="00CF391D">
      <w:pPr>
        <w:pStyle w:val="TOC2"/>
        <w:rPr>
          <w:rFonts w:asciiTheme="minorHAnsi" w:eastAsiaTheme="minorEastAsia" w:hAnsiTheme="minorHAnsi" w:cstheme="minorBidi"/>
          <w:noProof/>
        </w:rPr>
      </w:pPr>
      <w:hyperlink w:anchor="_Toc117065681" w:history="1">
        <w:r w:rsidR="00EC2E58" w:rsidRPr="009E0F6A">
          <w:rPr>
            <w:rStyle w:val="Hyperlink"/>
            <w:noProof/>
          </w:rPr>
          <w:t>Emission Limits</w:t>
        </w:r>
        <w:r w:rsidR="00EC2E58">
          <w:rPr>
            <w:noProof/>
            <w:webHidden/>
          </w:rPr>
          <w:tab/>
        </w:r>
        <w:r w:rsidR="00EC2E58">
          <w:rPr>
            <w:noProof/>
            <w:webHidden/>
          </w:rPr>
          <w:fldChar w:fldCharType="begin"/>
        </w:r>
        <w:r w:rsidR="00EC2E58">
          <w:rPr>
            <w:noProof/>
            <w:webHidden/>
          </w:rPr>
          <w:instrText xml:space="preserve"> PAGEREF _Toc117065681 \h </w:instrText>
        </w:r>
        <w:r w:rsidR="00EC2E58">
          <w:rPr>
            <w:noProof/>
            <w:webHidden/>
          </w:rPr>
        </w:r>
        <w:r w:rsidR="00EC2E58">
          <w:rPr>
            <w:noProof/>
            <w:webHidden/>
          </w:rPr>
          <w:fldChar w:fldCharType="separate"/>
        </w:r>
        <w:r w:rsidR="00EC2E58">
          <w:rPr>
            <w:noProof/>
            <w:webHidden/>
          </w:rPr>
          <w:t>5</w:t>
        </w:r>
        <w:r w:rsidR="00EC2E58">
          <w:rPr>
            <w:noProof/>
            <w:webHidden/>
          </w:rPr>
          <w:fldChar w:fldCharType="end"/>
        </w:r>
      </w:hyperlink>
    </w:p>
    <w:p w14:paraId="0BF9469A" w14:textId="788C365D" w:rsidR="00EC2E58" w:rsidRDefault="00CF391D">
      <w:pPr>
        <w:pStyle w:val="TOC2"/>
        <w:rPr>
          <w:rFonts w:asciiTheme="minorHAnsi" w:eastAsiaTheme="minorEastAsia" w:hAnsiTheme="minorHAnsi" w:cstheme="minorBidi"/>
          <w:noProof/>
        </w:rPr>
      </w:pPr>
      <w:hyperlink w:anchor="_Toc117065682" w:history="1">
        <w:r w:rsidR="00EC2E58" w:rsidRPr="009E0F6A">
          <w:rPr>
            <w:rStyle w:val="Hyperlink"/>
            <w:noProof/>
          </w:rPr>
          <w:t>Testing/Sampling</w:t>
        </w:r>
        <w:r w:rsidR="00EC2E58">
          <w:rPr>
            <w:noProof/>
            <w:webHidden/>
          </w:rPr>
          <w:tab/>
        </w:r>
        <w:r w:rsidR="00EC2E58">
          <w:rPr>
            <w:noProof/>
            <w:webHidden/>
          </w:rPr>
          <w:fldChar w:fldCharType="begin"/>
        </w:r>
        <w:r w:rsidR="00EC2E58">
          <w:rPr>
            <w:noProof/>
            <w:webHidden/>
          </w:rPr>
          <w:instrText xml:space="preserve"> PAGEREF _Toc117065682 \h </w:instrText>
        </w:r>
        <w:r w:rsidR="00EC2E58">
          <w:rPr>
            <w:noProof/>
            <w:webHidden/>
          </w:rPr>
        </w:r>
        <w:r w:rsidR="00EC2E58">
          <w:rPr>
            <w:noProof/>
            <w:webHidden/>
          </w:rPr>
          <w:fldChar w:fldCharType="separate"/>
        </w:r>
        <w:r w:rsidR="00EC2E58">
          <w:rPr>
            <w:noProof/>
            <w:webHidden/>
          </w:rPr>
          <w:t>5</w:t>
        </w:r>
        <w:r w:rsidR="00EC2E58">
          <w:rPr>
            <w:noProof/>
            <w:webHidden/>
          </w:rPr>
          <w:fldChar w:fldCharType="end"/>
        </w:r>
      </w:hyperlink>
    </w:p>
    <w:p w14:paraId="7516326C" w14:textId="7DD15188" w:rsidR="00EC2E58" w:rsidRDefault="00CF391D">
      <w:pPr>
        <w:pStyle w:val="TOC2"/>
        <w:rPr>
          <w:rFonts w:asciiTheme="minorHAnsi" w:eastAsiaTheme="minorEastAsia" w:hAnsiTheme="minorHAnsi" w:cstheme="minorBidi"/>
          <w:noProof/>
        </w:rPr>
      </w:pPr>
      <w:hyperlink w:anchor="_Toc117065683" w:history="1">
        <w:r w:rsidR="00EC2E58" w:rsidRPr="009E0F6A">
          <w:rPr>
            <w:rStyle w:val="Hyperlink"/>
            <w:noProof/>
          </w:rPr>
          <w:t>Monitoring/Recordkeeping</w:t>
        </w:r>
        <w:r w:rsidR="00EC2E58">
          <w:rPr>
            <w:noProof/>
            <w:webHidden/>
          </w:rPr>
          <w:tab/>
        </w:r>
        <w:r w:rsidR="00EC2E58">
          <w:rPr>
            <w:noProof/>
            <w:webHidden/>
          </w:rPr>
          <w:fldChar w:fldCharType="begin"/>
        </w:r>
        <w:r w:rsidR="00EC2E58">
          <w:rPr>
            <w:noProof/>
            <w:webHidden/>
          </w:rPr>
          <w:instrText xml:space="preserve"> PAGEREF _Toc117065683 \h </w:instrText>
        </w:r>
        <w:r w:rsidR="00EC2E58">
          <w:rPr>
            <w:noProof/>
            <w:webHidden/>
          </w:rPr>
        </w:r>
        <w:r w:rsidR="00EC2E58">
          <w:rPr>
            <w:noProof/>
            <w:webHidden/>
          </w:rPr>
          <w:fldChar w:fldCharType="separate"/>
        </w:r>
        <w:r w:rsidR="00EC2E58">
          <w:rPr>
            <w:noProof/>
            <w:webHidden/>
          </w:rPr>
          <w:t>6</w:t>
        </w:r>
        <w:r w:rsidR="00EC2E58">
          <w:rPr>
            <w:noProof/>
            <w:webHidden/>
          </w:rPr>
          <w:fldChar w:fldCharType="end"/>
        </w:r>
      </w:hyperlink>
    </w:p>
    <w:p w14:paraId="6F994714" w14:textId="3CAE7DB1" w:rsidR="00EC2E58" w:rsidRDefault="00CF391D">
      <w:pPr>
        <w:pStyle w:val="TOC2"/>
        <w:rPr>
          <w:rFonts w:asciiTheme="minorHAnsi" w:eastAsiaTheme="minorEastAsia" w:hAnsiTheme="minorHAnsi" w:cstheme="minorBidi"/>
          <w:noProof/>
        </w:rPr>
      </w:pPr>
      <w:hyperlink w:anchor="_Toc117065684" w:history="1">
        <w:r w:rsidR="00EC2E58" w:rsidRPr="009E0F6A">
          <w:rPr>
            <w:rStyle w:val="Hyperlink"/>
            <w:noProof/>
          </w:rPr>
          <w:t>Certification &amp; Reporting</w:t>
        </w:r>
        <w:r w:rsidR="00EC2E58">
          <w:rPr>
            <w:noProof/>
            <w:webHidden/>
          </w:rPr>
          <w:tab/>
        </w:r>
        <w:r w:rsidR="00EC2E58">
          <w:rPr>
            <w:noProof/>
            <w:webHidden/>
          </w:rPr>
          <w:fldChar w:fldCharType="begin"/>
        </w:r>
        <w:r w:rsidR="00EC2E58">
          <w:rPr>
            <w:noProof/>
            <w:webHidden/>
          </w:rPr>
          <w:instrText xml:space="preserve"> PAGEREF _Toc117065684 \h </w:instrText>
        </w:r>
        <w:r w:rsidR="00EC2E58">
          <w:rPr>
            <w:noProof/>
            <w:webHidden/>
          </w:rPr>
        </w:r>
        <w:r w:rsidR="00EC2E58">
          <w:rPr>
            <w:noProof/>
            <w:webHidden/>
          </w:rPr>
          <w:fldChar w:fldCharType="separate"/>
        </w:r>
        <w:r w:rsidR="00EC2E58">
          <w:rPr>
            <w:noProof/>
            <w:webHidden/>
          </w:rPr>
          <w:t>6</w:t>
        </w:r>
        <w:r w:rsidR="00EC2E58">
          <w:rPr>
            <w:noProof/>
            <w:webHidden/>
          </w:rPr>
          <w:fldChar w:fldCharType="end"/>
        </w:r>
      </w:hyperlink>
    </w:p>
    <w:p w14:paraId="6648AF31" w14:textId="475C3A6A" w:rsidR="00EC2E58" w:rsidRDefault="00CF391D">
      <w:pPr>
        <w:pStyle w:val="TOC2"/>
        <w:rPr>
          <w:rFonts w:asciiTheme="minorHAnsi" w:eastAsiaTheme="minorEastAsia" w:hAnsiTheme="minorHAnsi" w:cstheme="minorBidi"/>
          <w:noProof/>
        </w:rPr>
      </w:pPr>
      <w:hyperlink w:anchor="_Toc117065685" w:history="1">
        <w:r w:rsidR="00EC2E58" w:rsidRPr="009E0F6A">
          <w:rPr>
            <w:rStyle w:val="Hyperlink"/>
            <w:noProof/>
          </w:rPr>
          <w:t>Permit Shield</w:t>
        </w:r>
        <w:r w:rsidR="00EC2E58">
          <w:rPr>
            <w:noProof/>
            <w:webHidden/>
          </w:rPr>
          <w:tab/>
        </w:r>
        <w:r w:rsidR="00EC2E58">
          <w:rPr>
            <w:noProof/>
            <w:webHidden/>
          </w:rPr>
          <w:fldChar w:fldCharType="begin"/>
        </w:r>
        <w:r w:rsidR="00EC2E58">
          <w:rPr>
            <w:noProof/>
            <w:webHidden/>
          </w:rPr>
          <w:instrText xml:space="preserve"> PAGEREF _Toc117065685 \h </w:instrText>
        </w:r>
        <w:r w:rsidR="00EC2E58">
          <w:rPr>
            <w:noProof/>
            <w:webHidden/>
          </w:rPr>
        </w:r>
        <w:r w:rsidR="00EC2E58">
          <w:rPr>
            <w:noProof/>
            <w:webHidden/>
          </w:rPr>
          <w:fldChar w:fldCharType="separate"/>
        </w:r>
        <w:r w:rsidR="00EC2E58">
          <w:rPr>
            <w:noProof/>
            <w:webHidden/>
          </w:rPr>
          <w:t>7</w:t>
        </w:r>
        <w:r w:rsidR="00EC2E58">
          <w:rPr>
            <w:noProof/>
            <w:webHidden/>
          </w:rPr>
          <w:fldChar w:fldCharType="end"/>
        </w:r>
      </w:hyperlink>
    </w:p>
    <w:p w14:paraId="0D75DE6B" w14:textId="7E5B607F" w:rsidR="00EC2E58" w:rsidRDefault="00CF391D">
      <w:pPr>
        <w:pStyle w:val="TOC2"/>
        <w:rPr>
          <w:rFonts w:asciiTheme="minorHAnsi" w:eastAsiaTheme="minorEastAsia" w:hAnsiTheme="minorHAnsi" w:cstheme="minorBidi"/>
          <w:noProof/>
        </w:rPr>
      </w:pPr>
      <w:hyperlink w:anchor="_Toc117065686" w:history="1">
        <w:r w:rsidR="00EC2E58" w:rsidRPr="009E0F6A">
          <w:rPr>
            <w:rStyle w:val="Hyperlink"/>
            <w:noProof/>
          </w:rPr>
          <w:t>Revisions</w:t>
        </w:r>
        <w:r w:rsidR="00EC2E58">
          <w:rPr>
            <w:noProof/>
            <w:webHidden/>
          </w:rPr>
          <w:tab/>
        </w:r>
        <w:r w:rsidR="00EC2E58">
          <w:rPr>
            <w:noProof/>
            <w:webHidden/>
          </w:rPr>
          <w:fldChar w:fldCharType="begin"/>
        </w:r>
        <w:r w:rsidR="00EC2E58">
          <w:rPr>
            <w:noProof/>
            <w:webHidden/>
          </w:rPr>
          <w:instrText xml:space="preserve"> PAGEREF _Toc117065686 \h </w:instrText>
        </w:r>
        <w:r w:rsidR="00EC2E58">
          <w:rPr>
            <w:noProof/>
            <w:webHidden/>
          </w:rPr>
        </w:r>
        <w:r w:rsidR="00EC2E58">
          <w:rPr>
            <w:noProof/>
            <w:webHidden/>
          </w:rPr>
          <w:fldChar w:fldCharType="separate"/>
        </w:r>
        <w:r w:rsidR="00EC2E58">
          <w:rPr>
            <w:noProof/>
            <w:webHidden/>
          </w:rPr>
          <w:t>8</w:t>
        </w:r>
        <w:r w:rsidR="00EC2E58">
          <w:rPr>
            <w:noProof/>
            <w:webHidden/>
          </w:rPr>
          <w:fldChar w:fldCharType="end"/>
        </w:r>
      </w:hyperlink>
    </w:p>
    <w:p w14:paraId="7DE26CC2" w14:textId="02CE9EC5" w:rsidR="00EC2E58" w:rsidRDefault="00CF391D">
      <w:pPr>
        <w:pStyle w:val="TOC2"/>
        <w:rPr>
          <w:rFonts w:asciiTheme="minorHAnsi" w:eastAsiaTheme="minorEastAsia" w:hAnsiTheme="minorHAnsi" w:cstheme="minorBidi"/>
          <w:noProof/>
        </w:rPr>
      </w:pPr>
      <w:hyperlink w:anchor="_Toc117065687" w:history="1">
        <w:r w:rsidR="00EC2E58" w:rsidRPr="009E0F6A">
          <w:rPr>
            <w:rStyle w:val="Hyperlink"/>
            <w:noProof/>
          </w:rPr>
          <w:t>Reopenings</w:t>
        </w:r>
        <w:r w:rsidR="00EC2E58">
          <w:rPr>
            <w:noProof/>
            <w:webHidden/>
          </w:rPr>
          <w:tab/>
        </w:r>
        <w:r w:rsidR="00EC2E58">
          <w:rPr>
            <w:noProof/>
            <w:webHidden/>
          </w:rPr>
          <w:fldChar w:fldCharType="begin"/>
        </w:r>
        <w:r w:rsidR="00EC2E58">
          <w:rPr>
            <w:noProof/>
            <w:webHidden/>
          </w:rPr>
          <w:instrText xml:space="preserve"> PAGEREF _Toc117065687 \h </w:instrText>
        </w:r>
        <w:r w:rsidR="00EC2E58">
          <w:rPr>
            <w:noProof/>
            <w:webHidden/>
          </w:rPr>
        </w:r>
        <w:r w:rsidR="00EC2E58">
          <w:rPr>
            <w:noProof/>
            <w:webHidden/>
          </w:rPr>
          <w:fldChar w:fldCharType="separate"/>
        </w:r>
        <w:r w:rsidR="00EC2E58">
          <w:rPr>
            <w:noProof/>
            <w:webHidden/>
          </w:rPr>
          <w:t>8</w:t>
        </w:r>
        <w:r w:rsidR="00EC2E58">
          <w:rPr>
            <w:noProof/>
            <w:webHidden/>
          </w:rPr>
          <w:fldChar w:fldCharType="end"/>
        </w:r>
      </w:hyperlink>
    </w:p>
    <w:p w14:paraId="72735006" w14:textId="30B85F03" w:rsidR="00EC2E58" w:rsidRDefault="00CF391D">
      <w:pPr>
        <w:pStyle w:val="TOC2"/>
        <w:rPr>
          <w:rFonts w:asciiTheme="minorHAnsi" w:eastAsiaTheme="minorEastAsia" w:hAnsiTheme="minorHAnsi" w:cstheme="minorBidi"/>
          <w:noProof/>
        </w:rPr>
      </w:pPr>
      <w:hyperlink w:anchor="_Toc117065688" w:history="1">
        <w:r w:rsidR="00EC2E58" w:rsidRPr="009E0F6A">
          <w:rPr>
            <w:rStyle w:val="Hyperlink"/>
            <w:noProof/>
          </w:rPr>
          <w:t>Renewals</w:t>
        </w:r>
        <w:r w:rsidR="00EC2E58">
          <w:rPr>
            <w:noProof/>
            <w:webHidden/>
          </w:rPr>
          <w:tab/>
        </w:r>
        <w:r w:rsidR="00EC2E58">
          <w:rPr>
            <w:noProof/>
            <w:webHidden/>
          </w:rPr>
          <w:fldChar w:fldCharType="begin"/>
        </w:r>
        <w:r w:rsidR="00EC2E58">
          <w:rPr>
            <w:noProof/>
            <w:webHidden/>
          </w:rPr>
          <w:instrText xml:space="preserve"> PAGEREF _Toc117065688 \h </w:instrText>
        </w:r>
        <w:r w:rsidR="00EC2E58">
          <w:rPr>
            <w:noProof/>
            <w:webHidden/>
          </w:rPr>
        </w:r>
        <w:r w:rsidR="00EC2E58">
          <w:rPr>
            <w:noProof/>
            <w:webHidden/>
          </w:rPr>
          <w:fldChar w:fldCharType="separate"/>
        </w:r>
        <w:r w:rsidR="00EC2E58">
          <w:rPr>
            <w:noProof/>
            <w:webHidden/>
          </w:rPr>
          <w:t>9</w:t>
        </w:r>
        <w:r w:rsidR="00EC2E58">
          <w:rPr>
            <w:noProof/>
            <w:webHidden/>
          </w:rPr>
          <w:fldChar w:fldCharType="end"/>
        </w:r>
      </w:hyperlink>
    </w:p>
    <w:p w14:paraId="4CD1F8A1" w14:textId="23C73E73" w:rsidR="00EC2E58" w:rsidRDefault="00CF391D">
      <w:pPr>
        <w:pStyle w:val="TOC2"/>
        <w:rPr>
          <w:rFonts w:asciiTheme="minorHAnsi" w:eastAsiaTheme="minorEastAsia" w:hAnsiTheme="minorHAnsi" w:cstheme="minorBidi"/>
          <w:noProof/>
        </w:rPr>
      </w:pPr>
      <w:hyperlink w:anchor="_Toc117065689" w:history="1">
        <w:r w:rsidR="00EC2E58" w:rsidRPr="009E0F6A">
          <w:rPr>
            <w:rStyle w:val="Hyperlink"/>
            <w:bCs/>
            <w:noProof/>
          </w:rPr>
          <w:t>Stratospheric Ozone Protection</w:t>
        </w:r>
        <w:r w:rsidR="00EC2E58">
          <w:rPr>
            <w:noProof/>
            <w:webHidden/>
          </w:rPr>
          <w:tab/>
        </w:r>
        <w:r w:rsidR="00EC2E58">
          <w:rPr>
            <w:noProof/>
            <w:webHidden/>
          </w:rPr>
          <w:fldChar w:fldCharType="begin"/>
        </w:r>
        <w:r w:rsidR="00EC2E58">
          <w:rPr>
            <w:noProof/>
            <w:webHidden/>
          </w:rPr>
          <w:instrText xml:space="preserve"> PAGEREF _Toc117065689 \h </w:instrText>
        </w:r>
        <w:r w:rsidR="00EC2E58">
          <w:rPr>
            <w:noProof/>
            <w:webHidden/>
          </w:rPr>
        </w:r>
        <w:r w:rsidR="00EC2E58">
          <w:rPr>
            <w:noProof/>
            <w:webHidden/>
          </w:rPr>
          <w:fldChar w:fldCharType="separate"/>
        </w:r>
        <w:r w:rsidR="00EC2E58">
          <w:rPr>
            <w:noProof/>
            <w:webHidden/>
          </w:rPr>
          <w:t>9</w:t>
        </w:r>
        <w:r w:rsidR="00EC2E58">
          <w:rPr>
            <w:noProof/>
            <w:webHidden/>
          </w:rPr>
          <w:fldChar w:fldCharType="end"/>
        </w:r>
      </w:hyperlink>
    </w:p>
    <w:p w14:paraId="2E3C1B78" w14:textId="52423939" w:rsidR="00EC2E58" w:rsidRDefault="00CF391D">
      <w:pPr>
        <w:pStyle w:val="TOC2"/>
        <w:rPr>
          <w:rFonts w:asciiTheme="minorHAnsi" w:eastAsiaTheme="minorEastAsia" w:hAnsiTheme="minorHAnsi" w:cstheme="minorBidi"/>
          <w:noProof/>
        </w:rPr>
      </w:pPr>
      <w:hyperlink w:anchor="_Toc117065690" w:history="1">
        <w:r w:rsidR="00EC2E58" w:rsidRPr="009E0F6A">
          <w:rPr>
            <w:rStyle w:val="Hyperlink"/>
            <w:bCs/>
            <w:noProof/>
          </w:rPr>
          <w:t>Risk Management Plan</w:t>
        </w:r>
        <w:r w:rsidR="00EC2E58">
          <w:rPr>
            <w:noProof/>
            <w:webHidden/>
          </w:rPr>
          <w:tab/>
        </w:r>
        <w:r w:rsidR="00EC2E58">
          <w:rPr>
            <w:noProof/>
            <w:webHidden/>
          </w:rPr>
          <w:fldChar w:fldCharType="begin"/>
        </w:r>
        <w:r w:rsidR="00EC2E58">
          <w:rPr>
            <w:noProof/>
            <w:webHidden/>
          </w:rPr>
          <w:instrText xml:space="preserve"> PAGEREF _Toc117065690 \h </w:instrText>
        </w:r>
        <w:r w:rsidR="00EC2E58">
          <w:rPr>
            <w:noProof/>
            <w:webHidden/>
          </w:rPr>
        </w:r>
        <w:r w:rsidR="00EC2E58">
          <w:rPr>
            <w:noProof/>
            <w:webHidden/>
          </w:rPr>
          <w:fldChar w:fldCharType="separate"/>
        </w:r>
        <w:r w:rsidR="00EC2E58">
          <w:rPr>
            <w:noProof/>
            <w:webHidden/>
          </w:rPr>
          <w:t>9</w:t>
        </w:r>
        <w:r w:rsidR="00EC2E58">
          <w:rPr>
            <w:noProof/>
            <w:webHidden/>
          </w:rPr>
          <w:fldChar w:fldCharType="end"/>
        </w:r>
      </w:hyperlink>
    </w:p>
    <w:p w14:paraId="52F6A269" w14:textId="190FE5FD" w:rsidR="00EC2E58" w:rsidRDefault="00CF391D">
      <w:pPr>
        <w:pStyle w:val="TOC2"/>
        <w:rPr>
          <w:rFonts w:asciiTheme="minorHAnsi" w:eastAsiaTheme="minorEastAsia" w:hAnsiTheme="minorHAnsi" w:cstheme="minorBidi"/>
          <w:noProof/>
        </w:rPr>
      </w:pPr>
      <w:hyperlink w:anchor="_Toc117065691" w:history="1">
        <w:r w:rsidR="00EC2E58" w:rsidRPr="009E0F6A">
          <w:rPr>
            <w:rStyle w:val="Hyperlink"/>
            <w:bCs/>
            <w:noProof/>
          </w:rPr>
          <w:t>Emission Trading</w:t>
        </w:r>
        <w:r w:rsidR="00EC2E58">
          <w:rPr>
            <w:noProof/>
            <w:webHidden/>
          </w:rPr>
          <w:tab/>
        </w:r>
        <w:r w:rsidR="00EC2E58">
          <w:rPr>
            <w:noProof/>
            <w:webHidden/>
          </w:rPr>
          <w:fldChar w:fldCharType="begin"/>
        </w:r>
        <w:r w:rsidR="00EC2E58">
          <w:rPr>
            <w:noProof/>
            <w:webHidden/>
          </w:rPr>
          <w:instrText xml:space="preserve"> PAGEREF _Toc117065691 \h </w:instrText>
        </w:r>
        <w:r w:rsidR="00EC2E58">
          <w:rPr>
            <w:noProof/>
            <w:webHidden/>
          </w:rPr>
        </w:r>
        <w:r w:rsidR="00EC2E58">
          <w:rPr>
            <w:noProof/>
            <w:webHidden/>
          </w:rPr>
          <w:fldChar w:fldCharType="separate"/>
        </w:r>
        <w:r w:rsidR="00EC2E58">
          <w:rPr>
            <w:noProof/>
            <w:webHidden/>
          </w:rPr>
          <w:t>9</w:t>
        </w:r>
        <w:r w:rsidR="00EC2E58">
          <w:rPr>
            <w:noProof/>
            <w:webHidden/>
          </w:rPr>
          <w:fldChar w:fldCharType="end"/>
        </w:r>
      </w:hyperlink>
    </w:p>
    <w:p w14:paraId="5AC16B7D" w14:textId="43AA1073" w:rsidR="00EC2E58" w:rsidRDefault="00CF391D">
      <w:pPr>
        <w:pStyle w:val="TOC2"/>
        <w:rPr>
          <w:rFonts w:asciiTheme="minorHAnsi" w:eastAsiaTheme="minorEastAsia" w:hAnsiTheme="minorHAnsi" w:cstheme="minorBidi"/>
          <w:noProof/>
        </w:rPr>
      </w:pPr>
      <w:hyperlink w:anchor="_Toc117065692" w:history="1">
        <w:r w:rsidR="00EC2E58" w:rsidRPr="009E0F6A">
          <w:rPr>
            <w:rStyle w:val="Hyperlink"/>
            <w:bCs/>
            <w:noProof/>
          </w:rPr>
          <w:t>Permit to Install (PTI)</w:t>
        </w:r>
        <w:r w:rsidR="00EC2E58">
          <w:rPr>
            <w:noProof/>
            <w:webHidden/>
          </w:rPr>
          <w:tab/>
        </w:r>
        <w:r w:rsidR="00EC2E58">
          <w:rPr>
            <w:noProof/>
            <w:webHidden/>
          </w:rPr>
          <w:fldChar w:fldCharType="begin"/>
        </w:r>
        <w:r w:rsidR="00EC2E58">
          <w:rPr>
            <w:noProof/>
            <w:webHidden/>
          </w:rPr>
          <w:instrText xml:space="preserve"> PAGEREF _Toc117065692 \h </w:instrText>
        </w:r>
        <w:r w:rsidR="00EC2E58">
          <w:rPr>
            <w:noProof/>
            <w:webHidden/>
          </w:rPr>
        </w:r>
        <w:r w:rsidR="00EC2E58">
          <w:rPr>
            <w:noProof/>
            <w:webHidden/>
          </w:rPr>
          <w:fldChar w:fldCharType="separate"/>
        </w:r>
        <w:r w:rsidR="00EC2E58">
          <w:rPr>
            <w:noProof/>
            <w:webHidden/>
          </w:rPr>
          <w:t>10</w:t>
        </w:r>
        <w:r w:rsidR="00EC2E58">
          <w:rPr>
            <w:noProof/>
            <w:webHidden/>
          </w:rPr>
          <w:fldChar w:fldCharType="end"/>
        </w:r>
      </w:hyperlink>
    </w:p>
    <w:p w14:paraId="49456FFA" w14:textId="48AADC0E" w:rsidR="00EC2E58" w:rsidRDefault="00CF391D">
      <w:pPr>
        <w:pStyle w:val="TOC1"/>
        <w:rPr>
          <w:rFonts w:asciiTheme="minorHAnsi" w:eastAsiaTheme="minorEastAsia" w:hAnsiTheme="minorHAnsi" w:cstheme="minorBidi"/>
          <w:b w:val="0"/>
          <w:noProof/>
        </w:rPr>
      </w:pPr>
      <w:hyperlink w:anchor="_Toc117065693" w:history="1">
        <w:r w:rsidR="00EC2E58" w:rsidRPr="009E0F6A">
          <w:rPr>
            <w:rStyle w:val="Hyperlink"/>
            <w:noProof/>
          </w:rPr>
          <w:t>B.  SOURCE-WIDE CONDITIONS</w:t>
        </w:r>
        <w:r w:rsidR="00EC2E58">
          <w:rPr>
            <w:noProof/>
            <w:webHidden/>
          </w:rPr>
          <w:tab/>
        </w:r>
        <w:r w:rsidR="00EC2E58">
          <w:rPr>
            <w:noProof/>
            <w:webHidden/>
          </w:rPr>
          <w:fldChar w:fldCharType="begin"/>
        </w:r>
        <w:r w:rsidR="00EC2E58">
          <w:rPr>
            <w:noProof/>
            <w:webHidden/>
          </w:rPr>
          <w:instrText xml:space="preserve"> PAGEREF _Toc117065693 \h </w:instrText>
        </w:r>
        <w:r w:rsidR="00EC2E58">
          <w:rPr>
            <w:noProof/>
            <w:webHidden/>
          </w:rPr>
        </w:r>
        <w:r w:rsidR="00EC2E58">
          <w:rPr>
            <w:noProof/>
            <w:webHidden/>
          </w:rPr>
          <w:fldChar w:fldCharType="separate"/>
        </w:r>
        <w:r w:rsidR="00EC2E58">
          <w:rPr>
            <w:noProof/>
            <w:webHidden/>
          </w:rPr>
          <w:t>11</w:t>
        </w:r>
        <w:r w:rsidR="00EC2E58">
          <w:rPr>
            <w:noProof/>
            <w:webHidden/>
          </w:rPr>
          <w:fldChar w:fldCharType="end"/>
        </w:r>
      </w:hyperlink>
    </w:p>
    <w:p w14:paraId="07E5B44C" w14:textId="3B2CBDE6" w:rsidR="00EC2E58" w:rsidRDefault="00CF391D">
      <w:pPr>
        <w:pStyle w:val="TOC1"/>
        <w:rPr>
          <w:rFonts w:asciiTheme="minorHAnsi" w:eastAsiaTheme="minorEastAsia" w:hAnsiTheme="minorHAnsi" w:cstheme="minorBidi"/>
          <w:b w:val="0"/>
          <w:noProof/>
        </w:rPr>
      </w:pPr>
      <w:hyperlink w:anchor="_Toc117065694" w:history="1">
        <w:r w:rsidR="00EC2E58" w:rsidRPr="009E0F6A">
          <w:rPr>
            <w:rStyle w:val="Hyperlink"/>
            <w:noProof/>
          </w:rPr>
          <w:t>C.  EMISSION UNIT SPECIAL CONDITIONS</w:t>
        </w:r>
        <w:r w:rsidR="00EC2E58">
          <w:rPr>
            <w:noProof/>
            <w:webHidden/>
          </w:rPr>
          <w:tab/>
        </w:r>
        <w:r w:rsidR="00EC2E58">
          <w:rPr>
            <w:noProof/>
            <w:webHidden/>
          </w:rPr>
          <w:fldChar w:fldCharType="begin"/>
        </w:r>
        <w:r w:rsidR="00EC2E58">
          <w:rPr>
            <w:noProof/>
            <w:webHidden/>
          </w:rPr>
          <w:instrText xml:space="preserve"> PAGEREF _Toc117065694 \h </w:instrText>
        </w:r>
        <w:r w:rsidR="00EC2E58">
          <w:rPr>
            <w:noProof/>
            <w:webHidden/>
          </w:rPr>
        </w:r>
        <w:r w:rsidR="00EC2E58">
          <w:rPr>
            <w:noProof/>
            <w:webHidden/>
          </w:rPr>
          <w:fldChar w:fldCharType="separate"/>
        </w:r>
        <w:r w:rsidR="00EC2E58">
          <w:rPr>
            <w:noProof/>
            <w:webHidden/>
          </w:rPr>
          <w:t>12</w:t>
        </w:r>
        <w:r w:rsidR="00EC2E58">
          <w:rPr>
            <w:noProof/>
            <w:webHidden/>
          </w:rPr>
          <w:fldChar w:fldCharType="end"/>
        </w:r>
      </w:hyperlink>
    </w:p>
    <w:p w14:paraId="12427F5C" w14:textId="404A6C54" w:rsidR="00EC2E58" w:rsidRDefault="00CF391D">
      <w:pPr>
        <w:pStyle w:val="TOC2"/>
        <w:rPr>
          <w:rFonts w:asciiTheme="minorHAnsi" w:eastAsiaTheme="minorEastAsia" w:hAnsiTheme="minorHAnsi" w:cstheme="minorBidi"/>
          <w:noProof/>
        </w:rPr>
      </w:pPr>
      <w:hyperlink w:anchor="_Toc117065695" w:history="1">
        <w:r w:rsidR="00EC2E58" w:rsidRPr="009E0F6A">
          <w:rPr>
            <w:rStyle w:val="Hyperlink"/>
            <w:noProof/>
          </w:rPr>
          <w:t>EMISSION UNIT SUMMARY TABLE</w:t>
        </w:r>
        <w:r w:rsidR="00EC2E58">
          <w:rPr>
            <w:noProof/>
            <w:webHidden/>
          </w:rPr>
          <w:tab/>
        </w:r>
        <w:r w:rsidR="00EC2E58">
          <w:rPr>
            <w:noProof/>
            <w:webHidden/>
          </w:rPr>
          <w:fldChar w:fldCharType="begin"/>
        </w:r>
        <w:r w:rsidR="00EC2E58">
          <w:rPr>
            <w:noProof/>
            <w:webHidden/>
          </w:rPr>
          <w:instrText xml:space="preserve"> PAGEREF _Toc117065695 \h </w:instrText>
        </w:r>
        <w:r w:rsidR="00EC2E58">
          <w:rPr>
            <w:noProof/>
            <w:webHidden/>
          </w:rPr>
        </w:r>
        <w:r w:rsidR="00EC2E58">
          <w:rPr>
            <w:noProof/>
            <w:webHidden/>
          </w:rPr>
          <w:fldChar w:fldCharType="separate"/>
        </w:r>
        <w:r w:rsidR="00EC2E58">
          <w:rPr>
            <w:noProof/>
            <w:webHidden/>
          </w:rPr>
          <w:t>12</w:t>
        </w:r>
        <w:r w:rsidR="00EC2E58">
          <w:rPr>
            <w:noProof/>
            <w:webHidden/>
          </w:rPr>
          <w:fldChar w:fldCharType="end"/>
        </w:r>
      </w:hyperlink>
    </w:p>
    <w:p w14:paraId="1C1CA54C" w14:textId="258E9FE7" w:rsidR="00EC2E58" w:rsidRDefault="00CF391D">
      <w:pPr>
        <w:pStyle w:val="TOC2"/>
        <w:rPr>
          <w:rFonts w:asciiTheme="minorHAnsi" w:eastAsiaTheme="minorEastAsia" w:hAnsiTheme="minorHAnsi" w:cstheme="minorBidi"/>
          <w:noProof/>
        </w:rPr>
      </w:pPr>
      <w:hyperlink w:anchor="_Toc117065696" w:history="1">
        <w:r w:rsidR="00EC2E58" w:rsidRPr="009E0F6A">
          <w:rPr>
            <w:rStyle w:val="Hyperlink"/>
            <w:bCs/>
            <w:noProof/>
          </w:rPr>
          <w:t>EUAUTOLINE2</w:t>
        </w:r>
        <w:r w:rsidR="00EC2E58">
          <w:rPr>
            <w:noProof/>
            <w:webHidden/>
          </w:rPr>
          <w:tab/>
        </w:r>
        <w:r w:rsidR="00EC2E58">
          <w:rPr>
            <w:noProof/>
            <w:webHidden/>
          </w:rPr>
          <w:fldChar w:fldCharType="begin"/>
        </w:r>
        <w:r w:rsidR="00EC2E58">
          <w:rPr>
            <w:noProof/>
            <w:webHidden/>
          </w:rPr>
          <w:instrText xml:space="preserve"> PAGEREF _Toc117065696 \h </w:instrText>
        </w:r>
        <w:r w:rsidR="00EC2E58">
          <w:rPr>
            <w:noProof/>
            <w:webHidden/>
          </w:rPr>
        </w:r>
        <w:r w:rsidR="00EC2E58">
          <w:rPr>
            <w:noProof/>
            <w:webHidden/>
          </w:rPr>
          <w:fldChar w:fldCharType="separate"/>
        </w:r>
        <w:r w:rsidR="00EC2E58">
          <w:rPr>
            <w:noProof/>
            <w:webHidden/>
          </w:rPr>
          <w:t>14</w:t>
        </w:r>
        <w:r w:rsidR="00EC2E58">
          <w:rPr>
            <w:noProof/>
            <w:webHidden/>
          </w:rPr>
          <w:fldChar w:fldCharType="end"/>
        </w:r>
      </w:hyperlink>
    </w:p>
    <w:p w14:paraId="11FE02EB" w14:textId="44EB4113" w:rsidR="00EC2E58" w:rsidRDefault="00CF391D">
      <w:pPr>
        <w:pStyle w:val="TOC1"/>
        <w:rPr>
          <w:rFonts w:asciiTheme="minorHAnsi" w:eastAsiaTheme="minorEastAsia" w:hAnsiTheme="minorHAnsi" w:cstheme="minorBidi"/>
          <w:b w:val="0"/>
          <w:noProof/>
        </w:rPr>
      </w:pPr>
      <w:hyperlink w:anchor="_Toc117065697" w:history="1">
        <w:r w:rsidR="00EC2E58" w:rsidRPr="009E0F6A">
          <w:rPr>
            <w:rStyle w:val="Hyperlink"/>
            <w:noProof/>
          </w:rPr>
          <w:t>D.  FLEXIBLE GROUP SPECIAL CONDITIONS</w:t>
        </w:r>
        <w:r w:rsidR="00EC2E58">
          <w:rPr>
            <w:noProof/>
            <w:webHidden/>
          </w:rPr>
          <w:tab/>
        </w:r>
        <w:r w:rsidR="00EC2E58">
          <w:rPr>
            <w:noProof/>
            <w:webHidden/>
          </w:rPr>
          <w:fldChar w:fldCharType="begin"/>
        </w:r>
        <w:r w:rsidR="00EC2E58">
          <w:rPr>
            <w:noProof/>
            <w:webHidden/>
          </w:rPr>
          <w:instrText xml:space="preserve"> PAGEREF _Toc117065697 \h </w:instrText>
        </w:r>
        <w:r w:rsidR="00EC2E58">
          <w:rPr>
            <w:noProof/>
            <w:webHidden/>
          </w:rPr>
        </w:r>
        <w:r w:rsidR="00EC2E58">
          <w:rPr>
            <w:noProof/>
            <w:webHidden/>
          </w:rPr>
          <w:fldChar w:fldCharType="separate"/>
        </w:r>
        <w:r w:rsidR="00EC2E58">
          <w:rPr>
            <w:noProof/>
            <w:webHidden/>
          </w:rPr>
          <w:t>17</w:t>
        </w:r>
        <w:r w:rsidR="00EC2E58">
          <w:rPr>
            <w:noProof/>
            <w:webHidden/>
          </w:rPr>
          <w:fldChar w:fldCharType="end"/>
        </w:r>
      </w:hyperlink>
    </w:p>
    <w:p w14:paraId="58C2AE96" w14:textId="71A97CFE" w:rsidR="00EC2E58" w:rsidRDefault="00CF391D">
      <w:pPr>
        <w:pStyle w:val="TOC2"/>
        <w:rPr>
          <w:rFonts w:asciiTheme="minorHAnsi" w:eastAsiaTheme="minorEastAsia" w:hAnsiTheme="minorHAnsi" w:cstheme="minorBidi"/>
          <w:noProof/>
        </w:rPr>
      </w:pPr>
      <w:hyperlink w:anchor="_Toc117065698" w:history="1">
        <w:r w:rsidR="00EC2E58" w:rsidRPr="009E0F6A">
          <w:rPr>
            <w:rStyle w:val="Hyperlink"/>
            <w:bCs/>
            <w:noProof/>
          </w:rPr>
          <w:t>FLEXIBLE GROUP SUMMARY TABLE</w:t>
        </w:r>
        <w:r w:rsidR="00EC2E58">
          <w:rPr>
            <w:noProof/>
            <w:webHidden/>
          </w:rPr>
          <w:tab/>
        </w:r>
        <w:r w:rsidR="00EC2E58">
          <w:rPr>
            <w:noProof/>
            <w:webHidden/>
          </w:rPr>
          <w:fldChar w:fldCharType="begin"/>
        </w:r>
        <w:r w:rsidR="00EC2E58">
          <w:rPr>
            <w:noProof/>
            <w:webHidden/>
          </w:rPr>
          <w:instrText xml:space="preserve"> PAGEREF _Toc117065698 \h </w:instrText>
        </w:r>
        <w:r w:rsidR="00EC2E58">
          <w:rPr>
            <w:noProof/>
            <w:webHidden/>
          </w:rPr>
        </w:r>
        <w:r w:rsidR="00EC2E58">
          <w:rPr>
            <w:noProof/>
            <w:webHidden/>
          </w:rPr>
          <w:fldChar w:fldCharType="separate"/>
        </w:r>
        <w:r w:rsidR="00EC2E58">
          <w:rPr>
            <w:noProof/>
            <w:webHidden/>
          </w:rPr>
          <w:t>17</w:t>
        </w:r>
        <w:r w:rsidR="00EC2E58">
          <w:rPr>
            <w:noProof/>
            <w:webHidden/>
          </w:rPr>
          <w:fldChar w:fldCharType="end"/>
        </w:r>
      </w:hyperlink>
    </w:p>
    <w:p w14:paraId="3FB099B1" w14:textId="4E91249B" w:rsidR="00EC2E58" w:rsidRDefault="00CF391D">
      <w:pPr>
        <w:pStyle w:val="TOC2"/>
        <w:rPr>
          <w:rFonts w:asciiTheme="minorHAnsi" w:eastAsiaTheme="minorEastAsia" w:hAnsiTheme="minorHAnsi" w:cstheme="minorBidi"/>
          <w:noProof/>
        </w:rPr>
      </w:pPr>
      <w:hyperlink w:anchor="_Toc117065699" w:history="1">
        <w:r w:rsidR="00EC2E58" w:rsidRPr="009E0F6A">
          <w:rPr>
            <w:rStyle w:val="Hyperlink"/>
            <w:bCs/>
            <w:iCs/>
            <w:noProof/>
          </w:rPr>
          <w:t>FG-WOODWORK</w:t>
        </w:r>
        <w:r w:rsidR="00EC2E58">
          <w:rPr>
            <w:noProof/>
            <w:webHidden/>
          </w:rPr>
          <w:tab/>
        </w:r>
        <w:r w:rsidR="00EC2E58">
          <w:rPr>
            <w:noProof/>
            <w:webHidden/>
          </w:rPr>
          <w:fldChar w:fldCharType="begin"/>
        </w:r>
        <w:r w:rsidR="00EC2E58">
          <w:rPr>
            <w:noProof/>
            <w:webHidden/>
          </w:rPr>
          <w:instrText xml:space="preserve"> PAGEREF _Toc117065699 \h </w:instrText>
        </w:r>
        <w:r w:rsidR="00EC2E58">
          <w:rPr>
            <w:noProof/>
            <w:webHidden/>
          </w:rPr>
        </w:r>
        <w:r w:rsidR="00EC2E58">
          <w:rPr>
            <w:noProof/>
            <w:webHidden/>
          </w:rPr>
          <w:fldChar w:fldCharType="separate"/>
        </w:r>
        <w:r w:rsidR="00EC2E58">
          <w:rPr>
            <w:noProof/>
            <w:webHidden/>
          </w:rPr>
          <w:t>18</w:t>
        </w:r>
        <w:r w:rsidR="00EC2E58">
          <w:rPr>
            <w:noProof/>
            <w:webHidden/>
          </w:rPr>
          <w:fldChar w:fldCharType="end"/>
        </w:r>
      </w:hyperlink>
    </w:p>
    <w:p w14:paraId="7504F609" w14:textId="5144E1D7" w:rsidR="00EC2E58" w:rsidRDefault="00CF391D">
      <w:pPr>
        <w:pStyle w:val="TOC2"/>
        <w:rPr>
          <w:rFonts w:asciiTheme="minorHAnsi" w:eastAsiaTheme="minorEastAsia" w:hAnsiTheme="minorHAnsi" w:cstheme="minorBidi"/>
          <w:noProof/>
        </w:rPr>
      </w:pPr>
      <w:hyperlink w:anchor="_Toc117065700" w:history="1">
        <w:r w:rsidR="00EC2E58" w:rsidRPr="009E0F6A">
          <w:rPr>
            <w:rStyle w:val="Hyperlink"/>
            <w:bCs/>
            <w:iCs/>
            <w:noProof/>
          </w:rPr>
          <w:t>FG-FINISH</w:t>
        </w:r>
        <w:r w:rsidR="00EC2E58">
          <w:rPr>
            <w:noProof/>
            <w:webHidden/>
          </w:rPr>
          <w:tab/>
        </w:r>
        <w:r w:rsidR="00EC2E58">
          <w:rPr>
            <w:noProof/>
            <w:webHidden/>
          </w:rPr>
          <w:fldChar w:fldCharType="begin"/>
        </w:r>
        <w:r w:rsidR="00EC2E58">
          <w:rPr>
            <w:noProof/>
            <w:webHidden/>
          </w:rPr>
          <w:instrText xml:space="preserve"> PAGEREF _Toc117065700 \h </w:instrText>
        </w:r>
        <w:r w:rsidR="00EC2E58">
          <w:rPr>
            <w:noProof/>
            <w:webHidden/>
          </w:rPr>
        </w:r>
        <w:r w:rsidR="00EC2E58">
          <w:rPr>
            <w:noProof/>
            <w:webHidden/>
          </w:rPr>
          <w:fldChar w:fldCharType="separate"/>
        </w:r>
        <w:r w:rsidR="00EC2E58">
          <w:rPr>
            <w:noProof/>
            <w:webHidden/>
          </w:rPr>
          <w:t>20</w:t>
        </w:r>
        <w:r w:rsidR="00EC2E58">
          <w:rPr>
            <w:noProof/>
            <w:webHidden/>
          </w:rPr>
          <w:fldChar w:fldCharType="end"/>
        </w:r>
      </w:hyperlink>
    </w:p>
    <w:p w14:paraId="5A5FB632" w14:textId="3E6C11B1" w:rsidR="00EC2E58" w:rsidRDefault="00CF391D">
      <w:pPr>
        <w:pStyle w:val="TOC2"/>
        <w:rPr>
          <w:rFonts w:asciiTheme="minorHAnsi" w:eastAsiaTheme="minorEastAsia" w:hAnsiTheme="minorHAnsi" w:cstheme="minorBidi"/>
          <w:noProof/>
        </w:rPr>
      </w:pPr>
      <w:hyperlink w:anchor="_Toc117065701" w:history="1">
        <w:r w:rsidR="00EC2E58" w:rsidRPr="009E0F6A">
          <w:rPr>
            <w:rStyle w:val="Hyperlink"/>
            <w:bCs/>
            <w:iCs/>
            <w:noProof/>
          </w:rPr>
          <w:t>FG-MACT</w:t>
        </w:r>
        <w:r w:rsidR="00EC2E58">
          <w:rPr>
            <w:noProof/>
            <w:webHidden/>
          </w:rPr>
          <w:tab/>
        </w:r>
        <w:r w:rsidR="00EC2E58">
          <w:rPr>
            <w:noProof/>
            <w:webHidden/>
          </w:rPr>
          <w:fldChar w:fldCharType="begin"/>
        </w:r>
        <w:r w:rsidR="00EC2E58">
          <w:rPr>
            <w:noProof/>
            <w:webHidden/>
          </w:rPr>
          <w:instrText xml:space="preserve"> PAGEREF _Toc117065701 \h </w:instrText>
        </w:r>
        <w:r w:rsidR="00EC2E58">
          <w:rPr>
            <w:noProof/>
            <w:webHidden/>
          </w:rPr>
        </w:r>
        <w:r w:rsidR="00EC2E58">
          <w:rPr>
            <w:noProof/>
            <w:webHidden/>
          </w:rPr>
          <w:fldChar w:fldCharType="separate"/>
        </w:r>
        <w:r w:rsidR="00EC2E58">
          <w:rPr>
            <w:noProof/>
            <w:webHidden/>
          </w:rPr>
          <w:t>23</w:t>
        </w:r>
        <w:r w:rsidR="00EC2E58">
          <w:rPr>
            <w:noProof/>
            <w:webHidden/>
          </w:rPr>
          <w:fldChar w:fldCharType="end"/>
        </w:r>
      </w:hyperlink>
    </w:p>
    <w:p w14:paraId="24DD90FB" w14:textId="625F6193" w:rsidR="00EC2E58" w:rsidRDefault="00CF391D">
      <w:pPr>
        <w:pStyle w:val="TOC1"/>
        <w:rPr>
          <w:rFonts w:asciiTheme="minorHAnsi" w:eastAsiaTheme="minorEastAsia" w:hAnsiTheme="minorHAnsi" w:cstheme="minorBidi"/>
          <w:b w:val="0"/>
          <w:noProof/>
        </w:rPr>
      </w:pPr>
      <w:hyperlink w:anchor="_Toc117065702" w:history="1">
        <w:r w:rsidR="00EC2E58" w:rsidRPr="009E0F6A">
          <w:rPr>
            <w:rStyle w:val="Hyperlink"/>
            <w:noProof/>
          </w:rPr>
          <w:t>E.  NON-APPLICABLE REQUIREMENTS</w:t>
        </w:r>
        <w:r w:rsidR="00EC2E58">
          <w:rPr>
            <w:noProof/>
            <w:webHidden/>
          </w:rPr>
          <w:tab/>
        </w:r>
        <w:r w:rsidR="00EC2E58">
          <w:rPr>
            <w:noProof/>
            <w:webHidden/>
          </w:rPr>
          <w:fldChar w:fldCharType="begin"/>
        </w:r>
        <w:r w:rsidR="00EC2E58">
          <w:rPr>
            <w:noProof/>
            <w:webHidden/>
          </w:rPr>
          <w:instrText xml:space="preserve"> PAGEREF _Toc117065702 \h </w:instrText>
        </w:r>
        <w:r w:rsidR="00EC2E58">
          <w:rPr>
            <w:noProof/>
            <w:webHidden/>
          </w:rPr>
        </w:r>
        <w:r w:rsidR="00EC2E58">
          <w:rPr>
            <w:noProof/>
            <w:webHidden/>
          </w:rPr>
          <w:fldChar w:fldCharType="separate"/>
        </w:r>
        <w:r w:rsidR="00EC2E58">
          <w:rPr>
            <w:noProof/>
            <w:webHidden/>
          </w:rPr>
          <w:t>31</w:t>
        </w:r>
        <w:r w:rsidR="00EC2E58">
          <w:rPr>
            <w:noProof/>
            <w:webHidden/>
          </w:rPr>
          <w:fldChar w:fldCharType="end"/>
        </w:r>
      </w:hyperlink>
    </w:p>
    <w:p w14:paraId="630FA77A" w14:textId="244A47E5" w:rsidR="00EC2E58" w:rsidRDefault="00CF391D">
      <w:pPr>
        <w:pStyle w:val="TOC1"/>
        <w:rPr>
          <w:rFonts w:asciiTheme="minorHAnsi" w:eastAsiaTheme="minorEastAsia" w:hAnsiTheme="minorHAnsi" w:cstheme="minorBidi"/>
          <w:b w:val="0"/>
          <w:noProof/>
        </w:rPr>
      </w:pPr>
      <w:hyperlink w:anchor="_Toc117065703" w:history="1">
        <w:r w:rsidR="00EC2E58" w:rsidRPr="009E0F6A">
          <w:rPr>
            <w:rStyle w:val="Hyperlink"/>
            <w:noProof/>
            <w:kern w:val="28"/>
          </w:rPr>
          <w:t>APPENDICES</w:t>
        </w:r>
        <w:r w:rsidR="00EC2E58">
          <w:rPr>
            <w:noProof/>
            <w:webHidden/>
          </w:rPr>
          <w:tab/>
        </w:r>
        <w:r w:rsidR="00EC2E58">
          <w:rPr>
            <w:noProof/>
            <w:webHidden/>
          </w:rPr>
          <w:fldChar w:fldCharType="begin"/>
        </w:r>
        <w:r w:rsidR="00EC2E58">
          <w:rPr>
            <w:noProof/>
            <w:webHidden/>
          </w:rPr>
          <w:instrText xml:space="preserve"> PAGEREF _Toc117065703 \h </w:instrText>
        </w:r>
        <w:r w:rsidR="00EC2E58">
          <w:rPr>
            <w:noProof/>
            <w:webHidden/>
          </w:rPr>
        </w:r>
        <w:r w:rsidR="00EC2E58">
          <w:rPr>
            <w:noProof/>
            <w:webHidden/>
          </w:rPr>
          <w:fldChar w:fldCharType="separate"/>
        </w:r>
        <w:r w:rsidR="00EC2E58">
          <w:rPr>
            <w:noProof/>
            <w:webHidden/>
          </w:rPr>
          <w:t>32</w:t>
        </w:r>
        <w:r w:rsidR="00EC2E58">
          <w:rPr>
            <w:noProof/>
            <w:webHidden/>
          </w:rPr>
          <w:fldChar w:fldCharType="end"/>
        </w:r>
      </w:hyperlink>
    </w:p>
    <w:p w14:paraId="6A98D94C" w14:textId="5AB813FB" w:rsidR="00EC2E58" w:rsidRDefault="00CF391D">
      <w:pPr>
        <w:pStyle w:val="TOC2"/>
        <w:rPr>
          <w:rFonts w:asciiTheme="minorHAnsi" w:eastAsiaTheme="minorEastAsia" w:hAnsiTheme="minorHAnsi" w:cstheme="minorBidi"/>
          <w:noProof/>
        </w:rPr>
      </w:pPr>
      <w:hyperlink w:anchor="_Toc117065704" w:history="1">
        <w:r w:rsidR="00EC2E58" w:rsidRPr="009E0F6A">
          <w:rPr>
            <w:rStyle w:val="Hyperlink"/>
            <w:noProof/>
          </w:rPr>
          <w:t>Appendix 1.  Acronyms and Abbreviations</w:t>
        </w:r>
        <w:r w:rsidR="00EC2E58">
          <w:rPr>
            <w:noProof/>
            <w:webHidden/>
          </w:rPr>
          <w:tab/>
        </w:r>
        <w:r w:rsidR="00EC2E58">
          <w:rPr>
            <w:noProof/>
            <w:webHidden/>
          </w:rPr>
          <w:fldChar w:fldCharType="begin"/>
        </w:r>
        <w:r w:rsidR="00EC2E58">
          <w:rPr>
            <w:noProof/>
            <w:webHidden/>
          </w:rPr>
          <w:instrText xml:space="preserve"> PAGEREF _Toc117065704 \h </w:instrText>
        </w:r>
        <w:r w:rsidR="00EC2E58">
          <w:rPr>
            <w:noProof/>
            <w:webHidden/>
          </w:rPr>
        </w:r>
        <w:r w:rsidR="00EC2E58">
          <w:rPr>
            <w:noProof/>
            <w:webHidden/>
          </w:rPr>
          <w:fldChar w:fldCharType="separate"/>
        </w:r>
        <w:r w:rsidR="00EC2E58">
          <w:rPr>
            <w:noProof/>
            <w:webHidden/>
          </w:rPr>
          <w:t>32</w:t>
        </w:r>
        <w:r w:rsidR="00EC2E58">
          <w:rPr>
            <w:noProof/>
            <w:webHidden/>
          </w:rPr>
          <w:fldChar w:fldCharType="end"/>
        </w:r>
      </w:hyperlink>
    </w:p>
    <w:p w14:paraId="04D51A9F" w14:textId="6E9412E4" w:rsidR="00EC2E58" w:rsidRDefault="00CF391D">
      <w:pPr>
        <w:pStyle w:val="TOC2"/>
        <w:rPr>
          <w:rFonts w:asciiTheme="minorHAnsi" w:eastAsiaTheme="minorEastAsia" w:hAnsiTheme="minorHAnsi" w:cstheme="minorBidi"/>
          <w:noProof/>
        </w:rPr>
      </w:pPr>
      <w:hyperlink w:anchor="_Toc117065705" w:history="1">
        <w:r w:rsidR="00EC2E58" w:rsidRPr="009E0F6A">
          <w:rPr>
            <w:rStyle w:val="Hyperlink"/>
            <w:bCs/>
            <w:noProof/>
          </w:rPr>
          <w:t>Appendix 2.  Schedule of Compliance</w:t>
        </w:r>
        <w:r w:rsidR="00EC2E58">
          <w:rPr>
            <w:noProof/>
            <w:webHidden/>
          </w:rPr>
          <w:tab/>
        </w:r>
        <w:r w:rsidR="00EC2E58">
          <w:rPr>
            <w:noProof/>
            <w:webHidden/>
          </w:rPr>
          <w:fldChar w:fldCharType="begin"/>
        </w:r>
        <w:r w:rsidR="00EC2E58">
          <w:rPr>
            <w:noProof/>
            <w:webHidden/>
          </w:rPr>
          <w:instrText xml:space="preserve"> PAGEREF _Toc117065705 \h </w:instrText>
        </w:r>
        <w:r w:rsidR="00EC2E58">
          <w:rPr>
            <w:noProof/>
            <w:webHidden/>
          </w:rPr>
        </w:r>
        <w:r w:rsidR="00EC2E58">
          <w:rPr>
            <w:noProof/>
            <w:webHidden/>
          </w:rPr>
          <w:fldChar w:fldCharType="separate"/>
        </w:r>
        <w:r w:rsidR="00EC2E58">
          <w:rPr>
            <w:noProof/>
            <w:webHidden/>
          </w:rPr>
          <w:t>33</w:t>
        </w:r>
        <w:r w:rsidR="00EC2E58">
          <w:rPr>
            <w:noProof/>
            <w:webHidden/>
          </w:rPr>
          <w:fldChar w:fldCharType="end"/>
        </w:r>
      </w:hyperlink>
    </w:p>
    <w:p w14:paraId="7E6AE959" w14:textId="418018A8" w:rsidR="00EC2E58" w:rsidRDefault="00CF391D">
      <w:pPr>
        <w:pStyle w:val="TOC2"/>
        <w:rPr>
          <w:rFonts w:asciiTheme="minorHAnsi" w:eastAsiaTheme="minorEastAsia" w:hAnsiTheme="minorHAnsi" w:cstheme="minorBidi"/>
          <w:noProof/>
        </w:rPr>
      </w:pPr>
      <w:hyperlink w:anchor="_Toc117065706" w:history="1">
        <w:r w:rsidR="00EC2E58" w:rsidRPr="009E0F6A">
          <w:rPr>
            <w:rStyle w:val="Hyperlink"/>
            <w:noProof/>
          </w:rPr>
          <w:t>Appendix 3.  Monitoring Requirements</w:t>
        </w:r>
        <w:r w:rsidR="00EC2E58">
          <w:rPr>
            <w:noProof/>
            <w:webHidden/>
          </w:rPr>
          <w:tab/>
        </w:r>
        <w:r w:rsidR="00EC2E58">
          <w:rPr>
            <w:noProof/>
            <w:webHidden/>
          </w:rPr>
          <w:fldChar w:fldCharType="begin"/>
        </w:r>
        <w:r w:rsidR="00EC2E58">
          <w:rPr>
            <w:noProof/>
            <w:webHidden/>
          </w:rPr>
          <w:instrText xml:space="preserve"> PAGEREF _Toc117065706 \h </w:instrText>
        </w:r>
        <w:r w:rsidR="00EC2E58">
          <w:rPr>
            <w:noProof/>
            <w:webHidden/>
          </w:rPr>
        </w:r>
        <w:r w:rsidR="00EC2E58">
          <w:rPr>
            <w:noProof/>
            <w:webHidden/>
          </w:rPr>
          <w:fldChar w:fldCharType="separate"/>
        </w:r>
        <w:r w:rsidR="00EC2E58">
          <w:rPr>
            <w:noProof/>
            <w:webHidden/>
          </w:rPr>
          <w:t>33</w:t>
        </w:r>
        <w:r w:rsidR="00EC2E58">
          <w:rPr>
            <w:noProof/>
            <w:webHidden/>
          </w:rPr>
          <w:fldChar w:fldCharType="end"/>
        </w:r>
      </w:hyperlink>
    </w:p>
    <w:p w14:paraId="6687063F" w14:textId="719BC963" w:rsidR="00EC2E58" w:rsidRDefault="00CF391D">
      <w:pPr>
        <w:pStyle w:val="TOC2"/>
        <w:rPr>
          <w:rFonts w:asciiTheme="minorHAnsi" w:eastAsiaTheme="minorEastAsia" w:hAnsiTheme="minorHAnsi" w:cstheme="minorBidi"/>
          <w:noProof/>
        </w:rPr>
      </w:pPr>
      <w:hyperlink w:anchor="_Toc117065707" w:history="1">
        <w:r w:rsidR="00EC2E58" w:rsidRPr="009E0F6A">
          <w:rPr>
            <w:rStyle w:val="Hyperlink"/>
            <w:noProof/>
          </w:rPr>
          <w:t>Appendix 4.  Recordkeeping</w:t>
        </w:r>
        <w:r w:rsidR="00EC2E58">
          <w:rPr>
            <w:noProof/>
            <w:webHidden/>
          </w:rPr>
          <w:tab/>
        </w:r>
        <w:r w:rsidR="00EC2E58">
          <w:rPr>
            <w:noProof/>
            <w:webHidden/>
          </w:rPr>
          <w:fldChar w:fldCharType="begin"/>
        </w:r>
        <w:r w:rsidR="00EC2E58">
          <w:rPr>
            <w:noProof/>
            <w:webHidden/>
          </w:rPr>
          <w:instrText xml:space="preserve"> PAGEREF _Toc117065707 \h </w:instrText>
        </w:r>
        <w:r w:rsidR="00EC2E58">
          <w:rPr>
            <w:noProof/>
            <w:webHidden/>
          </w:rPr>
        </w:r>
        <w:r w:rsidR="00EC2E58">
          <w:rPr>
            <w:noProof/>
            <w:webHidden/>
          </w:rPr>
          <w:fldChar w:fldCharType="separate"/>
        </w:r>
        <w:r w:rsidR="00EC2E58">
          <w:rPr>
            <w:noProof/>
            <w:webHidden/>
          </w:rPr>
          <w:t>33</w:t>
        </w:r>
        <w:r w:rsidR="00EC2E58">
          <w:rPr>
            <w:noProof/>
            <w:webHidden/>
          </w:rPr>
          <w:fldChar w:fldCharType="end"/>
        </w:r>
      </w:hyperlink>
    </w:p>
    <w:p w14:paraId="65079618" w14:textId="54271EE1" w:rsidR="00EC2E58" w:rsidRDefault="00CF391D">
      <w:pPr>
        <w:pStyle w:val="TOC2"/>
        <w:rPr>
          <w:rFonts w:asciiTheme="minorHAnsi" w:eastAsiaTheme="minorEastAsia" w:hAnsiTheme="minorHAnsi" w:cstheme="minorBidi"/>
          <w:noProof/>
        </w:rPr>
      </w:pPr>
      <w:hyperlink w:anchor="_Toc117065708" w:history="1">
        <w:r w:rsidR="00EC2E58" w:rsidRPr="009E0F6A">
          <w:rPr>
            <w:rStyle w:val="Hyperlink"/>
            <w:noProof/>
          </w:rPr>
          <w:t>Appendix 5.  Testing Procedures</w:t>
        </w:r>
        <w:r w:rsidR="00EC2E58">
          <w:rPr>
            <w:noProof/>
            <w:webHidden/>
          </w:rPr>
          <w:tab/>
        </w:r>
        <w:r w:rsidR="00EC2E58">
          <w:rPr>
            <w:noProof/>
            <w:webHidden/>
          </w:rPr>
          <w:fldChar w:fldCharType="begin"/>
        </w:r>
        <w:r w:rsidR="00EC2E58">
          <w:rPr>
            <w:noProof/>
            <w:webHidden/>
          </w:rPr>
          <w:instrText xml:space="preserve"> PAGEREF _Toc117065708 \h </w:instrText>
        </w:r>
        <w:r w:rsidR="00EC2E58">
          <w:rPr>
            <w:noProof/>
            <w:webHidden/>
          </w:rPr>
        </w:r>
        <w:r w:rsidR="00EC2E58">
          <w:rPr>
            <w:noProof/>
            <w:webHidden/>
          </w:rPr>
          <w:fldChar w:fldCharType="separate"/>
        </w:r>
        <w:r w:rsidR="00EC2E58">
          <w:rPr>
            <w:noProof/>
            <w:webHidden/>
          </w:rPr>
          <w:t>33</w:t>
        </w:r>
        <w:r w:rsidR="00EC2E58">
          <w:rPr>
            <w:noProof/>
            <w:webHidden/>
          </w:rPr>
          <w:fldChar w:fldCharType="end"/>
        </w:r>
      </w:hyperlink>
    </w:p>
    <w:p w14:paraId="6F16168B" w14:textId="34AB08D0" w:rsidR="00EC2E58" w:rsidRDefault="00CF391D">
      <w:pPr>
        <w:pStyle w:val="TOC2"/>
        <w:rPr>
          <w:rFonts w:asciiTheme="minorHAnsi" w:eastAsiaTheme="minorEastAsia" w:hAnsiTheme="minorHAnsi" w:cstheme="minorBidi"/>
          <w:noProof/>
        </w:rPr>
      </w:pPr>
      <w:hyperlink w:anchor="_Toc117065709" w:history="1">
        <w:r w:rsidR="00EC2E58" w:rsidRPr="009E0F6A">
          <w:rPr>
            <w:rStyle w:val="Hyperlink"/>
            <w:noProof/>
          </w:rPr>
          <w:t>Appendix 6.  Permits to Install</w:t>
        </w:r>
        <w:r w:rsidR="00EC2E58">
          <w:rPr>
            <w:noProof/>
            <w:webHidden/>
          </w:rPr>
          <w:tab/>
        </w:r>
        <w:r w:rsidR="00EC2E58">
          <w:rPr>
            <w:noProof/>
            <w:webHidden/>
          </w:rPr>
          <w:fldChar w:fldCharType="begin"/>
        </w:r>
        <w:r w:rsidR="00EC2E58">
          <w:rPr>
            <w:noProof/>
            <w:webHidden/>
          </w:rPr>
          <w:instrText xml:space="preserve"> PAGEREF _Toc117065709 \h </w:instrText>
        </w:r>
        <w:r w:rsidR="00EC2E58">
          <w:rPr>
            <w:noProof/>
            <w:webHidden/>
          </w:rPr>
        </w:r>
        <w:r w:rsidR="00EC2E58">
          <w:rPr>
            <w:noProof/>
            <w:webHidden/>
          </w:rPr>
          <w:fldChar w:fldCharType="separate"/>
        </w:r>
        <w:r w:rsidR="00EC2E58">
          <w:rPr>
            <w:noProof/>
            <w:webHidden/>
          </w:rPr>
          <w:t>33</w:t>
        </w:r>
        <w:r w:rsidR="00EC2E58">
          <w:rPr>
            <w:noProof/>
            <w:webHidden/>
          </w:rPr>
          <w:fldChar w:fldCharType="end"/>
        </w:r>
      </w:hyperlink>
    </w:p>
    <w:p w14:paraId="3D6BCE0E" w14:textId="71995378" w:rsidR="00EC2E58" w:rsidRDefault="00CF391D">
      <w:pPr>
        <w:pStyle w:val="TOC2"/>
        <w:rPr>
          <w:rFonts w:asciiTheme="minorHAnsi" w:eastAsiaTheme="minorEastAsia" w:hAnsiTheme="minorHAnsi" w:cstheme="minorBidi"/>
          <w:noProof/>
        </w:rPr>
      </w:pPr>
      <w:hyperlink w:anchor="_Toc117065710" w:history="1">
        <w:r w:rsidR="00EC2E58" w:rsidRPr="009E0F6A">
          <w:rPr>
            <w:rStyle w:val="Hyperlink"/>
            <w:noProof/>
          </w:rPr>
          <w:t>Appendix 7.  Emission Calculations</w:t>
        </w:r>
        <w:r w:rsidR="00EC2E58">
          <w:rPr>
            <w:noProof/>
            <w:webHidden/>
          </w:rPr>
          <w:tab/>
        </w:r>
        <w:r w:rsidR="00EC2E58">
          <w:rPr>
            <w:noProof/>
            <w:webHidden/>
          </w:rPr>
          <w:fldChar w:fldCharType="begin"/>
        </w:r>
        <w:r w:rsidR="00EC2E58">
          <w:rPr>
            <w:noProof/>
            <w:webHidden/>
          </w:rPr>
          <w:instrText xml:space="preserve"> PAGEREF _Toc117065710 \h </w:instrText>
        </w:r>
        <w:r w:rsidR="00EC2E58">
          <w:rPr>
            <w:noProof/>
            <w:webHidden/>
          </w:rPr>
        </w:r>
        <w:r w:rsidR="00EC2E58">
          <w:rPr>
            <w:noProof/>
            <w:webHidden/>
          </w:rPr>
          <w:fldChar w:fldCharType="separate"/>
        </w:r>
        <w:r w:rsidR="00EC2E58">
          <w:rPr>
            <w:noProof/>
            <w:webHidden/>
          </w:rPr>
          <w:t>33</w:t>
        </w:r>
        <w:r w:rsidR="00EC2E58">
          <w:rPr>
            <w:noProof/>
            <w:webHidden/>
          </w:rPr>
          <w:fldChar w:fldCharType="end"/>
        </w:r>
      </w:hyperlink>
    </w:p>
    <w:p w14:paraId="6BCCB6CA" w14:textId="7CB06FF4" w:rsidR="00EC2E58" w:rsidRDefault="00CF391D">
      <w:pPr>
        <w:pStyle w:val="TOC2"/>
        <w:rPr>
          <w:rFonts w:asciiTheme="minorHAnsi" w:eastAsiaTheme="minorEastAsia" w:hAnsiTheme="minorHAnsi" w:cstheme="minorBidi"/>
          <w:noProof/>
        </w:rPr>
      </w:pPr>
      <w:hyperlink w:anchor="_Toc117065711" w:history="1">
        <w:r w:rsidR="00EC2E58" w:rsidRPr="009E0F6A">
          <w:rPr>
            <w:rStyle w:val="Hyperlink"/>
            <w:noProof/>
          </w:rPr>
          <w:t>Appendix 8.  Reporting</w:t>
        </w:r>
        <w:r w:rsidR="00EC2E58">
          <w:rPr>
            <w:noProof/>
            <w:webHidden/>
          </w:rPr>
          <w:tab/>
        </w:r>
        <w:r w:rsidR="00EC2E58">
          <w:rPr>
            <w:noProof/>
            <w:webHidden/>
          </w:rPr>
          <w:fldChar w:fldCharType="begin"/>
        </w:r>
        <w:r w:rsidR="00EC2E58">
          <w:rPr>
            <w:noProof/>
            <w:webHidden/>
          </w:rPr>
          <w:instrText xml:space="preserve"> PAGEREF _Toc117065711 \h </w:instrText>
        </w:r>
        <w:r w:rsidR="00EC2E58">
          <w:rPr>
            <w:noProof/>
            <w:webHidden/>
          </w:rPr>
        </w:r>
        <w:r w:rsidR="00EC2E58">
          <w:rPr>
            <w:noProof/>
            <w:webHidden/>
          </w:rPr>
          <w:fldChar w:fldCharType="separate"/>
        </w:r>
        <w:r w:rsidR="00EC2E58">
          <w:rPr>
            <w:noProof/>
            <w:webHidden/>
          </w:rPr>
          <w:t>35</w:t>
        </w:r>
        <w:r w:rsidR="00EC2E58">
          <w:rPr>
            <w:noProof/>
            <w:webHidden/>
          </w:rPr>
          <w:fldChar w:fldCharType="end"/>
        </w:r>
      </w:hyperlink>
    </w:p>
    <w:p w14:paraId="278D5D11" w14:textId="038BEC74" w:rsidR="00EC2E58" w:rsidRDefault="00CF391D">
      <w:pPr>
        <w:pStyle w:val="TOC2"/>
        <w:rPr>
          <w:rFonts w:asciiTheme="minorHAnsi" w:eastAsiaTheme="minorEastAsia" w:hAnsiTheme="minorHAnsi" w:cstheme="minorBidi"/>
          <w:noProof/>
        </w:rPr>
      </w:pPr>
      <w:hyperlink w:anchor="_Toc117065712" w:history="1">
        <w:r w:rsidR="00EC2E58" w:rsidRPr="009E0F6A">
          <w:rPr>
            <w:rStyle w:val="Hyperlink"/>
            <w:bCs/>
            <w:noProof/>
          </w:rPr>
          <w:t>Appendix 9.  NESHAP for Wood Furniture Manufacturing Operations</w:t>
        </w:r>
        <w:r w:rsidR="00EC2E58">
          <w:rPr>
            <w:noProof/>
            <w:webHidden/>
          </w:rPr>
          <w:tab/>
        </w:r>
        <w:r w:rsidR="00EC2E58">
          <w:rPr>
            <w:noProof/>
            <w:webHidden/>
          </w:rPr>
          <w:fldChar w:fldCharType="begin"/>
        </w:r>
        <w:r w:rsidR="00EC2E58">
          <w:rPr>
            <w:noProof/>
            <w:webHidden/>
          </w:rPr>
          <w:instrText xml:space="preserve"> PAGEREF _Toc117065712 \h </w:instrText>
        </w:r>
        <w:r w:rsidR="00EC2E58">
          <w:rPr>
            <w:noProof/>
            <w:webHidden/>
          </w:rPr>
        </w:r>
        <w:r w:rsidR="00EC2E58">
          <w:rPr>
            <w:noProof/>
            <w:webHidden/>
          </w:rPr>
          <w:fldChar w:fldCharType="separate"/>
        </w:r>
        <w:r w:rsidR="00EC2E58">
          <w:rPr>
            <w:noProof/>
            <w:webHidden/>
          </w:rPr>
          <w:t>38</w:t>
        </w:r>
        <w:r w:rsidR="00EC2E58">
          <w:rPr>
            <w:noProof/>
            <w:webHidden/>
          </w:rPr>
          <w:fldChar w:fldCharType="end"/>
        </w:r>
      </w:hyperlink>
    </w:p>
    <w:p w14:paraId="6B051F04" w14:textId="75382E6A" w:rsidR="00AB2375" w:rsidRPr="006A1190" w:rsidRDefault="0053776A" w:rsidP="002F4C64">
      <w:pPr>
        <w:rPr>
          <w:szCs w:val="22"/>
        </w:rPr>
      </w:pPr>
      <w:r>
        <w:rPr>
          <w:b/>
          <w:szCs w:val="22"/>
        </w:rPr>
        <w:fldChar w:fldCharType="end"/>
      </w:r>
    </w:p>
    <w:p w14:paraId="3E83C4C1" w14:textId="77777777" w:rsidR="00FA25C4" w:rsidRDefault="00C2618F" w:rsidP="00445C28">
      <w:r>
        <w:br w:type="page"/>
      </w:r>
      <w:bookmarkStart w:id="13" w:name="_Toc1453501"/>
    </w:p>
    <w:p w14:paraId="601FF3F5" w14:textId="77777777" w:rsidR="00C2618F" w:rsidRPr="00961169" w:rsidRDefault="00C2618F" w:rsidP="00CE44D8">
      <w:pPr>
        <w:pStyle w:val="Heading1"/>
      </w:pPr>
      <w:bookmarkStart w:id="14" w:name="_Toc117065676"/>
      <w:r w:rsidRPr="00961169">
        <w:lastRenderedPageBreak/>
        <w:t>A</w:t>
      </w:r>
      <w:r>
        <w:t>UTHORITY AND ENFORCEABILITY</w:t>
      </w:r>
      <w:bookmarkEnd w:id="13"/>
      <w:bookmarkEnd w:id="14"/>
    </w:p>
    <w:p w14:paraId="44DEE1A9" w14:textId="77777777" w:rsidR="00FA25C4" w:rsidRDefault="00FA25C4" w:rsidP="00C2618F">
      <w:pPr>
        <w:jc w:val="both"/>
        <w:rPr>
          <w:szCs w:val="22"/>
        </w:rPr>
      </w:pPr>
    </w:p>
    <w:p w14:paraId="3583DA33" w14:textId="77777777" w:rsidR="007718C6" w:rsidRDefault="007718C6" w:rsidP="00C2618F">
      <w:pPr>
        <w:jc w:val="both"/>
        <w:rPr>
          <w:szCs w:val="22"/>
        </w:rPr>
      </w:pPr>
    </w:p>
    <w:p w14:paraId="1E56AD26"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E3D3D61" w14:textId="77777777" w:rsidR="00C2618F" w:rsidRPr="006A1190" w:rsidRDefault="00C2618F" w:rsidP="00C2618F">
      <w:pPr>
        <w:jc w:val="both"/>
        <w:rPr>
          <w:szCs w:val="22"/>
        </w:rPr>
      </w:pPr>
    </w:p>
    <w:p w14:paraId="0E68A36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F50A4DE" w14:textId="77777777" w:rsidR="00C2618F" w:rsidRDefault="00C2618F" w:rsidP="00C2618F">
      <w:pPr>
        <w:jc w:val="both"/>
        <w:rPr>
          <w:szCs w:val="22"/>
        </w:rPr>
      </w:pPr>
    </w:p>
    <w:p w14:paraId="33D1B051"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E65DAD6" w14:textId="77777777" w:rsidR="00C2618F" w:rsidRDefault="00C2618F" w:rsidP="00C2618F">
      <w:pPr>
        <w:jc w:val="both"/>
        <w:rPr>
          <w:szCs w:val="22"/>
        </w:rPr>
      </w:pPr>
    </w:p>
    <w:p w14:paraId="7488FB3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6194A29" w14:textId="77777777" w:rsidR="00C2618F" w:rsidRDefault="00C2618F" w:rsidP="00C2618F">
      <w:pPr>
        <w:jc w:val="both"/>
        <w:rPr>
          <w:rFonts w:cs="Arial"/>
          <w:szCs w:val="22"/>
        </w:rPr>
      </w:pPr>
    </w:p>
    <w:p w14:paraId="533EEC1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2FF54A50" w14:textId="77777777" w:rsidR="00C2618F" w:rsidRPr="006A1190" w:rsidRDefault="00C2618F" w:rsidP="00C2618F">
      <w:pPr>
        <w:jc w:val="both"/>
        <w:rPr>
          <w:rFonts w:cs="Arial"/>
          <w:szCs w:val="22"/>
        </w:rPr>
      </w:pPr>
    </w:p>
    <w:p w14:paraId="7030ABDD" w14:textId="77777777" w:rsidR="00C2618F" w:rsidRPr="006A1190" w:rsidRDefault="00C2618F" w:rsidP="00C2618F">
      <w:pPr>
        <w:rPr>
          <w:szCs w:val="22"/>
        </w:rPr>
      </w:pPr>
    </w:p>
    <w:p w14:paraId="163E1E18" w14:textId="77777777" w:rsidR="002B2132" w:rsidRDefault="002B2132" w:rsidP="00C2618F">
      <w:pPr>
        <w:rPr>
          <w:szCs w:val="22"/>
        </w:rPr>
      </w:pPr>
    </w:p>
    <w:p w14:paraId="68154C44" w14:textId="77777777" w:rsidR="0081525C" w:rsidRDefault="002B2132" w:rsidP="0081525C">
      <w:bookmarkStart w:id="15" w:name="_Toc1453503"/>
      <w:r>
        <w:br w:type="page"/>
      </w:r>
    </w:p>
    <w:p w14:paraId="141BCCD5" w14:textId="77777777" w:rsidR="005420E5" w:rsidRDefault="005E5399" w:rsidP="00CE44D8">
      <w:pPr>
        <w:pStyle w:val="Heading1"/>
      </w:pPr>
      <w:bookmarkStart w:id="16" w:name="_Toc117065677"/>
      <w:r>
        <w:lastRenderedPageBreak/>
        <w:t xml:space="preserve">A.  GENERAL </w:t>
      </w:r>
      <w:bookmarkEnd w:id="15"/>
      <w:r w:rsidR="00E9713D">
        <w:t>CONDITIONS</w:t>
      </w:r>
      <w:bookmarkEnd w:id="16"/>
    </w:p>
    <w:p w14:paraId="098DD216" w14:textId="77777777" w:rsidR="00E9713D" w:rsidRPr="00E9713D" w:rsidRDefault="00E9713D" w:rsidP="00E9713D"/>
    <w:p w14:paraId="20C14D24"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706567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2B92BEE" w14:textId="77777777" w:rsidR="00D160DB" w:rsidRPr="00DF6609" w:rsidRDefault="00D160DB" w:rsidP="00D160DB">
      <w:pPr>
        <w:jc w:val="both"/>
        <w:rPr>
          <w:rFonts w:cs="Arial"/>
          <w:sz w:val="20"/>
        </w:rPr>
      </w:pPr>
    </w:p>
    <w:p w14:paraId="04D718B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ADCC4E1" w14:textId="77777777" w:rsidR="00A018D7" w:rsidRPr="00F21983" w:rsidRDefault="00A018D7" w:rsidP="00854153">
      <w:pPr>
        <w:jc w:val="both"/>
        <w:rPr>
          <w:rFonts w:cs="Arial"/>
          <w:sz w:val="20"/>
        </w:rPr>
      </w:pPr>
    </w:p>
    <w:p w14:paraId="1279CAC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563E783" w14:textId="77777777" w:rsidR="00F6033B" w:rsidRDefault="00F6033B" w:rsidP="0012743F">
      <w:pPr>
        <w:pStyle w:val="ListParagraph"/>
        <w:ind w:left="0"/>
        <w:rPr>
          <w:rFonts w:cs="Arial"/>
          <w:sz w:val="20"/>
        </w:rPr>
      </w:pPr>
    </w:p>
    <w:p w14:paraId="44B57C8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177557C"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7065679"/>
      <w:r w:rsidRPr="0075518C">
        <w:rPr>
          <w:sz w:val="22"/>
          <w:szCs w:val="22"/>
        </w:rPr>
        <w:t xml:space="preserve">General </w:t>
      </w:r>
      <w:bookmarkEnd w:id="37"/>
      <w:bookmarkEnd w:id="38"/>
      <w:r w:rsidR="00E9713D" w:rsidRPr="0075518C">
        <w:rPr>
          <w:sz w:val="22"/>
          <w:szCs w:val="22"/>
        </w:rPr>
        <w:t>Provisions</w:t>
      </w:r>
      <w:bookmarkEnd w:id="39"/>
    </w:p>
    <w:p w14:paraId="5A1734FC" w14:textId="77777777" w:rsidR="00AB10F1" w:rsidRPr="00DF6609" w:rsidRDefault="00AB10F1" w:rsidP="00AB10F1">
      <w:pPr>
        <w:jc w:val="both"/>
        <w:rPr>
          <w:rFonts w:cs="Arial"/>
          <w:sz w:val="20"/>
        </w:rPr>
      </w:pPr>
    </w:p>
    <w:p w14:paraId="47589791"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2CBB69D2" w14:textId="77777777" w:rsidR="00AB10F1" w:rsidRPr="00F21983" w:rsidRDefault="00AB10F1" w:rsidP="00AB10F1">
      <w:pPr>
        <w:jc w:val="both"/>
        <w:rPr>
          <w:rFonts w:cs="Arial"/>
          <w:sz w:val="20"/>
        </w:rPr>
      </w:pPr>
    </w:p>
    <w:p w14:paraId="2CD7767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0E81FD3" w14:textId="77777777" w:rsidR="00AB10F1" w:rsidRPr="00F21983" w:rsidRDefault="00AB10F1" w:rsidP="00AB10F1">
      <w:pPr>
        <w:jc w:val="both"/>
        <w:rPr>
          <w:rFonts w:cs="Arial"/>
          <w:sz w:val="20"/>
        </w:rPr>
      </w:pPr>
    </w:p>
    <w:p w14:paraId="4419B9C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9F8856C" w14:textId="77777777" w:rsidR="008D6E4D" w:rsidRPr="00F21983" w:rsidRDefault="008D6E4D" w:rsidP="00AB10F1">
      <w:pPr>
        <w:jc w:val="both"/>
        <w:rPr>
          <w:rFonts w:cs="Arial"/>
          <w:sz w:val="20"/>
        </w:rPr>
      </w:pPr>
    </w:p>
    <w:p w14:paraId="3E234552"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A27206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A12B91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B530DC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C45741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F82C76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727C35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B7E623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A8A778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2D183B94" w14:textId="77777777" w:rsidR="008D6E4D" w:rsidRPr="00F21983" w:rsidRDefault="008D6E4D" w:rsidP="00AB10F1">
      <w:pPr>
        <w:jc w:val="both"/>
        <w:rPr>
          <w:rFonts w:cs="Arial"/>
          <w:sz w:val="20"/>
        </w:rPr>
      </w:pPr>
    </w:p>
    <w:p w14:paraId="15B265D3" w14:textId="744BD9CB"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E627BB"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7F906F2" w14:textId="77777777" w:rsidR="008D6E4D" w:rsidRPr="00F21983" w:rsidRDefault="008D6E4D" w:rsidP="00AB10F1">
      <w:pPr>
        <w:jc w:val="both"/>
        <w:rPr>
          <w:rFonts w:cs="Arial"/>
          <w:sz w:val="20"/>
        </w:rPr>
      </w:pPr>
    </w:p>
    <w:p w14:paraId="278C7411"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24D7748" w14:textId="77777777" w:rsidR="00DA6C16" w:rsidRPr="00F21983" w:rsidRDefault="00DA6C16" w:rsidP="00DA6C16">
      <w:pPr>
        <w:jc w:val="both"/>
        <w:rPr>
          <w:rFonts w:cs="Arial"/>
          <w:sz w:val="20"/>
        </w:rPr>
      </w:pPr>
    </w:p>
    <w:p w14:paraId="00E5ED76"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FD3755A" w14:textId="77777777" w:rsidR="008D6E4D" w:rsidRPr="00F21983" w:rsidRDefault="008D6E4D" w:rsidP="00AB10F1">
      <w:pPr>
        <w:jc w:val="both"/>
        <w:rPr>
          <w:rFonts w:cs="Arial"/>
          <w:sz w:val="20"/>
        </w:rPr>
      </w:pPr>
    </w:p>
    <w:p w14:paraId="3E49BAF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D975138" w14:textId="77777777" w:rsidR="00DC22AE" w:rsidRPr="00F21983" w:rsidRDefault="00DC22AE" w:rsidP="00AB10F1">
      <w:pPr>
        <w:jc w:val="both"/>
        <w:rPr>
          <w:rFonts w:cs="Arial"/>
          <w:sz w:val="20"/>
        </w:rPr>
      </w:pPr>
    </w:p>
    <w:p w14:paraId="21139049"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7065680"/>
      <w:r w:rsidRPr="0075518C">
        <w:rPr>
          <w:sz w:val="22"/>
          <w:szCs w:val="22"/>
        </w:rPr>
        <w:t>Equipment &amp; Design</w:t>
      </w:r>
      <w:bookmarkEnd w:id="40"/>
    </w:p>
    <w:p w14:paraId="06930A2E" w14:textId="77777777" w:rsidR="00A675AC" w:rsidRPr="00DF6609" w:rsidRDefault="00A675AC" w:rsidP="00AB10F1">
      <w:pPr>
        <w:jc w:val="both"/>
        <w:rPr>
          <w:rFonts w:cs="Arial"/>
          <w:sz w:val="20"/>
        </w:rPr>
      </w:pPr>
    </w:p>
    <w:p w14:paraId="51FA2907"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0504D2BB" w14:textId="77777777" w:rsidR="00DC22AE" w:rsidRPr="00F21983" w:rsidRDefault="00DC22AE" w:rsidP="00AB10F1">
      <w:pPr>
        <w:jc w:val="both"/>
        <w:rPr>
          <w:rFonts w:cs="Arial"/>
          <w:sz w:val="20"/>
        </w:rPr>
      </w:pPr>
    </w:p>
    <w:p w14:paraId="2514F39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FD2201B" w14:textId="77777777" w:rsidR="00DC22AE" w:rsidRPr="00F21983" w:rsidRDefault="00DC22AE" w:rsidP="00AB10F1">
      <w:pPr>
        <w:jc w:val="both"/>
        <w:rPr>
          <w:rFonts w:cs="Arial"/>
          <w:sz w:val="20"/>
        </w:rPr>
      </w:pPr>
    </w:p>
    <w:p w14:paraId="2B267863"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7065681"/>
      <w:r w:rsidRPr="0075518C">
        <w:rPr>
          <w:sz w:val="22"/>
          <w:szCs w:val="22"/>
        </w:rPr>
        <w:t>Emission Limits</w:t>
      </w:r>
      <w:bookmarkEnd w:id="41"/>
    </w:p>
    <w:p w14:paraId="7DE539DD" w14:textId="77777777" w:rsidR="002E3875" w:rsidRPr="00F21983" w:rsidRDefault="002E3875" w:rsidP="00AB10F1">
      <w:pPr>
        <w:jc w:val="both"/>
        <w:rPr>
          <w:rFonts w:cs="Arial"/>
          <w:sz w:val="20"/>
        </w:rPr>
      </w:pPr>
    </w:p>
    <w:p w14:paraId="5DE9D39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E6613F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D184CE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84B5566" w14:textId="77777777" w:rsidR="007E32BB" w:rsidRDefault="007E32BB" w:rsidP="0012743F">
      <w:pPr>
        <w:jc w:val="both"/>
        <w:rPr>
          <w:rFonts w:cs="Arial"/>
          <w:sz w:val="20"/>
        </w:rPr>
      </w:pPr>
    </w:p>
    <w:p w14:paraId="4D17D9DC"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70DA26B" w14:textId="77777777" w:rsidR="00FB53C0" w:rsidRPr="00F21983" w:rsidRDefault="00FB53C0" w:rsidP="00AB10F1">
      <w:pPr>
        <w:jc w:val="both"/>
        <w:rPr>
          <w:rFonts w:cs="Arial"/>
          <w:sz w:val="20"/>
        </w:rPr>
      </w:pPr>
    </w:p>
    <w:p w14:paraId="511CA00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233755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B28A9A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2011D80" w14:textId="77777777" w:rsidR="00105176" w:rsidRDefault="00105176" w:rsidP="0012743F">
      <w:pPr>
        <w:jc w:val="both"/>
        <w:rPr>
          <w:rFonts w:cs="Arial"/>
          <w:sz w:val="20"/>
        </w:rPr>
      </w:pPr>
    </w:p>
    <w:p w14:paraId="7FD562F4"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17065682"/>
      <w:r w:rsidRPr="0075518C">
        <w:rPr>
          <w:sz w:val="22"/>
          <w:szCs w:val="22"/>
        </w:rPr>
        <w:t>Testing/Sampling</w:t>
      </w:r>
      <w:bookmarkEnd w:id="42"/>
    </w:p>
    <w:p w14:paraId="38423855" w14:textId="77777777" w:rsidR="00FB53C0" w:rsidRPr="00F21983" w:rsidRDefault="00FB53C0" w:rsidP="00AB10F1">
      <w:pPr>
        <w:jc w:val="both"/>
        <w:rPr>
          <w:rFonts w:cs="Arial"/>
          <w:sz w:val="20"/>
        </w:rPr>
      </w:pPr>
    </w:p>
    <w:p w14:paraId="5F77F1D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7869516" w14:textId="77777777" w:rsidR="00ED74CC" w:rsidRPr="00F21983" w:rsidRDefault="00ED74CC" w:rsidP="00AB10F1">
      <w:pPr>
        <w:jc w:val="both"/>
        <w:rPr>
          <w:rFonts w:cs="Arial"/>
          <w:sz w:val="20"/>
        </w:rPr>
      </w:pPr>
    </w:p>
    <w:p w14:paraId="211232C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231CDB6" w14:textId="77777777" w:rsidR="00ED74CC" w:rsidRPr="00F21983" w:rsidRDefault="00ED74CC" w:rsidP="00BA5CC0">
      <w:pPr>
        <w:jc w:val="both"/>
        <w:rPr>
          <w:rFonts w:cs="Arial"/>
          <w:sz w:val="20"/>
        </w:rPr>
      </w:pPr>
    </w:p>
    <w:p w14:paraId="5BAD906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C8A0F6C" w14:textId="77777777" w:rsidR="00D41714" w:rsidRDefault="00774B98" w:rsidP="00ED74CC">
      <w:pPr>
        <w:jc w:val="both"/>
        <w:rPr>
          <w:rFonts w:cs="Arial"/>
          <w:sz w:val="20"/>
        </w:rPr>
      </w:pPr>
      <w:r>
        <w:rPr>
          <w:rFonts w:cs="Arial"/>
          <w:sz w:val="20"/>
        </w:rPr>
        <w:br w:type="page"/>
      </w:r>
    </w:p>
    <w:p w14:paraId="477E5EB4"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17065683"/>
      <w:r w:rsidRPr="0075518C">
        <w:rPr>
          <w:sz w:val="22"/>
          <w:szCs w:val="22"/>
        </w:rPr>
        <w:lastRenderedPageBreak/>
        <w:t>Monitoring/Recordkeeping</w:t>
      </w:r>
      <w:bookmarkEnd w:id="43"/>
    </w:p>
    <w:p w14:paraId="5603E945" w14:textId="77777777" w:rsidR="00D41714" w:rsidRPr="00DF6609" w:rsidRDefault="00D41714" w:rsidP="00D41714">
      <w:pPr>
        <w:numPr>
          <w:ilvl w:val="12"/>
          <w:numId w:val="0"/>
        </w:numPr>
        <w:ind w:left="432" w:hanging="432"/>
        <w:jc w:val="both"/>
        <w:rPr>
          <w:rFonts w:cs="Arial"/>
          <w:sz w:val="20"/>
        </w:rPr>
      </w:pPr>
    </w:p>
    <w:p w14:paraId="6F18D9A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2762B07D"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019769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BE6534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E15598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4196E1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EA1F3A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60C1797" w14:textId="77777777" w:rsidR="00B8547B" w:rsidRPr="00DF6609" w:rsidRDefault="00B8547B" w:rsidP="00D41714">
      <w:pPr>
        <w:numPr>
          <w:ilvl w:val="12"/>
          <w:numId w:val="0"/>
        </w:numPr>
        <w:ind w:left="432" w:hanging="432"/>
        <w:jc w:val="both"/>
        <w:rPr>
          <w:rFonts w:cs="Arial"/>
          <w:sz w:val="20"/>
        </w:rPr>
      </w:pPr>
    </w:p>
    <w:p w14:paraId="78F1ED3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742676BA" w14:textId="77777777" w:rsidR="006D2EFC" w:rsidRPr="00F21983" w:rsidRDefault="006D2EFC" w:rsidP="00D41714">
      <w:pPr>
        <w:numPr>
          <w:ilvl w:val="12"/>
          <w:numId w:val="0"/>
        </w:numPr>
        <w:ind w:left="432" w:hanging="432"/>
        <w:jc w:val="both"/>
        <w:rPr>
          <w:rFonts w:cs="Arial"/>
          <w:sz w:val="20"/>
        </w:rPr>
      </w:pPr>
    </w:p>
    <w:p w14:paraId="02A5A14E"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17065684"/>
      <w:r w:rsidRPr="0075518C">
        <w:rPr>
          <w:sz w:val="22"/>
          <w:szCs w:val="22"/>
        </w:rPr>
        <w:t>Certification</w:t>
      </w:r>
      <w:r w:rsidR="00A92A65" w:rsidRPr="0075518C">
        <w:rPr>
          <w:sz w:val="22"/>
          <w:szCs w:val="22"/>
        </w:rPr>
        <w:t xml:space="preserve"> &amp; Reporting</w:t>
      </w:r>
      <w:bookmarkEnd w:id="44"/>
    </w:p>
    <w:p w14:paraId="2729D7D2" w14:textId="77777777" w:rsidR="006D2EFC" w:rsidRPr="00F21983" w:rsidRDefault="006D2EFC" w:rsidP="00D41714">
      <w:pPr>
        <w:numPr>
          <w:ilvl w:val="12"/>
          <w:numId w:val="0"/>
        </w:numPr>
        <w:ind w:left="432" w:hanging="432"/>
        <w:jc w:val="both"/>
        <w:rPr>
          <w:rFonts w:cs="Arial"/>
          <w:sz w:val="20"/>
        </w:rPr>
      </w:pPr>
    </w:p>
    <w:p w14:paraId="0B496CC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ADE1450" w14:textId="77777777" w:rsidR="00C36162" w:rsidRPr="00F21983" w:rsidRDefault="00C36162" w:rsidP="00D41714">
      <w:pPr>
        <w:numPr>
          <w:ilvl w:val="12"/>
          <w:numId w:val="0"/>
        </w:numPr>
        <w:ind w:left="432" w:hanging="432"/>
        <w:jc w:val="both"/>
        <w:rPr>
          <w:rFonts w:cs="Arial"/>
          <w:sz w:val="20"/>
        </w:rPr>
      </w:pPr>
    </w:p>
    <w:p w14:paraId="54BDFFA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80490AB" w14:textId="77777777" w:rsidR="00C36162" w:rsidRPr="00F21983" w:rsidRDefault="00C36162" w:rsidP="00C36162">
      <w:pPr>
        <w:numPr>
          <w:ilvl w:val="12"/>
          <w:numId w:val="0"/>
        </w:numPr>
        <w:ind w:left="432" w:hanging="432"/>
        <w:jc w:val="both"/>
        <w:rPr>
          <w:rFonts w:cs="Arial"/>
          <w:sz w:val="20"/>
        </w:rPr>
      </w:pPr>
    </w:p>
    <w:p w14:paraId="022EA70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2CB304E" w14:textId="77777777" w:rsidR="00C36162" w:rsidRPr="00F21983" w:rsidRDefault="00C36162" w:rsidP="00D41714">
      <w:pPr>
        <w:numPr>
          <w:ilvl w:val="12"/>
          <w:numId w:val="0"/>
        </w:numPr>
        <w:ind w:left="432" w:hanging="432"/>
        <w:jc w:val="both"/>
        <w:rPr>
          <w:rFonts w:cs="Arial"/>
          <w:sz w:val="20"/>
        </w:rPr>
      </w:pPr>
    </w:p>
    <w:p w14:paraId="5808FBF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BB775EB"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83398E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E7CC7C7"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4409079E"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297608A6"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0369063"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84DF5C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1DA24D7" w14:textId="77777777" w:rsidR="00C36162" w:rsidRPr="00F21983" w:rsidRDefault="00C36162" w:rsidP="00D41714">
      <w:pPr>
        <w:numPr>
          <w:ilvl w:val="12"/>
          <w:numId w:val="0"/>
        </w:numPr>
        <w:ind w:left="432" w:hanging="432"/>
        <w:jc w:val="both"/>
        <w:rPr>
          <w:rFonts w:cs="Arial"/>
          <w:sz w:val="20"/>
        </w:rPr>
      </w:pPr>
    </w:p>
    <w:p w14:paraId="48C40E4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4642F74" w14:textId="77777777" w:rsidR="00B4545F" w:rsidRPr="00F21983" w:rsidRDefault="00B4545F" w:rsidP="00BA5CC0">
      <w:pPr>
        <w:numPr>
          <w:ilvl w:val="12"/>
          <w:numId w:val="0"/>
        </w:numPr>
        <w:jc w:val="both"/>
        <w:rPr>
          <w:rFonts w:cs="Arial"/>
          <w:sz w:val="20"/>
        </w:rPr>
      </w:pPr>
    </w:p>
    <w:p w14:paraId="327D4C6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BEA0942" w14:textId="77777777" w:rsidR="00A92A65" w:rsidRPr="00F21983" w:rsidRDefault="00A92A65" w:rsidP="00BA5CC0">
      <w:pPr>
        <w:numPr>
          <w:ilvl w:val="12"/>
          <w:numId w:val="0"/>
        </w:numPr>
        <w:jc w:val="both"/>
        <w:rPr>
          <w:rFonts w:cs="Arial"/>
          <w:sz w:val="20"/>
        </w:rPr>
      </w:pPr>
    </w:p>
    <w:p w14:paraId="2C71CEA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2512379C" w14:textId="77777777" w:rsidR="001F3E8E" w:rsidRPr="00F21983" w:rsidRDefault="001F3E8E" w:rsidP="00D41714">
      <w:pPr>
        <w:numPr>
          <w:ilvl w:val="12"/>
          <w:numId w:val="0"/>
        </w:numPr>
        <w:ind w:left="432" w:hanging="432"/>
        <w:jc w:val="both"/>
        <w:rPr>
          <w:rFonts w:cs="Arial"/>
          <w:sz w:val="20"/>
        </w:rPr>
      </w:pPr>
    </w:p>
    <w:p w14:paraId="46EC2C12"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17065685"/>
      <w:r w:rsidRPr="0075518C">
        <w:rPr>
          <w:sz w:val="22"/>
          <w:szCs w:val="22"/>
        </w:rPr>
        <w:t>Permit Shield</w:t>
      </w:r>
      <w:bookmarkEnd w:id="45"/>
    </w:p>
    <w:p w14:paraId="6D63848E" w14:textId="77777777" w:rsidR="001F3E8E" w:rsidRPr="00DF6609" w:rsidRDefault="001F3E8E" w:rsidP="00D41714">
      <w:pPr>
        <w:numPr>
          <w:ilvl w:val="12"/>
          <w:numId w:val="0"/>
        </w:numPr>
        <w:ind w:left="432" w:hanging="432"/>
        <w:jc w:val="both"/>
        <w:rPr>
          <w:rFonts w:cs="Arial"/>
          <w:sz w:val="20"/>
        </w:rPr>
      </w:pPr>
    </w:p>
    <w:p w14:paraId="1DE1298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20225AF"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76C930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B512EF5" w14:textId="77777777" w:rsidR="0006736C" w:rsidRPr="00F21983" w:rsidRDefault="0006736C" w:rsidP="0006736C">
      <w:pPr>
        <w:numPr>
          <w:ilvl w:val="12"/>
          <w:numId w:val="0"/>
        </w:numPr>
        <w:ind w:left="432" w:hanging="432"/>
        <w:jc w:val="both"/>
        <w:rPr>
          <w:rFonts w:cs="Arial"/>
          <w:sz w:val="20"/>
        </w:rPr>
      </w:pPr>
    </w:p>
    <w:p w14:paraId="24836EC8"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13DB935" w14:textId="77777777" w:rsidR="0006736C" w:rsidRPr="00F21983" w:rsidRDefault="0006736C" w:rsidP="0006736C">
      <w:pPr>
        <w:numPr>
          <w:ilvl w:val="12"/>
          <w:numId w:val="0"/>
        </w:numPr>
        <w:ind w:left="432" w:hanging="432"/>
        <w:jc w:val="both"/>
        <w:rPr>
          <w:rFonts w:cs="Arial"/>
          <w:sz w:val="20"/>
        </w:rPr>
      </w:pPr>
    </w:p>
    <w:p w14:paraId="17F71C3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E0159E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4E274B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EA4781B"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6A085AB" w14:textId="77777777" w:rsidR="0006736C" w:rsidRPr="005E3E6D" w:rsidRDefault="00E735E6" w:rsidP="0012743F">
      <w:pPr>
        <w:jc w:val="both"/>
        <w:rPr>
          <w:rFonts w:cs="Arial"/>
          <w:sz w:val="20"/>
        </w:rPr>
      </w:pPr>
      <w:r>
        <w:rPr>
          <w:rFonts w:cs="Arial"/>
          <w:b/>
          <w:sz w:val="20"/>
        </w:rPr>
        <w:br w:type="page"/>
      </w:r>
    </w:p>
    <w:p w14:paraId="2734AD24"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AE30483" w14:textId="77777777" w:rsidR="0006736C" w:rsidRPr="00F21983" w:rsidRDefault="0006736C" w:rsidP="0006736C">
      <w:pPr>
        <w:numPr>
          <w:ilvl w:val="12"/>
          <w:numId w:val="0"/>
        </w:numPr>
        <w:ind w:left="432" w:hanging="432"/>
        <w:jc w:val="both"/>
        <w:rPr>
          <w:rFonts w:cs="Arial"/>
          <w:sz w:val="20"/>
        </w:rPr>
      </w:pPr>
    </w:p>
    <w:p w14:paraId="6230E58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8E2B1B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BC826AC"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8807DFC"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46DFCCD"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A87E63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A96B59A" w14:textId="77777777" w:rsidR="0006736C" w:rsidRPr="00F21983" w:rsidRDefault="0006736C" w:rsidP="0006736C">
      <w:pPr>
        <w:numPr>
          <w:ilvl w:val="12"/>
          <w:numId w:val="0"/>
        </w:numPr>
        <w:ind w:left="432" w:hanging="432"/>
        <w:jc w:val="both"/>
        <w:rPr>
          <w:rFonts w:cs="Arial"/>
          <w:sz w:val="20"/>
        </w:rPr>
      </w:pPr>
    </w:p>
    <w:p w14:paraId="22C19995"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82DAB4A" w14:textId="77777777" w:rsidR="0006736C" w:rsidRPr="00F21983" w:rsidRDefault="0006736C" w:rsidP="00D41714">
      <w:pPr>
        <w:numPr>
          <w:ilvl w:val="12"/>
          <w:numId w:val="0"/>
        </w:numPr>
        <w:ind w:left="432" w:hanging="432"/>
        <w:jc w:val="both"/>
        <w:rPr>
          <w:rFonts w:cs="Arial"/>
          <w:sz w:val="20"/>
        </w:rPr>
      </w:pPr>
    </w:p>
    <w:p w14:paraId="0B111EA3"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17065686"/>
      <w:r w:rsidRPr="0075518C">
        <w:rPr>
          <w:sz w:val="22"/>
          <w:szCs w:val="22"/>
        </w:rPr>
        <w:t>Revisions</w:t>
      </w:r>
      <w:bookmarkEnd w:id="46"/>
    </w:p>
    <w:p w14:paraId="2AD1044B" w14:textId="77777777" w:rsidR="005D48FB" w:rsidRPr="00F21983" w:rsidRDefault="005D48FB" w:rsidP="00D41714">
      <w:pPr>
        <w:numPr>
          <w:ilvl w:val="12"/>
          <w:numId w:val="0"/>
        </w:numPr>
        <w:ind w:left="432" w:hanging="432"/>
        <w:jc w:val="both"/>
        <w:rPr>
          <w:rFonts w:cs="Arial"/>
          <w:sz w:val="20"/>
        </w:rPr>
      </w:pPr>
    </w:p>
    <w:p w14:paraId="2F9E8A1D"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0253E58" w14:textId="77777777" w:rsidR="00A1146D" w:rsidRPr="00F21983" w:rsidRDefault="00A1146D" w:rsidP="00C44C61">
      <w:pPr>
        <w:jc w:val="both"/>
        <w:rPr>
          <w:rFonts w:cs="Arial"/>
          <w:spacing w:val="-3"/>
          <w:sz w:val="20"/>
        </w:rPr>
      </w:pPr>
    </w:p>
    <w:p w14:paraId="5FD59E91"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1311065" w14:textId="77777777" w:rsidR="00D41714" w:rsidRPr="00F21983" w:rsidRDefault="00D41714" w:rsidP="00C44C61">
      <w:pPr>
        <w:numPr>
          <w:ilvl w:val="12"/>
          <w:numId w:val="0"/>
        </w:numPr>
        <w:jc w:val="both"/>
        <w:rPr>
          <w:rFonts w:cs="Arial"/>
          <w:sz w:val="20"/>
        </w:rPr>
      </w:pPr>
    </w:p>
    <w:p w14:paraId="724EC5D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3097A96" w14:textId="77777777" w:rsidR="002806DC" w:rsidRPr="00FF072F" w:rsidRDefault="002806DC" w:rsidP="00C44C61">
      <w:pPr>
        <w:autoSpaceDE w:val="0"/>
        <w:autoSpaceDN w:val="0"/>
        <w:adjustRightInd w:val="0"/>
        <w:jc w:val="both"/>
        <w:rPr>
          <w:rFonts w:cs="Arial"/>
          <w:sz w:val="20"/>
        </w:rPr>
      </w:pPr>
    </w:p>
    <w:p w14:paraId="2DB0BB7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0147814" w14:textId="77777777" w:rsidR="002806DC" w:rsidRPr="00FF072F" w:rsidRDefault="002806DC" w:rsidP="00C44C61">
      <w:pPr>
        <w:jc w:val="both"/>
        <w:rPr>
          <w:rFonts w:cs="Arial"/>
          <w:sz w:val="20"/>
        </w:rPr>
      </w:pPr>
    </w:p>
    <w:p w14:paraId="5C4F8BC7"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17065687"/>
      <w:r w:rsidRPr="0075518C">
        <w:rPr>
          <w:sz w:val="22"/>
          <w:szCs w:val="22"/>
        </w:rPr>
        <w:t>Reopenings</w:t>
      </w:r>
      <w:bookmarkEnd w:id="47"/>
    </w:p>
    <w:p w14:paraId="72B23C83" w14:textId="77777777" w:rsidR="004649EF" w:rsidRPr="00752D7A" w:rsidRDefault="004649EF" w:rsidP="00DC22AE">
      <w:pPr>
        <w:jc w:val="both"/>
        <w:rPr>
          <w:rFonts w:cs="Arial"/>
          <w:szCs w:val="22"/>
        </w:rPr>
      </w:pPr>
    </w:p>
    <w:p w14:paraId="3AC86B05"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5BE7B5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78F120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6B434D7"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A5C1E2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AFEB123" w14:textId="77777777" w:rsidR="004649EF" w:rsidRPr="00F21983" w:rsidRDefault="00C17B92" w:rsidP="00DC22AE">
      <w:pPr>
        <w:jc w:val="both"/>
        <w:rPr>
          <w:rFonts w:cs="Arial"/>
          <w:sz w:val="20"/>
        </w:rPr>
      </w:pPr>
      <w:r>
        <w:rPr>
          <w:rFonts w:cs="Arial"/>
          <w:sz w:val="20"/>
        </w:rPr>
        <w:br w:type="page"/>
      </w:r>
    </w:p>
    <w:p w14:paraId="57DE713E"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17065688"/>
      <w:r w:rsidRPr="0075518C">
        <w:rPr>
          <w:sz w:val="22"/>
          <w:szCs w:val="22"/>
        </w:rPr>
        <w:lastRenderedPageBreak/>
        <w:t>Renewals</w:t>
      </w:r>
      <w:bookmarkEnd w:id="48"/>
    </w:p>
    <w:p w14:paraId="0BAB3616" w14:textId="77777777" w:rsidR="004649EF" w:rsidRPr="005E3E6D" w:rsidRDefault="004649EF" w:rsidP="00DC22AE">
      <w:pPr>
        <w:jc w:val="both"/>
        <w:rPr>
          <w:rFonts w:cs="Arial"/>
          <w:sz w:val="20"/>
        </w:rPr>
      </w:pPr>
    </w:p>
    <w:p w14:paraId="4246A64F"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B670702" w14:textId="77777777" w:rsidR="00D16CA9" w:rsidRPr="005E3E6D" w:rsidRDefault="00D16CA9" w:rsidP="00DC22AE">
      <w:pPr>
        <w:jc w:val="both"/>
        <w:rPr>
          <w:rFonts w:cs="Arial"/>
          <w:sz w:val="20"/>
        </w:rPr>
      </w:pPr>
    </w:p>
    <w:p w14:paraId="2A849731"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17065689"/>
      <w:r w:rsidRPr="0075518C">
        <w:rPr>
          <w:bCs/>
          <w:sz w:val="22"/>
        </w:rPr>
        <w:t>Stratospheric Ozone Protection</w:t>
      </w:r>
      <w:bookmarkEnd w:id="49"/>
      <w:bookmarkEnd w:id="50"/>
      <w:bookmarkEnd w:id="51"/>
    </w:p>
    <w:p w14:paraId="3BA906DF" w14:textId="77777777" w:rsidR="00CE1923" w:rsidRPr="00F21983" w:rsidRDefault="00CE1923" w:rsidP="004F09CF">
      <w:pPr>
        <w:jc w:val="both"/>
        <w:rPr>
          <w:sz w:val="20"/>
        </w:rPr>
      </w:pPr>
    </w:p>
    <w:p w14:paraId="5E796B3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312B40E" w14:textId="77777777" w:rsidR="00395F98" w:rsidRPr="00F21983" w:rsidRDefault="00395F98" w:rsidP="00395F98">
      <w:pPr>
        <w:rPr>
          <w:sz w:val="20"/>
        </w:rPr>
      </w:pPr>
    </w:p>
    <w:p w14:paraId="2F927B31"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18CD541" w14:textId="77777777" w:rsidR="00F557DA" w:rsidRPr="00F21983" w:rsidRDefault="00F557DA" w:rsidP="00DC22AE">
      <w:pPr>
        <w:jc w:val="both"/>
        <w:rPr>
          <w:rFonts w:cs="Arial"/>
          <w:sz w:val="20"/>
        </w:rPr>
      </w:pPr>
    </w:p>
    <w:p w14:paraId="32DDD8E9"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17065690"/>
      <w:r w:rsidRPr="0075518C">
        <w:rPr>
          <w:bCs/>
          <w:sz w:val="22"/>
        </w:rPr>
        <w:t>Risk Management Plan</w:t>
      </w:r>
      <w:bookmarkEnd w:id="52"/>
      <w:bookmarkEnd w:id="53"/>
      <w:bookmarkEnd w:id="54"/>
    </w:p>
    <w:p w14:paraId="03D72243" w14:textId="77777777" w:rsidR="0075518C" w:rsidRPr="0075518C" w:rsidRDefault="0075518C" w:rsidP="004F09CF">
      <w:pPr>
        <w:jc w:val="both"/>
      </w:pPr>
    </w:p>
    <w:p w14:paraId="6F4A1FF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9B9D081" w14:textId="77777777" w:rsidR="00D41714" w:rsidRPr="00F21983" w:rsidRDefault="00D41714" w:rsidP="00D41714">
      <w:pPr>
        <w:numPr>
          <w:ilvl w:val="12"/>
          <w:numId w:val="0"/>
        </w:numPr>
        <w:ind w:left="432" w:hanging="432"/>
        <w:jc w:val="both"/>
        <w:rPr>
          <w:rFonts w:cs="Arial"/>
          <w:sz w:val="20"/>
        </w:rPr>
      </w:pPr>
    </w:p>
    <w:p w14:paraId="3880A32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9FF00A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6C8F47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6564A7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774D3DD" w14:textId="77777777" w:rsidR="00D41714" w:rsidRPr="00F21983" w:rsidRDefault="00D41714" w:rsidP="00D41714">
      <w:pPr>
        <w:numPr>
          <w:ilvl w:val="12"/>
          <w:numId w:val="0"/>
        </w:numPr>
        <w:ind w:left="432" w:hanging="432"/>
        <w:jc w:val="both"/>
        <w:rPr>
          <w:rFonts w:cs="Arial"/>
          <w:sz w:val="20"/>
        </w:rPr>
      </w:pPr>
    </w:p>
    <w:p w14:paraId="77F08412"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107AEFB" w14:textId="77777777" w:rsidR="00D41714" w:rsidRPr="00F21983" w:rsidRDefault="00D41714" w:rsidP="00D41714">
      <w:pPr>
        <w:numPr>
          <w:ilvl w:val="12"/>
          <w:numId w:val="0"/>
        </w:numPr>
        <w:ind w:left="432" w:hanging="432"/>
        <w:jc w:val="both"/>
        <w:rPr>
          <w:rFonts w:cs="Arial"/>
          <w:sz w:val="20"/>
        </w:rPr>
      </w:pPr>
    </w:p>
    <w:p w14:paraId="7ED0CA8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AF71DE6" w14:textId="77777777" w:rsidR="00D41714" w:rsidRPr="007713F1" w:rsidRDefault="00D41714" w:rsidP="004F09CF">
      <w:pPr>
        <w:numPr>
          <w:ilvl w:val="12"/>
          <w:numId w:val="0"/>
        </w:numPr>
        <w:ind w:left="432" w:hanging="432"/>
        <w:jc w:val="both"/>
        <w:rPr>
          <w:rFonts w:cs="Arial"/>
          <w:sz w:val="20"/>
        </w:rPr>
      </w:pPr>
    </w:p>
    <w:p w14:paraId="6542CD81" w14:textId="77777777" w:rsidR="00F557DA" w:rsidRPr="00A02310" w:rsidRDefault="00F557DA" w:rsidP="0075518C">
      <w:pPr>
        <w:pStyle w:val="Heading2"/>
        <w:numPr>
          <w:ilvl w:val="0"/>
          <w:numId w:val="0"/>
        </w:numPr>
        <w:jc w:val="left"/>
        <w:rPr>
          <w:b w:val="0"/>
          <w:bCs/>
          <w:sz w:val="22"/>
        </w:rPr>
      </w:pPr>
      <w:bookmarkStart w:id="55" w:name="_Toc117065691"/>
      <w:r w:rsidRPr="0075518C">
        <w:rPr>
          <w:bCs/>
          <w:sz w:val="22"/>
        </w:rPr>
        <w:t>Emission Trading</w:t>
      </w:r>
      <w:bookmarkEnd w:id="55"/>
    </w:p>
    <w:p w14:paraId="4ED2BC9B" w14:textId="77777777" w:rsidR="00F557DA" w:rsidRPr="007713F1" w:rsidRDefault="00F557DA" w:rsidP="00D41714">
      <w:pPr>
        <w:numPr>
          <w:ilvl w:val="12"/>
          <w:numId w:val="0"/>
        </w:numPr>
        <w:ind w:left="432" w:hanging="432"/>
        <w:rPr>
          <w:rFonts w:cs="Arial"/>
          <w:sz w:val="20"/>
        </w:rPr>
      </w:pPr>
    </w:p>
    <w:p w14:paraId="059A71FC"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11384B3" w14:textId="77777777" w:rsidR="00393A6F" w:rsidRPr="00DF6609" w:rsidRDefault="00C17B92" w:rsidP="00393A6F">
      <w:pPr>
        <w:rPr>
          <w:sz w:val="20"/>
        </w:rPr>
      </w:pPr>
      <w:bookmarkStart w:id="56" w:name="_Toc1453511"/>
      <w:r>
        <w:rPr>
          <w:sz w:val="20"/>
        </w:rPr>
        <w:br w:type="page"/>
      </w:r>
    </w:p>
    <w:p w14:paraId="34D68AB0" w14:textId="77777777" w:rsidR="00A775C6" w:rsidRPr="00A02310" w:rsidRDefault="00A775C6" w:rsidP="0075518C">
      <w:pPr>
        <w:pStyle w:val="Heading2"/>
        <w:numPr>
          <w:ilvl w:val="0"/>
          <w:numId w:val="0"/>
        </w:numPr>
        <w:jc w:val="left"/>
        <w:rPr>
          <w:b w:val="0"/>
          <w:bCs/>
          <w:sz w:val="22"/>
        </w:rPr>
      </w:pPr>
      <w:bookmarkStart w:id="57" w:name="_Toc117065692"/>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25935C9A" w14:textId="77777777" w:rsidR="006F555B" w:rsidRPr="00DF6609" w:rsidRDefault="006F555B" w:rsidP="00D41714">
      <w:pPr>
        <w:rPr>
          <w:rFonts w:cs="Arial"/>
          <w:sz w:val="20"/>
        </w:rPr>
      </w:pPr>
    </w:p>
    <w:p w14:paraId="2154518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AC913EB" w14:textId="77777777" w:rsidR="00105176" w:rsidRPr="00F21983" w:rsidRDefault="00105176" w:rsidP="00105176">
      <w:pPr>
        <w:jc w:val="both"/>
        <w:rPr>
          <w:rFonts w:cs="Arial"/>
          <w:sz w:val="20"/>
        </w:rPr>
      </w:pPr>
    </w:p>
    <w:p w14:paraId="4F0DF0B7"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4D88E38" w14:textId="77777777" w:rsidR="00105176" w:rsidRDefault="00105176" w:rsidP="00105176">
      <w:pPr>
        <w:jc w:val="both"/>
        <w:rPr>
          <w:rFonts w:cs="Arial"/>
          <w:sz w:val="20"/>
        </w:rPr>
      </w:pPr>
    </w:p>
    <w:p w14:paraId="62D4F034"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E0FF061" w14:textId="77777777" w:rsidR="00775BB9" w:rsidRPr="00DF6609" w:rsidRDefault="00775BB9" w:rsidP="00D41714">
      <w:pPr>
        <w:rPr>
          <w:rFonts w:cs="Arial"/>
          <w:sz w:val="20"/>
        </w:rPr>
      </w:pPr>
    </w:p>
    <w:p w14:paraId="64858BE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254445A" w14:textId="77777777" w:rsidR="00A775C6" w:rsidRPr="007713F1" w:rsidRDefault="00A775C6" w:rsidP="00D41714">
      <w:pPr>
        <w:rPr>
          <w:rFonts w:cs="Arial"/>
          <w:sz w:val="20"/>
        </w:rPr>
      </w:pPr>
    </w:p>
    <w:p w14:paraId="25CF1613" w14:textId="77777777" w:rsidR="001F649E" w:rsidRPr="007713F1" w:rsidRDefault="001F649E" w:rsidP="00D41714">
      <w:pPr>
        <w:rPr>
          <w:rFonts w:cs="Arial"/>
          <w:sz w:val="20"/>
        </w:rPr>
      </w:pPr>
    </w:p>
    <w:p w14:paraId="148EA79A"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FC08A7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88D2164"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946E693" w14:textId="77777777" w:rsidR="000B3A18" w:rsidRPr="009B2FEE" w:rsidRDefault="000B3A18" w:rsidP="000B3A18">
      <w:pPr>
        <w:jc w:val="both"/>
        <w:rPr>
          <w:szCs w:val="22"/>
        </w:rPr>
      </w:pPr>
    </w:p>
    <w:p w14:paraId="425B331F" w14:textId="2EE94403" w:rsidR="00254B38" w:rsidRPr="0012743F" w:rsidRDefault="008055D8" w:rsidP="006D162A">
      <w:pPr>
        <w:jc w:val="both"/>
        <w:rPr>
          <w:rFonts w:cs="Arial"/>
          <w:b/>
          <w:sz w:val="20"/>
        </w:rPr>
      </w:pPr>
      <w:r>
        <w:rPr>
          <w:rFonts w:ascii="Arial Black" w:hAnsi="Arial Black"/>
          <w:b/>
          <w:szCs w:val="22"/>
        </w:rPr>
        <w:br w:type="page"/>
      </w:r>
    </w:p>
    <w:p w14:paraId="3A207114" w14:textId="697887C9" w:rsidR="00AA3FFA" w:rsidRPr="00AA3FFA" w:rsidRDefault="00CB1B00" w:rsidP="00AA3FFA">
      <w:pPr>
        <w:rPr>
          <w:sz w:val="20"/>
        </w:rPr>
      </w:pPr>
      <w:bookmarkStart w:id="58" w:name="_Toc852394"/>
      <w:bookmarkStart w:id="59" w:name="_Toc852725"/>
      <w:bookmarkStart w:id="60" w:name="_Toc1453512"/>
      <w:r>
        <w:rPr>
          <w:b/>
        </w:rPr>
        <w:lastRenderedPageBreak/>
        <w:t xml:space="preserve"> </w:t>
      </w:r>
    </w:p>
    <w:p w14:paraId="099EF1CC" w14:textId="77777777" w:rsidR="0098346A" w:rsidRPr="00752D7A" w:rsidRDefault="0098346A" w:rsidP="00AA3FFA">
      <w:pPr>
        <w:pStyle w:val="Heading1"/>
      </w:pPr>
      <w:bookmarkStart w:id="61" w:name="_Toc117065693"/>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31AED74F" w14:textId="77777777" w:rsidR="0098346A" w:rsidRPr="00F21983" w:rsidRDefault="0098346A" w:rsidP="0098346A">
      <w:pPr>
        <w:jc w:val="both"/>
        <w:rPr>
          <w:sz w:val="20"/>
        </w:rPr>
      </w:pPr>
    </w:p>
    <w:p w14:paraId="1B86AE0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8CEB1C3" w14:textId="77777777" w:rsidR="003C2679" w:rsidRPr="00F21983" w:rsidRDefault="003C2679" w:rsidP="0098346A">
      <w:pPr>
        <w:jc w:val="both"/>
        <w:rPr>
          <w:sz w:val="20"/>
        </w:rPr>
      </w:pPr>
    </w:p>
    <w:p w14:paraId="4C86454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61D9568" w14:textId="77777777" w:rsidR="00875F04" w:rsidRDefault="00875F04" w:rsidP="0098346A">
      <w:pPr>
        <w:jc w:val="both"/>
        <w:rPr>
          <w:sz w:val="20"/>
        </w:rPr>
      </w:pPr>
    </w:p>
    <w:p w14:paraId="2A1F4BDE" w14:textId="0597B9C5" w:rsidR="00D72D77" w:rsidRPr="00CC02A3" w:rsidRDefault="00CC394B" w:rsidP="00D72D77">
      <w:pPr>
        <w:pStyle w:val="Header"/>
        <w:tabs>
          <w:tab w:val="clear" w:pos="4320"/>
          <w:tab w:val="clear" w:pos="8640"/>
        </w:tabs>
        <w:rPr>
          <w:sz w:val="20"/>
        </w:rPr>
      </w:pPr>
      <w:r>
        <w:rPr>
          <w:sz w:val="20"/>
        </w:rPr>
        <w:t xml:space="preserve"> </w:t>
      </w:r>
    </w:p>
    <w:p w14:paraId="7D79C02A" w14:textId="3430EA0D" w:rsidR="00D72D77" w:rsidRDefault="00CC394B" w:rsidP="00D72D77">
      <w:pPr>
        <w:jc w:val="both"/>
        <w:rPr>
          <w:sz w:val="20"/>
        </w:rPr>
      </w:pPr>
      <w:r>
        <w:rPr>
          <w:b/>
          <w:sz w:val="28"/>
          <w:szCs w:val="28"/>
        </w:rPr>
        <w:t xml:space="preserve"> </w:t>
      </w:r>
    </w:p>
    <w:p w14:paraId="487C08A7" w14:textId="2C4F1187" w:rsidR="0098346A" w:rsidRPr="001E3851" w:rsidRDefault="00CC394B" w:rsidP="004F09CF">
      <w:pPr>
        <w:jc w:val="both"/>
        <w:rPr>
          <w:sz w:val="20"/>
        </w:rPr>
      </w:pPr>
      <w:r>
        <w:rPr>
          <w:b/>
        </w:rPr>
        <w:t xml:space="preserve"> </w:t>
      </w:r>
    </w:p>
    <w:p w14:paraId="5964D7A4" w14:textId="77777777" w:rsidR="0098346A" w:rsidRPr="0007030E" w:rsidRDefault="0098346A" w:rsidP="0098346A"/>
    <w:p w14:paraId="0CB19AC7" w14:textId="77777777" w:rsidR="0098346A" w:rsidRPr="007713F1" w:rsidRDefault="001C614B" w:rsidP="0007030E">
      <w:r>
        <w:br w:type="page"/>
      </w:r>
    </w:p>
    <w:p w14:paraId="148B82DC" w14:textId="77777777" w:rsidR="00E14632" w:rsidRDefault="00ED0AFD" w:rsidP="00CE44D8">
      <w:pPr>
        <w:pStyle w:val="Heading1"/>
      </w:pPr>
      <w:bookmarkStart w:id="62" w:name="_Toc117065694"/>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4727FF19" w14:textId="77777777" w:rsidR="00E14632" w:rsidRPr="00FE0AD0" w:rsidRDefault="00E14632" w:rsidP="00E14632">
      <w:pPr>
        <w:jc w:val="both"/>
        <w:rPr>
          <w:sz w:val="20"/>
        </w:rPr>
      </w:pPr>
    </w:p>
    <w:p w14:paraId="64723F5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DF5D876" w14:textId="77777777" w:rsidR="009602B7" w:rsidRPr="00FE0AD0" w:rsidRDefault="009602B7" w:rsidP="00E14632">
      <w:pPr>
        <w:jc w:val="both"/>
        <w:rPr>
          <w:sz w:val="20"/>
        </w:rPr>
      </w:pPr>
    </w:p>
    <w:p w14:paraId="2B7DDC2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C19E158" w14:textId="33EF7943" w:rsidR="00C77296" w:rsidRPr="00967CFC" w:rsidRDefault="00CC394B" w:rsidP="00E14632">
      <w:pPr>
        <w:jc w:val="both"/>
        <w:rPr>
          <w:color w:val="FF0000"/>
          <w:sz w:val="20"/>
        </w:rPr>
      </w:pPr>
      <w:r>
        <w:rPr>
          <w:b/>
          <w:color w:val="FF0000"/>
          <w:sz w:val="20"/>
        </w:rPr>
        <w:t xml:space="preserve"> </w:t>
      </w:r>
    </w:p>
    <w:p w14:paraId="67E6C42F"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17065695"/>
      <w:r w:rsidRPr="002B5ED5">
        <w:rPr>
          <w:sz w:val="22"/>
          <w:szCs w:val="22"/>
        </w:rPr>
        <w:t>EMISSION UNIT SUMMARY TABLE</w:t>
      </w:r>
      <w:bookmarkEnd w:id="67"/>
      <w:bookmarkEnd w:id="68"/>
      <w:bookmarkEnd w:id="69"/>
      <w:bookmarkEnd w:id="70"/>
    </w:p>
    <w:p w14:paraId="1B012966" w14:textId="77777777" w:rsidR="00E14632" w:rsidRDefault="00736BDB" w:rsidP="00736BDB">
      <w:pPr>
        <w:jc w:val="center"/>
      </w:pPr>
      <w:r w:rsidRPr="00F35ADC">
        <w:rPr>
          <w:sz w:val="20"/>
        </w:rPr>
        <w:t>The descriptions provided below are for informational purposes and do not constitute enforceable conditions.</w:t>
      </w:r>
    </w:p>
    <w:p w14:paraId="169DFE3B"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0E42786" w14:textId="77777777">
        <w:trPr>
          <w:cantSplit/>
          <w:tblHeader/>
        </w:trPr>
        <w:tc>
          <w:tcPr>
            <w:tcW w:w="2160" w:type="dxa"/>
            <w:tcBorders>
              <w:top w:val="double" w:sz="6" w:space="0" w:color="auto"/>
              <w:bottom w:val="double" w:sz="4" w:space="0" w:color="auto"/>
            </w:tcBorders>
            <w:shd w:val="pct10" w:color="auto" w:fill="auto"/>
          </w:tcPr>
          <w:p w14:paraId="462EDE8C"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F1C74C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1B8E0E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3C995D0E" w14:textId="77777777" w:rsidR="00E14632" w:rsidRPr="00BB5D62" w:rsidRDefault="00E14632" w:rsidP="00C6273C">
            <w:pPr>
              <w:jc w:val="center"/>
              <w:rPr>
                <w:rFonts w:cs="Arial"/>
                <w:b/>
                <w:sz w:val="20"/>
              </w:rPr>
            </w:pPr>
            <w:r w:rsidRPr="00BB5D62">
              <w:rPr>
                <w:rFonts w:cs="Arial"/>
                <w:b/>
                <w:sz w:val="20"/>
              </w:rPr>
              <w:t>Installation</w:t>
            </w:r>
          </w:p>
          <w:p w14:paraId="6293B913" w14:textId="77777777" w:rsidR="00E14632" w:rsidRDefault="00E14632" w:rsidP="00C6273C">
            <w:pPr>
              <w:jc w:val="center"/>
              <w:rPr>
                <w:rFonts w:cs="Arial"/>
                <w:b/>
                <w:sz w:val="20"/>
              </w:rPr>
            </w:pPr>
            <w:r w:rsidRPr="00BB5D62">
              <w:rPr>
                <w:rFonts w:cs="Arial"/>
                <w:b/>
                <w:sz w:val="20"/>
              </w:rPr>
              <w:t>Date</w:t>
            </w:r>
            <w:r>
              <w:rPr>
                <w:rFonts w:cs="Arial"/>
                <w:b/>
                <w:sz w:val="20"/>
              </w:rPr>
              <w:t>/</w:t>
            </w:r>
          </w:p>
          <w:p w14:paraId="583009AF"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5F05B1C" w14:textId="77777777" w:rsidR="00E14632" w:rsidRPr="00BB5D62" w:rsidRDefault="00752D7A" w:rsidP="00C6533E">
            <w:pPr>
              <w:jc w:val="center"/>
              <w:rPr>
                <w:rFonts w:cs="Arial"/>
                <w:b/>
                <w:sz w:val="20"/>
              </w:rPr>
            </w:pPr>
            <w:r>
              <w:rPr>
                <w:rFonts w:cs="Arial"/>
                <w:b/>
                <w:sz w:val="20"/>
              </w:rPr>
              <w:t xml:space="preserve">Flexible </w:t>
            </w:r>
            <w:r w:rsidR="00E14632">
              <w:rPr>
                <w:rFonts w:cs="Arial"/>
                <w:b/>
                <w:sz w:val="20"/>
              </w:rPr>
              <w:t>Group ID</w:t>
            </w:r>
          </w:p>
        </w:tc>
      </w:tr>
      <w:tr w:rsidR="003B2FD2" w14:paraId="7E1ED027" w14:textId="77777777">
        <w:trPr>
          <w:cantSplit/>
        </w:trPr>
        <w:tc>
          <w:tcPr>
            <w:tcW w:w="2160" w:type="dxa"/>
            <w:tcBorders>
              <w:top w:val="nil"/>
            </w:tcBorders>
          </w:tcPr>
          <w:p w14:paraId="3BCD1E2A" w14:textId="1E95040C" w:rsidR="003B2FD2" w:rsidRPr="001B440D" w:rsidRDefault="003B2FD2" w:rsidP="003B2FD2">
            <w:pPr>
              <w:rPr>
                <w:rFonts w:cs="Arial"/>
                <w:sz w:val="20"/>
              </w:rPr>
            </w:pPr>
            <w:r w:rsidRPr="001B440D">
              <w:rPr>
                <w:rFonts w:cs="Arial"/>
                <w:sz w:val="20"/>
              </w:rPr>
              <w:t>EU-WOODWORK-N</w:t>
            </w:r>
          </w:p>
        </w:tc>
        <w:tc>
          <w:tcPr>
            <w:tcW w:w="4320" w:type="dxa"/>
            <w:tcBorders>
              <w:top w:val="nil"/>
            </w:tcBorders>
          </w:tcPr>
          <w:p w14:paraId="470B0CF8" w14:textId="4A23F417" w:rsidR="003B2FD2" w:rsidRPr="00BB5D62" w:rsidRDefault="00647D79" w:rsidP="003B2FD2">
            <w:pPr>
              <w:jc w:val="both"/>
              <w:rPr>
                <w:rFonts w:cs="Arial"/>
                <w:sz w:val="20"/>
              </w:rPr>
            </w:pPr>
            <w:r>
              <w:rPr>
                <w:rFonts w:cs="Arial"/>
                <w:sz w:val="20"/>
              </w:rPr>
              <w:t xml:space="preserve">Emission unit consists of cutting, sawing, </w:t>
            </w:r>
            <w:r w:rsidR="0069517A">
              <w:rPr>
                <w:rFonts w:cs="Arial"/>
                <w:sz w:val="20"/>
              </w:rPr>
              <w:t>sanding,</w:t>
            </w:r>
            <w:r>
              <w:rPr>
                <w:rFonts w:cs="Arial"/>
                <w:sz w:val="20"/>
              </w:rPr>
              <w:t xml:space="preserve"> </w:t>
            </w:r>
            <w:r w:rsidR="004925A5">
              <w:rPr>
                <w:rFonts w:cs="Arial"/>
                <w:sz w:val="20"/>
              </w:rPr>
              <w:t>and</w:t>
            </w:r>
            <w:r>
              <w:rPr>
                <w:rFonts w:cs="Arial"/>
                <w:sz w:val="20"/>
              </w:rPr>
              <w:t xml:space="preserve"> milling machines.  The particulate emissions from the operations are controlled by two baghouses.  The filtered air is re-circulated into the plant.</w:t>
            </w:r>
          </w:p>
        </w:tc>
        <w:tc>
          <w:tcPr>
            <w:tcW w:w="1890" w:type="dxa"/>
            <w:tcBorders>
              <w:top w:val="nil"/>
            </w:tcBorders>
          </w:tcPr>
          <w:p w14:paraId="30171F34" w14:textId="543C8E2C" w:rsidR="00D50AD5" w:rsidRDefault="00D50AD5" w:rsidP="00D50AD5">
            <w:pPr>
              <w:jc w:val="center"/>
              <w:rPr>
                <w:rFonts w:cs="Arial"/>
                <w:sz w:val="20"/>
              </w:rPr>
            </w:pPr>
            <w:r>
              <w:rPr>
                <w:rFonts w:cs="Arial"/>
                <w:sz w:val="20"/>
              </w:rPr>
              <w:t>09</w:t>
            </w:r>
            <w:r w:rsidR="004925A5">
              <w:rPr>
                <w:rFonts w:cs="Arial"/>
                <w:sz w:val="20"/>
              </w:rPr>
              <w:t>-</w:t>
            </w:r>
            <w:r>
              <w:rPr>
                <w:rFonts w:cs="Arial"/>
                <w:sz w:val="20"/>
              </w:rPr>
              <w:t>05</w:t>
            </w:r>
            <w:r w:rsidR="004925A5">
              <w:rPr>
                <w:rFonts w:cs="Arial"/>
                <w:sz w:val="20"/>
              </w:rPr>
              <w:t>-</w:t>
            </w:r>
            <w:r>
              <w:rPr>
                <w:rFonts w:cs="Arial"/>
                <w:sz w:val="20"/>
              </w:rPr>
              <w:t>1978</w:t>
            </w:r>
          </w:p>
          <w:p w14:paraId="0214D9CC" w14:textId="2F3AF36C" w:rsidR="00D50AD5" w:rsidRDefault="00D50AD5" w:rsidP="00D50AD5">
            <w:pPr>
              <w:jc w:val="center"/>
              <w:rPr>
                <w:rFonts w:cs="Arial"/>
                <w:sz w:val="20"/>
              </w:rPr>
            </w:pPr>
            <w:r>
              <w:rPr>
                <w:rFonts w:cs="Arial"/>
                <w:sz w:val="20"/>
              </w:rPr>
              <w:t>05</w:t>
            </w:r>
            <w:r w:rsidR="004925A5">
              <w:rPr>
                <w:rFonts w:cs="Arial"/>
                <w:sz w:val="20"/>
              </w:rPr>
              <w:t>-</w:t>
            </w:r>
            <w:r>
              <w:rPr>
                <w:rFonts w:cs="Arial"/>
                <w:sz w:val="20"/>
              </w:rPr>
              <w:t>12</w:t>
            </w:r>
            <w:r w:rsidR="004925A5">
              <w:rPr>
                <w:rFonts w:cs="Arial"/>
                <w:sz w:val="20"/>
              </w:rPr>
              <w:t>-</w:t>
            </w:r>
            <w:r>
              <w:rPr>
                <w:rFonts w:cs="Arial"/>
                <w:sz w:val="20"/>
              </w:rPr>
              <w:t>1996</w:t>
            </w:r>
          </w:p>
          <w:p w14:paraId="0DFD6C86" w14:textId="28D99D7C" w:rsidR="003B2FD2" w:rsidRPr="00ED0849" w:rsidRDefault="00D50AD5" w:rsidP="00D50AD5">
            <w:pPr>
              <w:jc w:val="center"/>
              <w:rPr>
                <w:rFonts w:cs="Arial"/>
                <w:color w:val="FF0000"/>
                <w:sz w:val="20"/>
              </w:rPr>
            </w:pPr>
            <w:r>
              <w:rPr>
                <w:rFonts w:cs="Arial"/>
                <w:sz w:val="20"/>
              </w:rPr>
              <w:t>10</w:t>
            </w:r>
            <w:r w:rsidR="004925A5">
              <w:rPr>
                <w:rFonts w:cs="Arial"/>
                <w:sz w:val="20"/>
              </w:rPr>
              <w:t>-</w:t>
            </w:r>
            <w:r>
              <w:rPr>
                <w:rFonts w:cs="Arial"/>
                <w:sz w:val="20"/>
              </w:rPr>
              <w:t>21</w:t>
            </w:r>
            <w:r w:rsidR="004925A5">
              <w:rPr>
                <w:rFonts w:cs="Arial"/>
                <w:sz w:val="20"/>
              </w:rPr>
              <w:t>-</w:t>
            </w:r>
            <w:r>
              <w:rPr>
                <w:rFonts w:cs="Arial"/>
                <w:sz w:val="20"/>
              </w:rPr>
              <w:t>2011</w:t>
            </w:r>
            <w:r w:rsidR="00647D79">
              <w:rPr>
                <w:rFonts w:cs="Arial"/>
                <w:color w:val="FF0000"/>
                <w:sz w:val="20"/>
              </w:rPr>
              <w:t xml:space="preserve"> </w:t>
            </w:r>
          </w:p>
        </w:tc>
        <w:tc>
          <w:tcPr>
            <w:tcW w:w="2070" w:type="dxa"/>
            <w:tcBorders>
              <w:top w:val="nil"/>
            </w:tcBorders>
          </w:tcPr>
          <w:p w14:paraId="4E390FC5" w14:textId="3DA6236A" w:rsidR="003B2FD2" w:rsidRPr="00BB5D62" w:rsidRDefault="00EE3D2F" w:rsidP="00C6533E">
            <w:pPr>
              <w:jc w:val="center"/>
              <w:rPr>
                <w:rFonts w:cs="Arial"/>
                <w:sz w:val="20"/>
              </w:rPr>
            </w:pPr>
            <w:r>
              <w:rPr>
                <w:rFonts w:cs="Arial"/>
                <w:sz w:val="20"/>
              </w:rPr>
              <w:t>FG-WOODWORK</w:t>
            </w:r>
          </w:p>
        </w:tc>
      </w:tr>
      <w:tr w:rsidR="009B3534" w14:paraId="1F63B1FC" w14:textId="77777777">
        <w:trPr>
          <w:cantSplit/>
        </w:trPr>
        <w:tc>
          <w:tcPr>
            <w:tcW w:w="2160" w:type="dxa"/>
          </w:tcPr>
          <w:p w14:paraId="7F247554" w14:textId="0CAABC29" w:rsidR="009B3534" w:rsidRPr="001B440D" w:rsidRDefault="009B3534" w:rsidP="009B3534">
            <w:pPr>
              <w:rPr>
                <w:rFonts w:cs="Arial"/>
                <w:sz w:val="20"/>
              </w:rPr>
            </w:pPr>
            <w:r w:rsidRPr="001B440D">
              <w:rPr>
                <w:rFonts w:cs="Arial"/>
                <w:sz w:val="20"/>
              </w:rPr>
              <w:t>EU-WOODWORK-S</w:t>
            </w:r>
          </w:p>
        </w:tc>
        <w:tc>
          <w:tcPr>
            <w:tcW w:w="4320" w:type="dxa"/>
          </w:tcPr>
          <w:p w14:paraId="34B61FD0" w14:textId="0301B112" w:rsidR="009B3534" w:rsidRPr="00BB5D62" w:rsidRDefault="009B3534" w:rsidP="009B3534">
            <w:pPr>
              <w:jc w:val="both"/>
              <w:rPr>
                <w:rFonts w:cs="Arial"/>
                <w:sz w:val="20"/>
              </w:rPr>
            </w:pPr>
            <w:r>
              <w:rPr>
                <w:rFonts w:cs="Arial"/>
                <w:sz w:val="20"/>
              </w:rPr>
              <w:t xml:space="preserve">Emission unit consists of cutting, sawing, </w:t>
            </w:r>
            <w:r w:rsidR="0069517A">
              <w:rPr>
                <w:rFonts w:cs="Arial"/>
                <w:sz w:val="20"/>
              </w:rPr>
              <w:t>sanding,</w:t>
            </w:r>
            <w:r w:rsidR="004925A5">
              <w:rPr>
                <w:rFonts w:cs="Arial"/>
                <w:sz w:val="20"/>
              </w:rPr>
              <w:t xml:space="preserve"> and</w:t>
            </w:r>
            <w:r>
              <w:rPr>
                <w:rFonts w:cs="Arial"/>
                <w:sz w:val="20"/>
              </w:rPr>
              <w:t xml:space="preserve"> milling machines.  The particulate emissions from the operations are controlled by one baghouse</w:t>
            </w:r>
            <w:r w:rsidR="00356BA9">
              <w:rPr>
                <w:rFonts w:cs="Arial"/>
                <w:sz w:val="20"/>
              </w:rPr>
              <w:t xml:space="preserve">. </w:t>
            </w:r>
            <w:r>
              <w:rPr>
                <w:rFonts w:cs="Arial"/>
                <w:sz w:val="20"/>
              </w:rPr>
              <w:t>The filtered air is re-circulated into the plant.</w:t>
            </w:r>
          </w:p>
        </w:tc>
        <w:tc>
          <w:tcPr>
            <w:tcW w:w="1890" w:type="dxa"/>
          </w:tcPr>
          <w:p w14:paraId="24537F14" w14:textId="27C3FE80" w:rsidR="00356BA9" w:rsidRDefault="00356BA9" w:rsidP="00356BA9">
            <w:pPr>
              <w:jc w:val="center"/>
              <w:rPr>
                <w:rFonts w:cs="Arial"/>
                <w:sz w:val="20"/>
              </w:rPr>
            </w:pPr>
            <w:r>
              <w:rPr>
                <w:rFonts w:cs="Arial"/>
                <w:sz w:val="20"/>
              </w:rPr>
              <w:t>06</w:t>
            </w:r>
            <w:r w:rsidR="004925A5">
              <w:rPr>
                <w:rFonts w:cs="Arial"/>
                <w:sz w:val="20"/>
              </w:rPr>
              <w:t>-</w:t>
            </w:r>
            <w:r>
              <w:rPr>
                <w:rFonts w:cs="Arial"/>
                <w:sz w:val="20"/>
              </w:rPr>
              <w:t>15</w:t>
            </w:r>
            <w:r w:rsidR="004925A5">
              <w:rPr>
                <w:rFonts w:cs="Arial"/>
                <w:sz w:val="20"/>
              </w:rPr>
              <w:t>-</w:t>
            </w:r>
            <w:r>
              <w:rPr>
                <w:rFonts w:cs="Arial"/>
                <w:sz w:val="20"/>
              </w:rPr>
              <w:t>1996</w:t>
            </w:r>
          </w:p>
          <w:p w14:paraId="323EE5A1" w14:textId="7E049C83" w:rsidR="00356BA9" w:rsidRDefault="00356BA9" w:rsidP="00356BA9">
            <w:pPr>
              <w:jc w:val="center"/>
              <w:rPr>
                <w:rFonts w:cs="Arial"/>
                <w:sz w:val="20"/>
              </w:rPr>
            </w:pPr>
            <w:r>
              <w:rPr>
                <w:rFonts w:cs="Arial"/>
                <w:sz w:val="20"/>
              </w:rPr>
              <w:t>12</w:t>
            </w:r>
            <w:r w:rsidR="004925A5">
              <w:rPr>
                <w:rFonts w:cs="Arial"/>
                <w:sz w:val="20"/>
              </w:rPr>
              <w:t>-</w:t>
            </w:r>
            <w:r>
              <w:rPr>
                <w:rFonts w:cs="Arial"/>
                <w:sz w:val="20"/>
              </w:rPr>
              <w:t>04</w:t>
            </w:r>
            <w:r w:rsidR="004925A5">
              <w:rPr>
                <w:rFonts w:cs="Arial"/>
                <w:sz w:val="20"/>
              </w:rPr>
              <w:t>-</w:t>
            </w:r>
            <w:r>
              <w:rPr>
                <w:rFonts w:cs="Arial"/>
                <w:sz w:val="20"/>
              </w:rPr>
              <w:t>2003</w:t>
            </w:r>
          </w:p>
          <w:p w14:paraId="31FC1048" w14:textId="6FDAEAF8" w:rsidR="00356BA9" w:rsidRDefault="00356BA9" w:rsidP="00356BA9">
            <w:pPr>
              <w:jc w:val="center"/>
              <w:rPr>
                <w:rFonts w:cs="Arial"/>
                <w:sz w:val="20"/>
              </w:rPr>
            </w:pPr>
            <w:r>
              <w:rPr>
                <w:rFonts w:cs="Arial"/>
                <w:sz w:val="20"/>
              </w:rPr>
              <w:t>10</w:t>
            </w:r>
            <w:r w:rsidR="004925A5">
              <w:rPr>
                <w:rFonts w:cs="Arial"/>
                <w:sz w:val="20"/>
              </w:rPr>
              <w:t>-</w:t>
            </w:r>
            <w:r>
              <w:rPr>
                <w:rFonts w:cs="Arial"/>
                <w:sz w:val="20"/>
              </w:rPr>
              <w:t>21</w:t>
            </w:r>
            <w:r w:rsidR="004925A5">
              <w:rPr>
                <w:rFonts w:cs="Arial"/>
                <w:sz w:val="20"/>
              </w:rPr>
              <w:t>-</w:t>
            </w:r>
            <w:r>
              <w:rPr>
                <w:rFonts w:cs="Arial"/>
                <w:sz w:val="20"/>
              </w:rPr>
              <w:t>2011</w:t>
            </w:r>
          </w:p>
          <w:p w14:paraId="49EF319F" w14:textId="77777777" w:rsidR="009B3534" w:rsidRPr="00BB5D62" w:rsidRDefault="009B3534" w:rsidP="009B3534">
            <w:pPr>
              <w:jc w:val="center"/>
              <w:rPr>
                <w:rFonts w:cs="Arial"/>
                <w:sz w:val="20"/>
              </w:rPr>
            </w:pPr>
          </w:p>
        </w:tc>
        <w:tc>
          <w:tcPr>
            <w:tcW w:w="2070" w:type="dxa"/>
          </w:tcPr>
          <w:p w14:paraId="784F9067" w14:textId="4621D8E4" w:rsidR="009B3534" w:rsidRPr="00BB5D62" w:rsidRDefault="00B875C0" w:rsidP="00C6533E">
            <w:pPr>
              <w:jc w:val="center"/>
              <w:rPr>
                <w:rFonts w:cs="Arial"/>
                <w:sz w:val="20"/>
              </w:rPr>
            </w:pPr>
            <w:r>
              <w:rPr>
                <w:rFonts w:cs="Arial"/>
                <w:sz w:val="20"/>
              </w:rPr>
              <w:t>FG-WOODWORK</w:t>
            </w:r>
          </w:p>
        </w:tc>
      </w:tr>
      <w:tr w:rsidR="001F3D50" w14:paraId="586C6599" w14:textId="77777777">
        <w:trPr>
          <w:cantSplit/>
        </w:trPr>
        <w:tc>
          <w:tcPr>
            <w:tcW w:w="2160" w:type="dxa"/>
          </w:tcPr>
          <w:p w14:paraId="4EAFE00C" w14:textId="06DD56F7" w:rsidR="001F3D50" w:rsidRPr="001B440D" w:rsidRDefault="001F3D50" w:rsidP="001F3D50">
            <w:pPr>
              <w:rPr>
                <w:rFonts w:cs="Arial"/>
                <w:sz w:val="20"/>
              </w:rPr>
            </w:pPr>
            <w:r w:rsidRPr="001B440D">
              <w:rPr>
                <w:rFonts w:cs="Arial"/>
                <w:sz w:val="20"/>
              </w:rPr>
              <w:t>EU-AUTOLINE2</w:t>
            </w:r>
          </w:p>
        </w:tc>
        <w:tc>
          <w:tcPr>
            <w:tcW w:w="4320" w:type="dxa"/>
          </w:tcPr>
          <w:p w14:paraId="4C32FB7C" w14:textId="6CC8E669" w:rsidR="001F3D50" w:rsidRPr="00BB5D62" w:rsidRDefault="001F3D50" w:rsidP="001F3D50">
            <w:pPr>
              <w:jc w:val="both"/>
              <w:rPr>
                <w:rFonts w:cs="Arial"/>
                <w:sz w:val="20"/>
              </w:rPr>
            </w:pPr>
            <w:r w:rsidRPr="00530748">
              <w:rPr>
                <w:rFonts w:cs="Arial"/>
                <w:sz w:val="20"/>
              </w:rPr>
              <w:t xml:space="preserve">A dry filter coating booth with robotic spray applicators to apply clearcoats, pigmented topcoats, and sealers/primers onto wood furniture and wood furniture components (kitchen cabinets and parts). </w:t>
            </w:r>
            <w:r>
              <w:rPr>
                <w:rFonts w:cs="Arial"/>
                <w:sz w:val="20"/>
              </w:rPr>
              <w:t xml:space="preserve"> </w:t>
            </w:r>
            <w:r w:rsidRPr="00530748">
              <w:rPr>
                <w:rFonts w:cs="Arial"/>
                <w:sz w:val="20"/>
              </w:rPr>
              <w:t>The booth is followed by a conveyorized natural gas-fired oven to dry the coated parts.</w:t>
            </w:r>
          </w:p>
        </w:tc>
        <w:tc>
          <w:tcPr>
            <w:tcW w:w="1890" w:type="dxa"/>
          </w:tcPr>
          <w:p w14:paraId="53DB4AB5" w14:textId="415D8FFD" w:rsidR="001F3D50" w:rsidRPr="00604FF3" w:rsidRDefault="001F3D50" w:rsidP="001F3D50">
            <w:pPr>
              <w:jc w:val="center"/>
              <w:rPr>
                <w:rFonts w:cs="Arial"/>
                <w:sz w:val="20"/>
              </w:rPr>
            </w:pPr>
            <w:r w:rsidRPr="00604FF3">
              <w:rPr>
                <w:rFonts w:cs="Arial"/>
                <w:sz w:val="20"/>
              </w:rPr>
              <w:t>0</w:t>
            </w:r>
            <w:r>
              <w:rPr>
                <w:rFonts w:cs="Arial"/>
                <w:sz w:val="20"/>
              </w:rPr>
              <w:t>3</w:t>
            </w:r>
            <w:r w:rsidRPr="00604FF3">
              <w:rPr>
                <w:rFonts w:cs="Arial"/>
                <w:sz w:val="20"/>
              </w:rPr>
              <w:t>-06-2015</w:t>
            </w:r>
          </w:p>
          <w:p w14:paraId="5AE696B1" w14:textId="1ECDEE67" w:rsidR="001F3D50" w:rsidRPr="00BB5D62" w:rsidRDefault="001F3D50" w:rsidP="001F3D50">
            <w:pPr>
              <w:jc w:val="center"/>
              <w:rPr>
                <w:rFonts w:cs="Arial"/>
                <w:sz w:val="20"/>
              </w:rPr>
            </w:pPr>
            <w:r w:rsidRPr="00604FF3">
              <w:rPr>
                <w:rFonts w:cs="Arial"/>
                <w:sz w:val="20"/>
              </w:rPr>
              <w:t>07-17-</w:t>
            </w:r>
            <w:r>
              <w:rPr>
                <w:rFonts w:cs="Arial"/>
                <w:sz w:val="20"/>
              </w:rPr>
              <w:t>20</w:t>
            </w:r>
            <w:r w:rsidRPr="00604FF3">
              <w:rPr>
                <w:rFonts w:cs="Arial"/>
                <w:sz w:val="20"/>
              </w:rPr>
              <w:t>15</w:t>
            </w:r>
          </w:p>
        </w:tc>
        <w:tc>
          <w:tcPr>
            <w:tcW w:w="2070" w:type="dxa"/>
          </w:tcPr>
          <w:p w14:paraId="5B2FEB8D" w14:textId="05337932" w:rsidR="001F3D50" w:rsidRPr="00BB5D62" w:rsidRDefault="002D588D" w:rsidP="00C6533E">
            <w:pPr>
              <w:jc w:val="center"/>
              <w:rPr>
                <w:rFonts w:cs="Arial"/>
                <w:sz w:val="20"/>
              </w:rPr>
            </w:pPr>
            <w:r w:rsidRPr="00530748">
              <w:rPr>
                <w:rFonts w:cs="Arial"/>
                <w:sz w:val="20"/>
              </w:rPr>
              <w:t>FG-MACT</w:t>
            </w:r>
          </w:p>
        </w:tc>
      </w:tr>
      <w:tr w:rsidR="006B4151" w14:paraId="20335569" w14:textId="77777777">
        <w:trPr>
          <w:cantSplit/>
        </w:trPr>
        <w:tc>
          <w:tcPr>
            <w:tcW w:w="2160" w:type="dxa"/>
          </w:tcPr>
          <w:p w14:paraId="51829591" w14:textId="7F687443" w:rsidR="006B4151" w:rsidRPr="001B440D" w:rsidRDefault="006B4151" w:rsidP="006B4151">
            <w:pPr>
              <w:rPr>
                <w:rFonts w:cs="Arial"/>
                <w:sz w:val="20"/>
              </w:rPr>
            </w:pPr>
            <w:r w:rsidRPr="001B440D">
              <w:rPr>
                <w:rFonts w:cs="Arial"/>
                <w:sz w:val="20"/>
              </w:rPr>
              <w:t>EU-BOOTH1</w:t>
            </w:r>
          </w:p>
        </w:tc>
        <w:tc>
          <w:tcPr>
            <w:tcW w:w="4320" w:type="dxa"/>
          </w:tcPr>
          <w:p w14:paraId="7090C8DD" w14:textId="77777777" w:rsidR="006B4151" w:rsidRPr="00530748" w:rsidRDefault="006B4151" w:rsidP="006B4151">
            <w:pPr>
              <w:jc w:val="both"/>
              <w:rPr>
                <w:rFonts w:cs="Arial"/>
                <w:sz w:val="20"/>
              </w:rPr>
            </w:pPr>
            <w:r w:rsidRPr="00530748">
              <w:rPr>
                <w:rFonts w:cs="Arial"/>
                <w:sz w:val="20"/>
              </w:rPr>
              <w:t>A dry filter spray coating booth used to apply stains, varnishes, lacquers, and paints on wood furniture and wood furniture components (kitchen cabinets and parts).  Manual spray applicators will be used in the booth.</w:t>
            </w:r>
          </w:p>
          <w:p w14:paraId="7D76B1CE" w14:textId="77777777" w:rsidR="006B4151" w:rsidRPr="00530748" w:rsidRDefault="006B4151" w:rsidP="006B4151">
            <w:pPr>
              <w:jc w:val="both"/>
              <w:rPr>
                <w:rFonts w:cs="Arial"/>
                <w:sz w:val="20"/>
              </w:rPr>
            </w:pPr>
          </w:p>
          <w:p w14:paraId="19B0C69A" w14:textId="4159E7D9" w:rsidR="006B4151" w:rsidRPr="00BB5D62" w:rsidRDefault="006B4151" w:rsidP="006B4151">
            <w:pPr>
              <w:jc w:val="both"/>
              <w:rPr>
                <w:rFonts w:cs="Arial"/>
                <w:sz w:val="20"/>
              </w:rPr>
            </w:pPr>
            <w:r w:rsidRPr="00530748">
              <w:rPr>
                <w:rFonts w:cs="Arial"/>
                <w:sz w:val="20"/>
                <w:u w:val="single"/>
              </w:rPr>
              <w:t>Note</w:t>
            </w:r>
            <w:r w:rsidRPr="00530748">
              <w:rPr>
                <w:rFonts w:cs="Arial"/>
                <w:sz w:val="20"/>
              </w:rPr>
              <w:t xml:space="preserve">: </w:t>
            </w:r>
            <w:r w:rsidR="002100E0">
              <w:rPr>
                <w:rFonts w:cs="Arial"/>
                <w:sz w:val="20"/>
              </w:rPr>
              <w:t xml:space="preserve"> </w:t>
            </w:r>
            <w:r w:rsidRPr="00530748">
              <w:rPr>
                <w:rFonts w:cs="Arial"/>
                <w:sz w:val="20"/>
              </w:rPr>
              <w:t>Common areas located between/around EU-BOOTH1 and EU-BOOTH2 are also used for manual application of coatings.</w:t>
            </w:r>
          </w:p>
        </w:tc>
        <w:tc>
          <w:tcPr>
            <w:tcW w:w="1890" w:type="dxa"/>
          </w:tcPr>
          <w:p w14:paraId="1C14AEFA" w14:textId="1A5B6385" w:rsidR="0071683F" w:rsidRPr="00530748" w:rsidRDefault="0071683F" w:rsidP="0071683F">
            <w:pPr>
              <w:jc w:val="center"/>
              <w:rPr>
                <w:rFonts w:cs="Arial"/>
                <w:sz w:val="20"/>
              </w:rPr>
            </w:pPr>
            <w:r w:rsidRPr="00530748">
              <w:rPr>
                <w:rFonts w:cs="Arial"/>
                <w:sz w:val="20"/>
              </w:rPr>
              <w:t>09-16-1998</w:t>
            </w:r>
          </w:p>
          <w:p w14:paraId="608972E0" w14:textId="77777777" w:rsidR="0071683F" w:rsidRPr="00530748" w:rsidRDefault="0071683F" w:rsidP="0071683F">
            <w:pPr>
              <w:jc w:val="center"/>
              <w:rPr>
                <w:rFonts w:cs="Arial"/>
                <w:sz w:val="20"/>
              </w:rPr>
            </w:pPr>
            <w:r w:rsidRPr="00530748">
              <w:rPr>
                <w:rFonts w:cs="Arial"/>
                <w:sz w:val="20"/>
              </w:rPr>
              <w:t>10-21-2011</w:t>
            </w:r>
          </w:p>
          <w:p w14:paraId="2DBFBD24" w14:textId="77777777" w:rsidR="006B4151" w:rsidRPr="00BB5D62" w:rsidRDefault="006B4151" w:rsidP="006B4151">
            <w:pPr>
              <w:jc w:val="center"/>
              <w:rPr>
                <w:rFonts w:cs="Arial"/>
                <w:sz w:val="20"/>
              </w:rPr>
            </w:pPr>
          </w:p>
        </w:tc>
        <w:tc>
          <w:tcPr>
            <w:tcW w:w="2070" w:type="dxa"/>
          </w:tcPr>
          <w:p w14:paraId="2587DDA5" w14:textId="4BDEF7CD" w:rsidR="0075632C" w:rsidRPr="00530748" w:rsidRDefault="0075632C" w:rsidP="00B91B04">
            <w:pPr>
              <w:jc w:val="center"/>
              <w:rPr>
                <w:rFonts w:cs="Arial"/>
                <w:sz w:val="20"/>
              </w:rPr>
            </w:pPr>
            <w:r w:rsidRPr="00530748">
              <w:rPr>
                <w:rFonts w:cs="Arial"/>
                <w:sz w:val="20"/>
              </w:rPr>
              <w:t>FG-FINISH</w:t>
            </w:r>
          </w:p>
          <w:p w14:paraId="2FC7D496" w14:textId="684ED031" w:rsidR="006B4151" w:rsidRPr="00BB5D62" w:rsidRDefault="0075632C" w:rsidP="00B91B04">
            <w:pPr>
              <w:jc w:val="center"/>
              <w:rPr>
                <w:rFonts w:cs="Arial"/>
                <w:sz w:val="20"/>
              </w:rPr>
            </w:pPr>
            <w:r w:rsidRPr="00530748">
              <w:rPr>
                <w:rFonts w:cs="Arial"/>
                <w:sz w:val="20"/>
              </w:rPr>
              <w:t>FG-MACT</w:t>
            </w:r>
          </w:p>
        </w:tc>
      </w:tr>
      <w:tr w:rsidR="006B142C" w14:paraId="5581CA20" w14:textId="77777777">
        <w:trPr>
          <w:cantSplit/>
        </w:trPr>
        <w:tc>
          <w:tcPr>
            <w:tcW w:w="2160" w:type="dxa"/>
          </w:tcPr>
          <w:p w14:paraId="6C606B98" w14:textId="22E32A83" w:rsidR="006B142C" w:rsidRPr="001B440D" w:rsidRDefault="006B142C" w:rsidP="006B142C">
            <w:pPr>
              <w:rPr>
                <w:rFonts w:cs="Arial"/>
                <w:sz w:val="20"/>
              </w:rPr>
            </w:pPr>
            <w:r w:rsidRPr="001B440D">
              <w:rPr>
                <w:rFonts w:cs="Arial"/>
                <w:sz w:val="20"/>
              </w:rPr>
              <w:t>EU-BOOTH2</w:t>
            </w:r>
          </w:p>
        </w:tc>
        <w:tc>
          <w:tcPr>
            <w:tcW w:w="4320" w:type="dxa"/>
          </w:tcPr>
          <w:p w14:paraId="7BF46008" w14:textId="77777777" w:rsidR="00FA45A1" w:rsidRPr="00530748" w:rsidRDefault="00FA45A1" w:rsidP="00FA45A1">
            <w:pPr>
              <w:jc w:val="both"/>
              <w:rPr>
                <w:rFonts w:cs="Arial"/>
                <w:sz w:val="20"/>
              </w:rPr>
            </w:pPr>
            <w:r w:rsidRPr="00530748">
              <w:rPr>
                <w:rFonts w:cs="Arial"/>
                <w:sz w:val="20"/>
              </w:rPr>
              <w:t>A dry filter spray coating booth used to apply stains, varnishes, lacquers, and paints on wood furniture and wood furniture components (kitchen cabinets and parts).  Manual spray applicators will be used in the booth.</w:t>
            </w:r>
          </w:p>
          <w:p w14:paraId="69151594" w14:textId="77777777" w:rsidR="00FA45A1" w:rsidRPr="00530748" w:rsidRDefault="00FA45A1" w:rsidP="00FA45A1">
            <w:pPr>
              <w:jc w:val="both"/>
              <w:rPr>
                <w:rFonts w:cs="Arial"/>
                <w:sz w:val="20"/>
              </w:rPr>
            </w:pPr>
          </w:p>
          <w:p w14:paraId="4A0C86E0" w14:textId="3D07FC05" w:rsidR="006B142C" w:rsidRPr="00BB5D62" w:rsidRDefault="00FA45A1" w:rsidP="00FA45A1">
            <w:pPr>
              <w:jc w:val="both"/>
              <w:rPr>
                <w:rFonts w:cs="Arial"/>
                <w:sz w:val="20"/>
              </w:rPr>
            </w:pPr>
            <w:r w:rsidRPr="00530748">
              <w:rPr>
                <w:rFonts w:cs="Arial"/>
                <w:sz w:val="20"/>
                <w:u w:val="single"/>
              </w:rPr>
              <w:t>Note</w:t>
            </w:r>
            <w:r w:rsidRPr="00530748">
              <w:rPr>
                <w:rFonts w:cs="Arial"/>
                <w:sz w:val="20"/>
              </w:rPr>
              <w:t>:  Common areas located between/around EU-BOOTH1 and EU-BOOTH2 are also used for manual application of coatings.</w:t>
            </w:r>
          </w:p>
        </w:tc>
        <w:tc>
          <w:tcPr>
            <w:tcW w:w="1890" w:type="dxa"/>
          </w:tcPr>
          <w:p w14:paraId="147D9F80" w14:textId="74F7DF86" w:rsidR="00B91B04" w:rsidRPr="00530748" w:rsidRDefault="00B91B04" w:rsidP="00B91B04">
            <w:pPr>
              <w:jc w:val="center"/>
              <w:rPr>
                <w:rFonts w:cs="Arial"/>
                <w:sz w:val="20"/>
              </w:rPr>
            </w:pPr>
            <w:r w:rsidRPr="00530748">
              <w:rPr>
                <w:rFonts w:cs="Arial"/>
                <w:sz w:val="20"/>
              </w:rPr>
              <w:t>03-26-2002</w:t>
            </w:r>
          </w:p>
          <w:p w14:paraId="325CA4FA" w14:textId="77777777" w:rsidR="00B91B04" w:rsidRPr="00530748" w:rsidRDefault="00B91B04" w:rsidP="00B91B04">
            <w:pPr>
              <w:jc w:val="center"/>
              <w:rPr>
                <w:rFonts w:cs="Arial"/>
                <w:sz w:val="20"/>
              </w:rPr>
            </w:pPr>
            <w:r w:rsidRPr="00530748">
              <w:rPr>
                <w:rFonts w:cs="Arial"/>
                <w:sz w:val="20"/>
              </w:rPr>
              <w:t>10-21-2011</w:t>
            </w:r>
          </w:p>
          <w:p w14:paraId="5D9F2580" w14:textId="77777777" w:rsidR="006B142C" w:rsidRPr="00BB5D62" w:rsidRDefault="006B142C" w:rsidP="006B142C">
            <w:pPr>
              <w:jc w:val="center"/>
              <w:rPr>
                <w:rFonts w:cs="Arial"/>
                <w:sz w:val="20"/>
              </w:rPr>
            </w:pPr>
          </w:p>
        </w:tc>
        <w:tc>
          <w:tcPr>
            <w:tcW w:w="2070" w:type="dxa"/>
          </w:tcPr>
          <w:p w14:paraId="2B4E9F50" w14:textId="43D563B7" w:rsidR="006B142C" w:rsidRPr="00530748" w:rsidRDefault="006B142C" w:rsidP="00B91B04">
            <w:pPr>
              <w:jc w:val="center"/>
              <w:rPr>
                <w:rFonts w:cs="Arial"/>
                <w:sz w:val="20"/>
              </w:rPr>
            </w:pPr>
            <w:r w:rsidRPr="00530748">
              <w:rPr>
                <w:rFonts w:cs="Arial"/>
                <w:sz w:val="20"/>
              </w:rPr>
              <w:t>FG-FINISH</w:t>
            </w:r>
          </w:p>
          <w:p w14:paraId="3D6E8F71" w14:textId="02429483" w:rsidR="006B142C" w:rsidRPr="00BB5D62" w:rsidRDefault="006B142C" w:rsidP="00B91B04">
            <w:pPr>
              <w:jc w:val="center"/>
              <w:rPr>
                <w:rFonts w:cs="Arial"/>
                <w:sz w:val="20"/>
              </w:rPr>
            </w:pPr>
            <w:r w:rsidRPr="00530748">
              <w:rPr>
                <w:rFonts w:cs="Arial"/>
                <w:sz w:val="20"/>
              </w:rPr>
              <w:t>FG-MACT</w:t>
            </w:r>
          </w:p>
        </w:tc>
      </w:tr>
      <w:tr w:rsidR="00B83FFC" w14:paraId="0F966933" w14:textId="77777777">
        <w:trPr>
          <w:cantSplit/>
        </w:trPr>
        <w:tc>
          <w:tcPr>
            <w:tcW w:w="2160" w:type="dxa"/>
          </w:tcPr>
          <w:p w14:paraId="6F3412ED" w14:textId="1CC924AA" w:rsidR="00B83FFC" w:rsidRPr="001B440D" w:rsidRDefault="00B83FFC" w:rsidP="00B83FFC">
            <w:pPr>
              <w:rPr>
                <w:rFonts w:cs="Arial"/>
                <w:sz w:val="20"/>
              </w:rPr>
            </w:pPr>
            <w:r w:rsidRPr="001B440D">
              <w:rPr>
                <w:rFonts w:cs="Arial"/>
                <w:sz w:val="20"/>
              </w:rPr>
              <w:lastRenderedPageBreak/>
              <w:t>EU-BOOTH3</w:t>
            </w:r>
          </w:p>
        </w:tc>
        <w:tc>
          <w:tcPr>
            <w:tcW w:w="4320" w:type="dxa"/>
          </w:tcPr>
          <w:p w14:paraId="3BC6FE1E" w14:textId="1797BD21" w:rsidR="00B83FFC" w:rsidRPr="00BB5D62" w:rsidRDefault="00B83FFC" w:rsidP="00B83FFC">
            <w:pPr>
              <w:jc w:val="both"/>
              <w:rPr>
                <w:rFonts w:cs="Arial"/>
                <w:sz w:val="20"/>
              </w:rPr>
            </w:pPr>
            <w:r w:rsidRPr="00530748">
              <w:rPr>
                <w:rFonts w:cs="Arial"/>
                <w:sz w:val="20"/>
              </w:rPr>
              <w:t>A dry filter spray coating booth used to apply stains, varnishes, lacquers, and paints on wood furniture and wood furniture components (kitchen cabinets and parts).  Manual spray applicators will be used in the booth.</w:t>
            </w:r>
          </w:p>
        </w:tc>
        <w:tc>
          <w:tcPr>
            <w:tcW w:w="1890" w:type="dxa"/>
          </w:tcPr>
          <w:p w14:paraId="029E8226" w14:textId="16C526EB" w:rsidR="00B00F75" w:rsidRPr="00530748" w:rsidRDefault="00B00F75" w:rsidP="00B00F75">
            <w:pPr>
              <w:jc w:val="center"/>
              <w:rPr>
                <w:rFonts w:cs="Arial"/>
                <w:sz w:val="20"/>
              </w:rPr>
            </w:pPr>
            <w:r w:rsidRPr="00530748">
              <w:rPr>
                <w:rFonts w:cs="Arial"/>
                <w:sz w:val="20"/>
              </w:rPr>
              <w:t>06-15-2001</w:t>
            </w:r>
          </w:p>
          <w:p w14:paraId="15F39219" w14:textId="77777777" w:rsidR="00B00F75" w:rsidRPr="00530748" w:rsidRDefault="00B00F75" w:rsidP="00B00F75">
            <w:pPr>
              <w:jc w:val="center"/>
              <w:rPr>
                <w:rFonts w:cs="Arial"/>
                <w:sz w:val="20"/>
              </w:rPr>
            </w:pPr>
            <w:r w:rsidRPr="00530748">
              <w:rPr>
                <w:rFonts w:cs="Arial"/>
                <w:sz w:val="20"/>
              </w:rPr>
              <w:t>10-21-2011</w:t>
            </w:r>
          </w:p>
          <w:p w14:paraId="5C0F8DA7" w14:textId="77777777" w:rsidR="00B83FFC" w:rsidRPr="00BB5D62" w:rsidRDefault="00B83FFC" w:rsidP="00B83FFC">
            <w:pPr>
              <w:jc w:val="center"/>
              <w:rPr>
                <w:rFonts w:cs="Arial"/>
                <w:sz w:val="20"/>
              </w:rPr>
            </w:pPr>
          </w:p>
        </w:tc>
        <w:tc>
          <w:tcPr>
            <w:tcW w:w="2070" w:type="dxa"/>
          </w:tcPr>
          <w:p w14:paraId="001A7D47" w14:textId="6C5F4110" w:rsidR="00B83FFC" w:rsidRPr="00530748" w:rsidRDefault="00B83FFC" w:rsidP="00B91B04">
            <w:pPr>
              <w:jc w:val="center"/>
              <w:rPr>
                <w:rFonts w:cs="Arial"/>
                <w:sz w:val="20"/>
              </w:rPr>
            </w:pPr>
            <w:r w:rsidRPr="00530748">
              <w:rPr>
                <w:rFonts w:cs="Arial"/>
                <w:sz w:val="20"/>
              </w:rPr>
              <w:t>FG-FINISH</w:t>
            </w:r>
          </w:p>
          <w:p w14:paraId="5BBA27D1" w14:textId="1344C4EB" w:rsidR="00B83FFC" w:rsidRPr="00BB5D62" w:rsidRDefault="00B83FFC" w:rsidP="00B91B04">
            <w:pPr>
              <w:jc w:val="center"/>
              <w:rPr>
                <w:rFonts w:cs="Arial"/>
                <w:sz w:val="20"/>
              </w:rPr>
            </w:pPr>
            <w:r w:rsidRPr="00530748">
              <w:rPr>
                <w:rFonts w:cs="Arial"/>
                <w:sz w:val="20"/>
              </w:rPr>
              <w:t>FG-MACT</w:t>
            </w:r>
          </w:p>
        </w:tc>
      </w:tr>
      <w:tr w:rsidR="00612CCE" w14:paraId="02BE8385" w14:textId="77777777">
        <w:trPr>
          <w:cantSplit/>
        </w:trPr>
        <w:tc>
          <w:tcPr>
            <w:tcW w:w="2160" w:type="dxa"/>
          </w:tcPr>
          <w:p w14:paraId="184E8F10" w14:textId="35C88D2C" w:rsidR="00612CCE" w:rsidRPr="001B440D" w:rsidRDefault="00612CCE" w:rsidP="00612CCE">
            <w:pPr>
              <w:rPr>
                <w:rFonts w:cs="Arial"/>
                <w:sz w:val="20"/>
              </w:rPr>
            </w:pPr>
            <w:r w:rsidRPr="001B440D">
              <w:rPr>
                <w:rFonts w:cs="Arial"/>
                <w:sz w:val="20"/>
              </w:rPr>
              <w:t>EU-CLEANUP</w:t>
            </w:r>
          </w:p>
        </w:tc>
        <w:tc>
          <w:tcPr>
            <w:tcW w:w="4320" w:type="dxa"/>
          </w:tcPr>
          <w:p w14:paraId="18D321DF" w14:textId="5F0F2FB3" w:rsidR="00612CCE" w:rsidRPr="00BB5D62" w:rsidRDefault="00612CCE" w:rsidP="00612CCE">
            <w:pPr>
              <w:jc w:val="both"/>
              <w:rPr>
                <w:rFonts w:cs="Arial"/>
                <w:sz w:val="20"/>
              </w:rPr>
            </w:pPr>
            <w:r w:rsidRPr="00530748">
              <w:rPr>
                <w:rFonts w:cs="Arial"/>
                <w:sz w:val="20"/>
              </w:rPr>
              <w:t>Purge and clean-up operations associated with wood furniture and wood furniture components (kitchen cabinets and parts) finishing processes.</w:t>
            </w:r>
          </w:p>
        </w:tc>
        <w:tc>
          <w:tcPr>
            <w:tcW w:w="1890" w:type="dxa"/>
          </w:tcPr>
          <w:p w14:paraId="76C71F4E" w14:textId="50CC913E" w:rsidR="00612CCE" w:rsidRPr="00BB5D62" w:rsidRDefault="00612CCE" w:rsidP="00612CCE">
            <w:pPr>
              <w:jc w:val="center"/>
              <w:rPr>
                <w:rFonts w:cs="Arial"/>
                <w:sz w:val="20"/>
              </w:rPr>
            </w:pPr>
            <w:r w:rsidRPr="00530748">
              <w:rPr>
                <w:rFonts w:cs="Arial"/>
                <w:sz w:val="20"/>
              </w:rPr>
              <w:t>07-06-2005</w:t>
            </w:r>
          </w:p>
        </w:tc>
        <w:tc>
          <w:tcPr>
            <w:tcW w:w="2070" w:type="dxa"/>
          </w:tcPr>
          <w:p w14:paraId="1B2D296E" w14:textId="1D4FFDFF" w:rsidR="00612CCE" w:rsidRPr="00530748" w:rsidRDefault="00612CCE" w:rsidP="00B91B04">
            <w:pPr>
              <w:jc w:val="center"/>
              <w:rPr>
                <w:rFonts w:cs="Arial"/>
                <w:sz w:val="20"/>
              </w:rPr>
            </w:pPr>
            <w:r w:rsidRPr="00530748">
              <w:rPr>
                <w:rFonts w:cs="Arial"/>
                <w:sz w:val="20"/>
              </w:rPr>
              <w:t>FG-FINISH</w:t>
            </w:r>
          </w:p>
          <w:p w14:paraId="5008F57C" w14:textId="2E9B30FC" w:rsidR="00612CCE" w:rsidRPr="00BB5D62" w:rsidRDefault="00612CCE" w:rsidP="00B91B04">
            <w:pPr>
              <w:jc w:val="center"/>
              <w:rPr>
                <w:rFonts w:cs="Arial"/>
                <w:sz w:val="20"/>
              </w:rPr>
            </w:pPr>
            <w:r w:rsidRPr="00530748">
              <w:rPr>
                <w:rFonts w:cs="Arial"/>
                <w:sz w:val="20"/>
              </w:rPr>
              <w:t>FG-MACT</w:t>
            </w:r>
          </w:p>
        </w:tc>
      </w:tr>
      <w:tr w:rsidR="00612CCE" w14:paraId="4837B414" w14:textId="77777777">
        <w:trPr>
          <w:cantSplit/>
        </w:trPr>
        <w:tc>
          <w:tcPr>
            <w:tcW w:w="2160" w:type="dxa"/>
          </w:tcPr>
          <w:p w14:paraId="61C84740" w14:textId="72C18D23" w:rsidR="00612CCE" w:rsidRPr="001B440D" w:rsidRDefault="00612CCE" w:rsidP="00612CCE">
            <w:pPr>
              <w:rPr>
                <w:rFonts w:cs="Arial"/>
                <w:sz w:val="20"/>
              </w:rPr>
            </w:pPr>
            <w:r w:rsidRPr="001B440D">
              <w:rPr>
                <w:rFonts w:cs="Arial"/>
                <w:sz w:val="20"/>
              </w:rPr>
              <w:t>EU-ASSEMBLY</w:t>
            </w:r>
          </w:p>
        </w:tc>
        <w:tc>
          <w:tcPr>
            <w:tcW w:w="4320" w:type="dxa"/>
          </w:tcPr>
          <w:p w14:paraId="5B625C76" w14:textId="72A09C8F" w:rsidR="00612CCE" w:rsidRPr="00BB5D62" w:rsidRDefault="00612CCE" w:rsidP="00612CCE">
            <w:pPr>
              <w:jc w:val="both"/>
              <w:rPr>
                <w:rFonts w:cs="Arial"/>
                <w:sz w:val="20"/>
              </w:rPr>
            </w:pPr>
            <w:r w:rsidRPr="00530748">
              <w:rPr>
                <w:rFonts w:cs="Arial"/>
                <w:sz w:val="20"/>
              </w:rPr>
              <w:t>Assembly of various wood furniture and wood furniture components (kitchen cabinets and parts) including the use of contact adhesives and glues for bonding of components and/or veneers and other laminates.</w:t>
            </w:r>
          </w:p>
        </w:tc>
        <w:tc>
          <w:tcPr>
            <w:tcW w:w="1890" w:type="dxa"/>
          </w:tcPr>
          <w:p w14:paraId="6781EF29" w14:textId="5B4067FC" w:rsidR="00612CCE" w:rsidRPr="00BB5D62" w:rsidRDefault="00612CCE" w:rsidP="00612CCE">
            <w:pPr>
              <w:jc w:val="center"/>
              <w:rPr>
                <w:rFonts w:cs="Arial"/>
                <w:sz w:val="20"/>
              </w:rPr>
            </w:pPr>
            <w:r w:rsidRPr="00530748">
              <w:rPr>
                <w:rFonts w:cs="Arial"/>
                <w:sz w:val="20"/>
              </w:rPr>
              <w:t>09-05-1978</w:t>
            </w:r>
          </w:p>
        </w:tc>
        <w:tc>
          <w:tcPr>
            <w:tcW w:w="2070" w:type="dxa"/>
          </w:tcPr>
          <w:p w14:paraId="5ED14A96" w14:textId="20CFEACB" w:rsidR="00612CCE" w:rsidRPr="00530748" w:rsidRDefault="00612CCE" w:rsidP="00B91B04">
            <w:pPr>
              <w:jc w:val="center"/>
              <w:rPr>
                <w:rFonts w:cs="Arial"/>
                <w:sz w:val="20"/>
              </w:rPr>
            </w:pPr>
            <w:r w:rsidRPr="00530748">
              <w:rPr>
                <w:rFonts w:cs="Arial"/>
                <w:sz w:val="20"/>
              </w:rPr>
              <w:t>FG-FINISH</w:t>
            </w:r>
          </w:p>
          <w:p w14:paraId="7EC0DEFE" w14:textId="1E274731" w:rsidR="00612CCE" w:rsidRPr="00BB5D62" w:rsidRDefault="00612CCE" w:rsidP="00B91B04">
            <w:pPr>
              <w:jc w:val="center"/>
              <w:rPr>
                <w:rFonts w:cs="Arial"/>
                <w:sz w:val="20"/>
              </w:rPr>
            </w:pPr>
            <w:r w:rsidRPr="00530748">
              <w:rPr>
                <w:rFonts w:cs="Arial"/>
                <w:sz w:val="20"/>
              </w:rPr>
              <w:t>FG-MACT</w:t>
            </w:r>
          </w:p>
        </w:tc>
      </w:tr>
      <w:tr w:rsidR="005553E8" w14:paraId="7885D974" w14:textId="77777777" w:rsidTr="00A33FF3">
        <w:trPr>
          <w:cantSplit/>
        </w:trPr>
        <w:tc>
          <w:tcPr>
            <w:tcW w:w="10440" w:type="dxa"/>
            <w:gridSpan w:val="4"/>
          </w:tcPr>
          <w:p w14:paraId="0463822E" w14:textId="4AC37DAE" w:rsidR="005553E8" w:rsidRPr="00BB5D62" w:rsidRDefault="00632F37" w:rsidP="00612CCE">
            <w:pPr>
              <w:rPr>
                <w:rFonts w:cs="Arial"/>
                <w:sz w:val="20"/>
              </w:rPr>
            </w:pPr>
            <w:r w:rsidRPr="00530748">
              <w:rPr>
                <w:rFonts w:cs="Arial"/>
                <w:sz w:val="20"/>
              </w:rPr>
              <w:t>Changes to the equipment described in this table are subject to the requirements of R 336.1201, except as allowed by R 336.1278 to R 336.1290.</w:t>
            </w:r>
          </w:p>
        </w:tc>
      </w:tr>
    </w:tbl>
    <w:p w14:paraId="41F42091" w14:textId="77777777" w:rsidR="00B639B1" w:rsidRPr="004B4509" w:rsidRDefault="00B639B1" w:rsidP="002916F7">
      <w:pPr>
        <w:rPr>
          <w:sz w:val="20"/>
        </w:rPr>
      </w:pPr>
    </w:p>
    <w:p w14:paraId="4D922408" w14:textId="77777777" w:rsidR="00D72D77" w:rsidRDefault="00D72D77" w:rsidP="004B4509">
      <w:pPr>
        <w:rPr>
          <w:sz w:val="20"/>
        </w:rPr>
      </w:pPr>
    </w:p>
    <w:p w14:paraId="7A7D1A13" w14:textId="636F2857" w:rsidR="00B91B04" w:rsidRDefault="00B91B04">
      <w:pPr>
        <w:rPr>
          <w:sz w:val="20"/>
        </w:rPr>
      </w:pPr>
      <w:r>
        <w:rPr>
          <w:sz w:val="20"/>
        </w:rPr>
        <w:br w:type="page"/>
      </w:r>
    </w:p>
    <w:p w14:paraId="481C1528" w14:textId="0FF13FD2"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17065696"/>
      <w:r w:rsidRPr="00C43734">
        <w:rPr>
          <w:bCs/>
          <w:szCs w:val="28"/>
        </w:rPr>
        <w:lastRenderedPageBreak/>
        <w:t>EU</w:t>
      </w:r>
      <w:r w:rsidR="00F04632">
        <w:rPr>
          <w:bCs/>
          <w:szCs w:val="28"/>
        </w:rPr>
        <w:t>AUTOLINE2</w:t>
      </w:r>
      <w:bookmarkEnd w:id="71"/>
      <w:bookmarkEnd w:id="72"/>
    </w:p>
    <w:p w14:paraId="78646DA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FD0975C" w14:textId="77777777" w:rsidR="00AE1D84" w:rsidRPr="0019740E" w:rsidRDefault="00AE1D84" w:rsidP="00F62984">
      <w:pPr>
        <w:rPr>
          <w:sz w:val="20"/>
        </w:rPr>
      </w:pPr>
    </w:p>
    <w:p w14:paraId="404B74AC" w14:textId="77777777" w:rsidR="00AE1D84" w:rsidRPr="007D4237" w:rsidRDefault="00AE1D84" w:rsidP="00F62984">
      <w:pPr>
        <w:jc w:val="both"/>
      </w:pPr>
      <w:r>
        <w:rPr>
          <w:b/>
          <w:u w:val="single"/>
        </w:rPr>
        <w:t>DESCRIPTION</w:t>
      </w:r>
    </w:p>
    <w:p w14:paraId="29C7B291" w14:textId="77777777" w:rsidR="00AE1D84" w:rsidRPr="007D4237" w:rsidRDefault="00AE1D84" w:rsidP="00F62984">
      <w:pPr>
        <w:jc w:val="both"/>
        <w:rPr>
          <w:sz w:val="20"/>
        </w:rPr>
      </w:pPr>
    </w:p>
    <w:p w14:paraId="1EA4E4D0" w14:textId="4F96995C" w:rsidR="000E10BB" w:rsidRPr="00834843" w:rsidRDefault="000E10BB" w:rsidP="000E10BB">
      <w:pPr>
        <w:jc w:val="both"/>
        <w:rPr>
          <w:sz w:val="20"/>
        </w:rPr>
      </w:pPr>
      <w:r>
        <w:rPr>
          <w:rFonts w:cs="Arial"/>
          <w:sz w:val="20"/>
        </w:rPr>
        <w:t xml:space="preserve">A </w:t>
      </w:r>
      <w:r w:rsidRPr="00834843">
        <w:rPr>
          <w:rFonts w:cs="Arial"/>
          <w:sz w:val="20"/>
        </w:rPr>
        <w:t>dry filter coating booth with robotic spray applicators to apply clearcoats, pigmented topcoats, and sealers/primers onto wood furniture and wood furniture components (kitchen cabinets and parts).  The booth is followed by a conveyorized natural gas-fired oven to dry the coated parts.</w:t>
      </w:r>
    </w:p>
    <w:p w14:paraId="215BF0F5" w14:textId="77777777" w:rsidR="00AE1D84" w:rsidRPr="0019740E" w:rsidRDefault="00AE1D84" w:rsidP="00F62984">
      <w:pPr>
        <w:jc w:val="both"/>
        <w:rPr>
          <w:sz w:val="20"/>
        </w:rPr>
      </w:pPr>
    </w:p>
    <w:p w14:paraId="4F33FDA1" w14:textId="765C2188" w:rsidR="00675FEA" w:rsidRPr="00834843" w:rsidRDefault="00AE1D84" w:rsidP="00675FEA">
      <w:pPr>
        <w:jc w:val="both"/>
        <w:rPr>
          <w:sz w:val="20"/>
        </w:rPr>
      </w:pPr>
      <w:r w:rsidRPr="00FE0AD0">
        <w:rPr>
          <w:b/>
          <w:sz w:val="20"/>
        </w:rPr>
        <w:t>Flexible Group ID</w:t>
      </w:r>
      <w:r>
        <w:rPr>
          <w:b/>
          <w:sz w:val="20"/>
        </w:rPr>
        <w:t>:</w:t>
      </w:r>
      <w:r>
        <w:rPr>
          <w:sz w:val="20"/>
        </w:rPr>
        <w:t xml:space="preserve"> </w:t>
      </w:r>
      <w:r w:rsidR="002100E0">
        <w:rPr>
          <w:sz w:val="20"/>
        </w:rPr>
        <w:t xml:space="preserve"> </w:t>
      </w:r>
      <w:r w:rsidR="00675FEA" w:rsidRPr="00834843">
        <w:rPr>
          <w:sz w:val="20"/>
        </w:rPr>
        <w:t>FG-MACT</w:t>
      </w:r>
    </w:p>
    <w:p w14:paraId="75619901" w14:textId="1895F3F7" w:rsidR="00AE1D84" w:rsidRPr="0019740E" w:rsidRDefault="00AE1D84" w:rsidP="00675FEA">
      <w:pPr>
        <w:jc w:val="both"/>
        <w:rPr>
          <w:sz w:val="20"/>
        </w:rPr>
      </w:pPr>
    </w:p>
    <w:p w14:paraId="3C37B905" w14:textId="77777777" w:rsidR="00AE1D84" w:rsidRDefault="00AE1D84" w:rsidP="00F62984">
      <w:pPr>
        <w:jc w:val="both"/>
        <w:rPr>
          <w:b/>
          <w:u w:val="single"/>
        </w:rPr>
      </w:pPr>
      <w:r>
        <w:rPr>
          <w:b/>
          <w:u w:val="single"/>
        </w:rPr>
        <w:t>POLLUTION CONTROL EQUIPMENT</w:t>
      </w:r>
    </w:p>
    <w:p w14:paraId="40C1BFD2" w14:textId="77777777" w:rsidR="00AE1D84" w:rsidRPr="00EE5F4E" w:rsidRDefault="00AE1D84" w:rsidP="00F62984">
      <w:pPr>
        <w:jc w:val="both"/>
        <w:rPr>
          <w:sz w:val="20"/>
        </w:rPr>
      </w:pPr>
    </w:p>
    <w:p w14:paraId="43B5237C" w14:textId="77777777" w:rsidR="000047E7" w:rsidRDefault="000047E7" w:rsidP="000047E7">
      <w:pPr>
        <w:jc w:val="both"/>
        <w:rPr>
          <w:rFonts w:cs="Arial"/>
          <w:sz w:val="20"/>
        </w:rPr>
      </w:pPr>
      <w:r>
        <w:rPr>
          <w:rFonts w:cs="Arial"/>
          <w:sz w:val="20"/>
        </w:rPr>
        <w:t xml:space="preserve">Dry </w:t>
      </w:r>
      <w:r w:rsidRPr="000F7161">
        <w:rPr>
          <w:rFonts w:cs="Arial"/>
          <w:sz w:val="20"/>
        </w:rPr>
        <w:t>exhaust filters to control particulate emissions</w:t>
      </w:r>
    </w:p>
    <w:p w14:paraId="7073F06D" w14:textId="77777777" w:rsidR="00AE1D84" w:rsidRPr="00906ACF" w:rsidRDefault="00AE1D84" w:rsidP="00F62984">
      <w:pPr>
        <w:jc w:val="both"/>
        <w:rPr>
          <w:sz w:val="20"/>
        </w:rPr>
      </w:pPr>
    </w:p>
    <w:p w14:paraId="2ADB7CBC" w14:textId="77777777" w:rsidR="00AE1D84" w:rsidRPr="00F01FE1" w:rsidRDefault="00AE1D84" w:rsidP="00F62984">
      <w:pPr>
        <w:jc w:val="both"/>
        <w:rPr>
          <w:b/>
          <w:sz w:val="20"/>
          <w:u w:val="single"/>
        </w:rPr>
      </w:pPr>
      <w:r>
        <w:rPr>
          <w:b/>
        </w:rPr>
        <w:t xml:space="preserve">I.  </w:t>
      </w:r>
      <w:r>
        <w:rPr>
          <w:b/>
          <w:u w:val="single"/>
        </w:rPr>
        <w:t>EMISSION LIMIT(S)</w:t>
      </w:r>
    </w:p>
    <w:p w14:paraId="414D0AF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F2867B6"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43A9A6CD"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70EBD9"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2D14DAD2"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141B6ED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785C63" w14:textId="77777777" w:rsidR="00AE1D84" w:rsidRDefault="00AE1D84" w:rsidP="00F62984">
            <w:pPr>
              <w:jc w:val="center"/>
              <w:rPr>
                <w:b/>
                <w:sz w:val="20"/>
              </w:rPr>
            </w:pPr>
            <w:r>
              <w:rPr>
                <w:b/>
                <w:sz w:val="20"/>
              </w:rPr>
              <w:t>Monitoring/</w:t>
            </w:r>
          </w:p>
          <w:p w14:paraId="537D2ED6"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47A9EB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208A1917" w14:textId="77777777">
        <w:trPr>
          <w:cantSplit/>
        </w:trPr>
        <w:tc>
          <w:tcPr>
            <w:tcW w:w="1627" w:type="dxa"/>
            <w:tcBorders>
              <w:top w:val="single" w:sz="4" w:space="0" w:color="auto"/>
              <w:left w:val="single" w:sz="4" w:space="0" w:color="auto"/>
              <w:bottom w:val="single" w:sz="4" w:space="0" w:color="auto"/>
              <w:right w:val="single" w:sz="4" w:space="0" w:color="auto"/>
            </w:tcBorders>
          </w:tcPr>
          <w:p w14:paraId="3BAF27B1" w14:textId="77777777" w:rsidR="002100E0" w:rsidRDefault="002100E0" w:rsidP="002100E0">
            <w:pPr>
              <w:rPr>
                <w:rFonts w:cs="Arial"/>
                <w:sz w:val="20"/>
              </w:rPr>
            </w:pPr>
            <w:r>
              <w:rPr>
                <w:rFonts w:cs="Arial"/>
                <w:sz w:val="20"/>
              </w:rPr>
              <w:t xml:space="preserve">1.  </w:t>
            </w:r>
            <w:r w:rsidR="00486CB9" w:rsidRPr="003818EC">
              <w:rPr>
                <w:rFonts w:cs="Arial"/>
                <w:sz w:val="20"/>
              </w:rPr>
              <w:t>VOC and</w:t>
            </w:r>
          </w:p>
          <w:p w14:paraId="5CB2772A" w14:textId="77777777" w:rsidR="002100E0" w:rsidRDefault="002100E0" w:rsidP="002100E0">
            <w:pPr>
              <w:rPr>
                <w:rFonts w:cs="Arial"/>
                <w:sz w:val="20"/>
              </w:rPr>
            </w:pPr>
            <w:r>
              <w:rPr>
                <w:rFonts w:cs="Arial"/>
                <w:sz w:val="20"/>
              </w:rPr>
              <w:t xml:space="preserve">     </w:t>
            </w:r>
            <w:r w:rsidR="00486CB9" w:rsidRPr="003818EC">
              <w:rPr>
                <w:rFonts w:cs="Arial"/>
                <w:sz w:val="20"/>
              </w:rPr>
              <w:t xml:space="preserve">acetone </w:t>
            </w:r>
          </w:p>
          <w:p w14:paraId="7C1FB403" w14:textId="47B2E30D" w:rsidR="00AE1D84" w:rsidRPr="00095B77" w:rsidRDefault="002100E0" w:rsidP="002100E0">
            <w:pPr>
              <w:rPr>
                <w:sz w:val="20"/>
              </w:rPr>
            </w:pPr>
            <w:r>
              <w:rPr>
                <w:rFonts w:cs="Arial"/>
                <w:sz w:val="20"/>
              </w:rPr>
              <w:t xml:space="preserve">     </w:t>
            </w:r>
            <w:r w:rsidR="00486CB9" w:rsidRPr="003818EC">
              <w:rPr>
                <w:rFonts w:cs="Arial"/>
                <w:sz w:val="20"/>
              </w:rPr>
              <w:t>combined</w:t>
            </w:r>
          </w:p>
        </w:tc>
        <w:tc>
          <w:tcPr>
            <w:tcW w:w="1440" w:type="dxa"/>
            <w:tcBorders>
              <w:top w:val="single" w:sz="4" w:space="0" w:color="auto"/>
              <w:left w:val="single" w:sz="4" w:space="0" w:color="auto"/>
              <w:bottom w:val="single" w:sz="4" w:space="0" w:color="auto"/>
              <w:right w:val="single" w:sz="4" w:space="0" w:color="auto"/>
            </w:tcBorders>
          </w:tcPr>
          <w:p w14:paraId="6749E3E1" w14:textId="66CC5E84" w:rsidR="00AE1D84" w:rsidRPr="00BD3DE3" w:rsidRDefault="00FA2C3C" w:rsidP="00F466A0">
            <w:pPr>
              <w:jc w:val="center"/>
              <w:rPr>
                <w:sz w:val="20"/>
              </w:rPr>
            </w:pPr>
            <w:r w:rsidRPr="003818EC">
              <w:rPr>
                <w:rFonts w:cs="Arial"/>
                <w:sz w:val="20"/>
              </w:rPr>
              <w:t>60.1 tpy</w:t>
            </w:r>
            <w:r w:rsidRPr="003818EC">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8B81445" w14:textId="0BC82AA3" w:rsidR="00AE1D84" w:rsidRPr="00BD3DE3" w:rsidRDefault="0039201E" w:rsidP="00F466A0">
            <w:pPr>
              <w:jc w:val="center"/>
              <w:rPr>
                <w:sz w:val="20"/>
              </w:rPr>
            </w:pPr>
            <w:r w:rsidRPr="003818EC">
              <w:rPr>
                <w:rFonts w:cs="Arial"/>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68EE5343" w14:textId="41EFED1F" w:rsidR="00AE1D84" w:rsidRPr="00BD3DE3" w:rsidRDefault="00331666" w:rsidP="00F466A0">
            <w:pPr>
              <w:jc w:val="center"/>
              <w:rPr>
                <w:sz w:val="20"/>
              </w:rPr>
            </w:pPr>
            <w:r w:rsidRPr="003818EC">
              <w:rPr>
                <w:rFonts w:cs="Arial"/>
                <w:sz w:val="20"/>
              </w:rPr>
              <w:t>EU-AUTOLINE2</w:t>
            </w:r>
          </w:p>
        </w:tc>
        <w:tc>
          <w:tcPr>
            <w:tcW w:w="1530" w:type="dxa"/>
            <w:tcBorders>
              <w:top w:val="single" w:sz="4" w:space="0" w:color="auto"/>
              <w:left w:val="single" w:sz="4" w:space="0" w:color="auto"/>
              <w:bottom w:val="single" w:sz="4" w:space="0" w:color="auto"/>
              <w:right w:val="single" w:sz="4" w:space="0" w:color="auto"/>
            </w:tcBorders>
          </w:tcPr>
          <w:p w14:paraId="19FD1406" w14:textId="44DC7871" w:rsidR="00AE1D84" w:rsidRPr="00BD3DE3" w:rsidRDefault="00A576B6" w:rsidP="00F466A0">
            <w:pPr>
              <w:jc w:val="center"/>
              <w:rPr>
                <w:sz w:val="20"/>
              </w:rPr>
            </w:pPr>
            <w:r w:rsidRPr="003818EC">
              <w:rPr>
                <w:rFonts w:cs="Arial"/>
                <w:sz w:val="20"/>
              </w:rPr>
              <w:t>SC VI.2, VI.3</w:t>
            </w:r>
          </w:p>
        </w:tc>
        <w:tc>
          <w:tcPr>
            <w:tcW w:w="1530" w:type="dxa"/>
            <w:tcBorders>
              <w:top w:val="single" w:sz="4" w:space="0" w:color="auto"/>
              <w:left w:val="single" w:sz="4" w:space="0" w:color="auto"/>
              <w:bottom w:val="single" w:sz="4" w:space="0" w:color="auto"/>
              <w:right w:val="single" w:sz="4" w:space="0" w:color="auto"/>
            </w:tcBorders>
          </w:tcPr>
          <w:p w14:paraId="1CF5E620" w14:textId="51DBE1A0" w:rsidR="00AE1D84" w:rsidRPr="002D3BFA" w:rsidRDefault="00391CA0" w:rsidP="00F466A0">
            <w:pPr>
              <w:jc w:val="center"/>
              <w:rPr>
                <w:b/>
                <w:sz w:val="20"/>
              </w:rPr>
            </w:pPr>
            <w:r w:rsidRPr="003818EC">
              <w:rPr>
                <w:rFonts w:cs="Arial"/>
                <w:b/>
                <w:sz w:val="20"/>
              </w:rPr>
              <w:t>R 336.1224 R 336.1702(a</w:t>
            </w:r>
            <w:r w:rsidRPr="003818EC">
              <w:rPr>
                <w:rFonts w:cs="Arial"/>
                <w:sz w:val="20"/>
              </w:rPr>
              <w:t>)</w:t>
            </w:r>
          </w:p>
        </w:tc>
      </w:tr>
    </w:tbl>
    <w:p w14:paraId="6CF15B6C" w14:textId="77777777" w:rsidR="00494D15" w:rsidRDefault="00494D15" w:rsidP="00F62984">
      <w:pPr>
        <w:jc w:val="both"/>
        <w:rPr>
          <w:sz w:val="20"/>
        </w:rPr>
      </w:pPr>
    </w:p>
    <w:p w14:paraId="0117F1D7" w14:textId="598D4317" w:rsidR="00AE1D84" w:rsidRDefault="00AE1D84" w:rsidP="00F62984">
      <w:pPr>
        <w:jc w:val="both"/>
        <w:rPr>
          <w:b/>
          <w:u w:val="single"/>
        </w:rPr>
      </w:pPr>
      <w:r>
        <w:rPr>
          <w:b/>
        </w:rPr>
        <w:t xml:space="preserve">II.  </w:t>
      </w:r>
      <w:r>
        <w:rPr>
          <w:b/>
          <w:u w:val="single"/>
        </w:rPr>
        <w:t>MATERIAL LIMIT(S)</w:t>
      </w:r>
    </w:p>
    <w:p w14:paraId="0EA58001" w14:textId="752335CE"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545217" w:rsidRPr="003818EC" w14:paraId="59E13D5E" w14:textId="77777777" w:rsidTr="0051588B">
        <w:trPr>
          <w:cantSplit/>
          <w:tblHeader/>
        </w:trPr>
        <w:tc>
          <w:tcPr>
            <w:tcW w:w="1626" w:type="dxa"/>
            <w:tcBorders>
              <w:top w:val="single" w:sz="4" w:space="0" w:color="auto"/>
              <w:left w:val="single" w:sz="4" w:space="0" w:color="auto"/>
              <w:bottom w:val="single" w:sz="4" w:space="0" w:color="auto"/>
              <w:right w:val="single" w:sz="4" w:space="0" w:color="auto"/>
            </w:tcBorders>
          </w:tcPr>
          <w:p w14:paraId="799F71DF" w14:textId="77777777" w:rsidR="00545217" w:rsidRPr="003818EC" w:rsidRDefault="00545217" w:rsidP="0051588B">
            <w:pPr>
              <w:jc w:val="center"/>
              <w:rPr>
                <w:b/>
                <w:sz w:val="20"/>
              </w:rPr>
            </w:pPr>
            <w:r w:rsidRPr="003818E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74E0828D" w14:textId="77777777" w:rsidR="00545217" w:rsidRPr="003818EC" w:rsidRDefault="00545217" w:rsidP="0051588B">
            <w:pPr>
              <w:jc w:val="center"/>
              <w:rPr>
                <w:b/>
                <w:sz w:val="20"/>
              </w:rPr>
            </w:pPr>
            <w:r w:rsidRPr="003818E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FD55E1" w14:textId="77777777" w:rsidR="00545217" w:rsidRPr="003818EC" w:rsidRDefault="00545217" w:rsidP="0051588B">
            <w:pPr>
              <w:jc w:val="center"/>
              <w:rPr>
                <w:b/>
                <w:sz w:val="20"/>
              </w:rPr>
            </w:pPr>
            <w:r w:rsidRPr="003818EC">
              <w:rPr>
                <w:b/>
                <w:sz w:val="20"/>
              </w:rPr>
              <w:t>Time Period/</w:t>
            </w:r>
          </w:p>
          <w:p w14:paraId="08D47FEB" w14:textId="77777777" w:rsidR="00545217" w:rsidRPr="003818EC" w:rsidRDefault="00545217" w:rsidP="0051588B">
            <w:pPr>
              <w:jc w:val="center"/>
              <w:rPr>
                <w:b/>
                <w:sz w:val="20"/>
              </w:rPr>
            </w:pPr>
            <w:r w:rsidRPr="003818EC">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5B3C126B" w14:textId="77777777" w:rsidR="00545217" w:rsidRPr="003818EC" w:rsidRDefault="00545217" w:rsidP="0051588B">
            <w:pPr>
              <w:jc w:val="center"/>
              <w:rPr>
                <w:b/>
                <w:sz w:val="20"/>
              </w:rPr>
            </w:pPr>
            <w:r w:rsidRPr="003818E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A9B679E" w14:textId="77777777" w:rsidR="00545217" w:rsidRPr="003818EC" w:rsidRDefault="00545217" w:rsidP="0051588B">
            <w:pPr>
              <w:jc w:val="center"/>
              <w:rPr>
                <w:b/>
                <w:sz w:val="20"/>
              </w:rPr>
            </w:pPr>
            <w:r w:rsidRPr="003818EC">
              <w:rPr>
                <w:b/>
                <w:sz w:val="20"/>
              </w:rPr>
              <w:t>Monitoring/</w:t>
            </w:r>
          </w:p>
          <w:p w14:paraId="26E2DC96" w14:textId="77777777" w:rsidR="00545217" w:rsidRPr="003818EC" w:rsidRDefault="00545217" w:rsidP="0051588B">
            <w:pPr>
              <w:jc w:val="center"/>
              <w:rPr>
                <w:b/>
                <w:sz w:val="20"/>
              </w:rPr>
            </w:pPr>
            <w:r w:rsidRPr="003818E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8352534" w14:textId="77777777" w:rsidR="00545217" w:rsidRPr="003818EC" w:rsidRDefault="00545217" w:rsidP="0051588B">
            <w:pPr>
              <w:jc w:val="center"/>
              <w:rPr>
                <w:b/>
                <w:sz w:val="20"/>
              </w:rPr>
            </w:pPr>
            <w:r w:rsidRPr="003818EC">
              <w:rPr>
                <w:b/>
                <w:sz w:val="20"/>
              </w:rPr>
              <w:t>Underlying Applicable Requirements</w:t>
            </w:r>
          </w:p>
        </w:tc>
      </w:tr>
      <w:tr w:rsidR="00545217" w:rsidRPr="003818EC" w14:paraId="1AFFFF12" w14:textId="77777777" w:rsidTr="0051588B">
        <w:trPr>
          <w:cantSplit/>
        </w:trPr>
        <w:tc>
          <w:tcPr>
            <w:tcW w:w="1626" w:type="dxa"/>
            <w:tcBorders>
              <w:top w:val="single" w:sz="4" w:space="0" w:color="auto"/>
              <w:left w:val="single" w:sz="4" w:space="0" w:color="auto"/>
              <w:bottom w:val="single" w:sz="4" w:space="0" w:color="auto"/>
              <w:right w:val="single" w:sz="4" w:space="0" w:color="auto"/>
            </w:tcBorders>
          </w:tcPr>
          <w:p w14:paraId="30FC1431" w14:textId="77777777" w:rsidR="00545217" w:rsidRPr="003818EC" w:rsidRDefault="00545217" w:rsidP="0051588B">
            <w:pPr>
              <w:keepNext/>
              <w:ind w:left="270" w:hanging="270"/>
              <w:rPr>
                <w:rFonts w:cs="Arial"/>
                <w:sz w:val="20"/>
              </w:rPr>
            </w:pPr>
            <w:r w:rsidRPr="003818EC">
              <w:rPr>
                <w:rFonts w:cs="Arial"/>
                <w:sz w:val="20"/>
              </w:rPr>
              <w:t>1.  VOC content of sealers/ primers</w:t>
            </w:r>
          </w:p>
        </w:tc>
        <w:tc>
          <w:tcPr>
            <w:tcW w:w="1440" w:type="dxa"/>
            <w:tcBorders>
              <w:top w:val="single" w:sz="4" w:space="0" w:color="auto"/>
              <w:left w:val="single" w:sz="4" w:space="0" w:color="auto"/>
              <w:bottom w:val="single" w:sz="4" w:space="0" w:color="auto"/>
              <w:right w:val="single" w:sz="4" w:space="0" w:color="auto"/>
            </w:tcBorders>
          </w:tcPr>
          <w:p w14:paraId="519F7BDC" w14:textId="1B53BC4C" w:rsidR="00545217" w:rsidRPr="003818EC" w:rsidRDefault="00545217" w:rsidP="002100E0">
            <w:pPr>
              <w:keepNext/>
              <w:jc w:val="center"/>
              <w:rPr>
                <w:rFonts w:cs="Arial"/>
                <w:sz w:val="20"/>
              </w:rPr>
            </w:pPr>
            <w:r w:rsidRPr="003818EC">
              <w:rPr>
                <w:rFonts w:cs="Arial"/>
                <w:sz w:val="20"/>
              </w:rPr>
              <w:t>4.6 lb/gal (minus water)</w:t>
            </w:r>
            <w:r w:rsidRPr="003818EC">
              <w:rPr>
                <w:rFonts w:cs="Arial"/>
                <w:sz w:val="20"/>
                <w:vertAlign w:val="superscript"/>
              </w:rPr>
              <w:t xml:space="preserve"> </w:t>
            </w:r>
            <w:r w:rsidRPr="003818EC">
              <w:rPr>
                <w:rFonts w:cs="Arial"/>
                <w:sz w:val="20"/>
              </w:rPr>
              <w:t>as applied</w:t>
            </w:r>
            <w:r w:rsidR="003515C6" w:rsidRPr="003818EC">
              <w:rPr>
                <w:rFonts w:cs="Arial"/>
                <w:sz w:val="20"/>
                <w:vertAlign w:val="superscript"/>
              </w:rPr>
              <w:t>2</w:t>
            </w:r>
            <w:r w:rsidR="003515C6">
              <w:rPr>
                <w:rFonts w:cs="Arial"/>
                <w:sz w:val="20"/>
                <w:vertAlign w:val="superscript"/>
              </w:rPr>
              <w:t>,</w:t>
            </w:r>
            <w:r w:rsidR="003515C6" w:rsidRPr="003818EC">
              <w:rPr>
                <w:rFonts w:cs="Arial"/>
                <w:sz w:val="20"/>
                <w:vertAlign w:val="superscript"/>
              </w:rPr>
              <w:t xml:space="preserve"> a</w:t>
            </w:r>
          </w:p>
        </w:tc>
        <w:tc>
          <w:tcPr>
            <w:tcW w:w="2245" w:type="dxa"/>
            <w:tcBorders>
              <w:top w:val="single" w:sz="4" w:space="0" w:color="auto"/>
              <w:left w:val="single" w:sz="4" w:space="0" w:color="auto"/>
              <w:bottom w:val="single" w:sz="4" w:space="0" w:color="auto"/>
              <w:right w:val="single" w:sz="4" w:space="0" w:color="auto"/>
            </w:tcBorders>
          </w:tcPr>
          <w:p w14:paraId="6E5F7B83" w14:textId="77777777" w:rsidR="00545217" w:rsidRPr="003818EC" w:rsidRDefault="00545217" w:rsidP="0051588B">
            <w:pPr>
              <w:keepNext/>
              <w:jc w:val="center"/>
              <w:rPr>
                <w:rFonts w:cs="Arial"/>
                <w:sz w:val="20"/>
              </w:rPr>
            </w:pPr>
            <w:r w:rsidRPr="003818EC">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0125390" w14:textId="77777777" w:rsidR="00545217" w:rsidRPr="003818EC" w:rsidRDefault="00545217" w:rsidP="0051588B">
            <w:pPr>
              <w:keepNext/>
              <w:tabs>
                <w:tab w:val="left" w:pos="540"/>
              </w:tabs>
              <w:jc w:val="center"/>
              <w:rPr>
                <w:rFonts w:cs="Arial"/>
                <w:sz w:val="20"/>
              </w:rPr>
            </w:pPr>
            <w:r w:rsidRPr="003818EC">
              <w:rPr>
                <w:rFonts w:cs="Arial"/>
                <w:sz w:val="20"/>
              </w:rPr>
              <w:t>EU-AUTOLINE2</w:t>
            </w:r>
          </w:p>
        </w:tc>
        <w:tc>
          <w:tcPr>
            <w:tcW w:w="1530" w:type="dxa"/>
            <w:tcBorders>
              <w:top w:val="single" w:sz="4" w:space="0" w:color="auto"/>
              <w:left w:val="single" w:sz="4" w:space="0" w:color="auto"/>
              <w:bottom w:val="single" w:sz="4" w:space="0" w:color="auto"/>
              <w:right w:val="single" w:sz="4" w:space="0" w:color="auto"/>
            </w:tcBorders>
          </w:tcPr>
          <w:p w14:paraId="3A1CA8A2" w14:textId="77777777" w:rsidR="00545217" w:rsidRPr="003818EC" w:rsidRDefault="00545217" w:rsidP="0051588B">
            <w:pPr>
              <w:keepNext/>
              <w:tabs>
                <w:tab w:val="left" w:pos="540"/>
              </w:tabs>
              <w:jc w:val="center"/>
              <w:rPr>
                <w:rFonts w:cs="Arial"/>
                <w:sz w:val="20"/>
              </w:rPr>
            </w:pPr>
            <w:r w:rsidRPr="003818EC">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787E2936" w14:textId="77777777" w:rsidR="00545217" w:rsidRPr="003818EC" w:rsidRDefault="00545217" w:rsidP="0051588B">
            <w:pPr>
              <w:keepNext/>
              <w:tabs>
                <w:tab w:val="left" w:pos="540"/>
              </w:tabs>
              <w:jc w:val="center"/>
              <w:rPr>
                <w:rFonts w:cs="Arial"/>
                <w:b/>
                <w:sz w:val="20"/>
              </w:rPr>
            </w:pPr>
            <w:r w:rsidRPr="003818EC">
              <w:rPr>
                <w:rFonts w:cs="Arial"/>
                <w:b/>
                <w:sz w:val="20"/>
              </w:rPr>
              <w:t xml:space="preserve">R 336.1702(a) </w:t>
            </w:r>
          </w:p>
        </w:tc>
      </w:tr>
      <w:tr w:rsidR="00545217" w:rsidRPr="003818EC" w14:paraId="61DFBC7A" w14:textId="77777777" w:rsidTr="0051588B">
        <w:trPr>
          <w:cantSplit/>
        </w:trPr>
        <w:tc>
          <w:tcPr>
            <w:tcW w:w="1626" w:type="dxa"/>
            <w:tcBorders>
              <w:top w:val="single" w:sz="4" w:space="0" w:color="auto"/>
              <w:left w:val="single" w:sz="4" w:space="0" w:color="auto"/>
              <w:bottom w:val="single" w:sz="4" w:space="0" w:color="auto"/>
              <w:right w:val="single" w:sz="4" w:space="0" w:color="auto"/>
            </w:tcBorders>
          </w:tcPr>
          <w:p w14:paraId="69E91227" w14:textId="77777777" w:rsidR="00545217" w:rsidRPr="003818EC" w:rsidRDefault="00545217" w:rsidP="0051588B">
            <w:pPr>
              <w:keepNext/>
              <w:ind w:left="270" w:hanging="270"/>
              <w:rPr>
                <w:rFonts w:cs="Arial"/>
                <w:sz w:val="20"/>
              </w:rPr>
            </w:pPr>
            <w:r w:rsidRPr="003818EC">
              <w:rPr>
                <w:rFonts w:cs="Arial"/>
                <w:sz w:val="20"/>
              </w:rPr>
              <w:t>2.  VOC content of pigmented/ clear topcoats</w:t>
            </w:r>
          </w:p>
        </w:tc>
        <w:tc>
          <w:tcPr>
            <w:tcW w:w="1440" w:type="dxa"/>
            <w:tcBorders>
              <w:top w:val="single" w:sz="4" w:space="0" w:color="auto"/>
              <w:left w:val="single" w:sz="4" w:space="0" w:color="auto"/>
              <w:bottom w:val="single" w:sz="4" w:space="0" w:color="auto"/>
              <w:right w:val="single" w:sz="4" w:space="0" w:color="auto"/>
            </w:tcBorders>
          </w:tcPr>
          <w:p w14:paraId="2D6A6059" w14:textId="77777777" w:rsidR="00545217" w:rsidRPr="003818EC" w:rsidRDefault="00545217" w:rsidP="0051588B">
            <w:pPr>
              <w:keepNext/>
              <w:jc w:val="center"/>
              <w:rPr>
                <w:rFonts w:cs="Arial"/>
                <w:sz w:val="20"/>
              </w:rPr>
            </w:pPr>
            <w:r w:rsidRPr="003818EC">
              <w:rPr>
                <w:rFonts w:cs="Arial"/>
                <w:sz w:val="20"/>
              </w:rPr>
              <w:t>4.6 lb/gal (minus water)</w:t>
            </w:r>
            <w:r w:rsidRPr="003818EC">
              <w:rPr>
                <w:rFonts w:cs="Arial"/>
                <w:sz w:val="20"/>
                <w:vertAlign w:val="superscript"/>
              </w:rPr>
              <w:t xml:space="preserve"> </w:t>
            </w:r>
            <w:r w:rsidRPr="003818EC">
              <w:rPr>
                <w:rFonts w:cs="Arial"/>
                <w:sz w:val="20"/>
              </w:rPr>
              <w:t>as applied</w:t>
            </w:r>
            <w:r w:rsidRPr="003818EC">
              <w:rPr>
                <w:rFonts w:cs="Arial"/>
                <w:sz w:val="20"/>
                <w:vertAlign w:val="superscript"/>
              </w:rPr>
              <w:t>2</w:t>
            </w:r>
            <w:r>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tcPr>
          <w:p w14:paraId="64FF0BAC" w14:textId="77777777" w:rsidR="00545217" w:rsidRPr="003818EC" w:rsidRDefault="00545217" w:rsidP="0051588B">
            <w:pPr>
              <w:keepNext/>
              <w:jc w:val="center"/>
              <w:rPr>
                <w:rFonts w:cs="Arial"/>
                <w:sz w:val="20"/>
              </w:rPr>
            </w:pPr>
            <w:r w:rsidRPr="003818EC">
              <w:rPr>
                <w:rFonts w:cs="Arial"/>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276FC16B" w14:textId="77777777" w:rsidR="00545217" w:rsidRPr="003818EC" w:rsidRDefault="00545217" w:rsidP="0051588B">
            <w:pPr>
              <w:keepNext/>
              <w:tabs>
                <w:tab w:val="left" w:pos="540"/>
              </w:tabs>
              <w:jc w:val="center"/>
              <w:rPr>
                <w:rFonts w:cs="Arial"/>
                <w:sz w:val="20"/>
              </w:rPr>
            </w:pPr>
            <w:r w:rsidRPr="003818EC">
              <w:rPr>
                <w:rFonts w:cs="Arial"/>
                <w:sz w:val="20"/>
              </w:rPr>
              <w:t>EU-AUTOLINE2</w:t>
            </w:r>
          </w:p>
        </w:tc>
        <w:tc>
          <w:tcPr>
            <w:tcW w:w="1530" w:type="dxa"/>
            <w:tcBorders>
              <w:top w:val="single" w:sz="4" w:space="0" w:color="auto"/>
              <w:left w:val="single" w:sz="4" w:space="0" w:color="auto"/>
              <w:bottom w:val="single" w:sz="4" w:space="0" w:color="auto"/>
              <w:right w:val="single" w:sz="4" w:space="0" w:color="auto"/>
            </w:tcBorders>
          </w:tcPr>
          <w:p w14:paraId="055BE9FC" w14:textId="77777777" w:rsidR="00545217" w:rsidRPr="003818EC" w:rsidRDefault="00545217" w:rsidP="0051588B">
            <w:pPr>
              <w:keepNext/>
              <w:tabs>
                <w:tab w:val="left" w:pos="540"/>
              </w:tabs>
              <w:jc w:val="center"/>
              <w:rPr>
                <w:rFonts w:cs="Arial"/>
                <w:sz w:val="20"/>
              </w:rPr>
            </w:pPr>
            <w:r w:rsidRPr="003818EC">
              <w:rPr>
                <w:rFonts w:cs="Arial"/>
                <w:sz w:val="20"/>
              </w:rPr>
              <w:t>SC V.1</w:t>
            </w:r>
          </w:p>
        </w:tc>
        <w:tc>
          <w:tcPr>
            <w:tcW w:w="1530" w:type="dxa"/>
            <w:tcBorders>
              <w:top w:val="single" w:sz="4" w:space="0" w:color="auto"/>
              <w:left w:val="single" w:sz="4" w:space="0" w:color="auto"/>
              <w:bottom w:val="single" w:sz="4" w:space="0" w:color="auto"/>
              <w:right w:val="single" w:sz="4" w:space="0" w:color="auto"/>
            </w:tcBorders>
          </w:tcPr>
          <w:p w14:paraId="322C204B" w14:textId="77777777" w:rsidR="00545217" w:rsidRPr="003818EC" w:rsidRDefault="00545217" w:rsidP="0051588B">
            <w:pPr>
              <w:keepNext/>
              <w:tabs>
                <w:tab w:val="left" w:pos="540"/>
              </w:tabs>
              <w:jc w:val="center"/>
              <w:rPr>
                <w:rFonts w:cs="Arial"/>
                <w:b/>
                <w:sz w:val="20"/>
              </w:rPr>
            </w:pPr>
            <w:r w:rsidRPr="003818EC">
              <w:rPr>
                <w:rFonts w:cs="Arial"/>
                <w:b/>
                <w:sz w:val="20"/>
              </w:rPr>
              <w:t xml:space="preserve">R 336.1702(a) </w:t>
            </w:r>
          </w:p>
        </w:tc>
      </w:tr>
      <w:tr w:rsidR="00545217" w:rsidRPr="003818EC" w14:paraId="63DE5346" w14:textId="77777777" w:rsidTr="0051588B">
        <w:trPr>
          <w:cantSplit/>
        </w:trPr>
        <w:tc>
          <w:tcPr>
            <w:tcW w:w="10260" w:type="dxa"/>
            <w:gridSpan w:val="6"/>
            <w:tcBorders>
              <w:top w:val="single" w:sz="4" w:space="0" w:color="auto"/>
              <w:left w:val="single" w:sz="4" w:space="0" w:color="auto"/>
              <w:bottom w:val="single" w:sz="4" w:space="0" w:color="auto"/>
              <w:right w:val="single" w:sz="4" w:space="0" w:color="auto"/>
            </w:tcBorders>
          </w:tcPr>
          <w:p w14:paraId="5F4E8F5A" w14:textId="4BBBC947" w:rsidR="00545217" w:rsidRPr="003818EC" w:rsidRDefault="00545217" w:rsidP="0051588B">
            <w:pPr>
              <w:keepNext/>
              <w:tabs>
                <w:tab w:val="left" w:pos="540"/>
              </w:tabs>
              <w:ind w:left="180" w:hanging="180"/>
              <w:jc w:val="both"/>
              <w:rPr>
                <w:rFonts w:cs="Arial"/>
                <w:sz w:val="20"/>
              </w:rPr>
            </w:pPr>
            <w:r w:rsidRPr="003818EC">
              <w:rPr>
                <w:rFonts w:cs="Arial"/>
                <w:sz w:val="20"/>
                <w:vertAlign w:val="superscript"/>
              </w:rPr>
              <w:t>a</w:t>
            </w:r>
            <w:r w:rsidRPr="003818EC">
              <w:rPr>
                <w:rFonts w:cs="Arial"/>
                <w:sz w:val="20"/>
              </w:rPr>
              <w:t xml:space="preserve"> The phrase “minus water” shall also include compounds which are used as organic </w:t>
            </w:r>
            <w:r w:rsidR="00E627BB" w:rsidRPr="003818EC">
              <w:rPr>
                <w:rFonts w:cs="Arial"/>
                <w:sz w:val="20"/>
              </w:rPr>
              <w:t>solvents,</w:t>
            </w:r>
            <w:r w:rsidRPr="003818EC">
              <w:rPr>
                <w:rFonts w:cs="Arial"/>
                <w:sz w:val="20"/>
              </w:rPr>
              <w:t xml:space="preserve"> and which are excluded from the definition of volatile organic compound.  </w:t>
            </w:r>
            <w:r w:rsidRPr="003818EC">
              <w:rPr>
                <w:rFonts w:cs="Arial"/>
                <w:b/>
                <w:sz w:val="20"/>
              </w:rPr>
              <w:t>(R 336.1602(4))</w:t>
            </w:r>
          </w:p>
        </w:tc>
      </w:tr>
    </w:tbl>
    <w:p w14:paraId="632D8DA1" w14:textId="77777777" w:rsidR="00545217" w:rsidRPr="003818EC" w:rsidRDefault="00545217" w:rsidP="00545217">
      <w:pPr>
        <w:jc w:val="both"/>
        <w:rPr>
          <w:sz w:val="20"/>
        </w:rPr>
      </w:pPr>
    </w:p>
    <w:p w14:paraId="0C832CB6"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F57045B" w14:textId="77777777" w:rsidR="00AE1D84" w:rsidRPr="00FB6071" w:rsidRDefault="00AE1D84" w:rsidP="00EF0176">
      <w:pPr>
        <w:jc w:val="both"/>
        <w:rPr>
          <w:sz w:val="20"/>
        </w:rPr>
      </w:pPr>
    </w:p>
    <w:p w14:paraId="23C89005" w14:textId="6478E9E0" w:rsidR="00EF0176" w:rsidRDefault="00EF0176" w:rsidP="006255D5">
      <w:pPr>
        <w:pStyle w:val="ListParagraph"/>
        <w:numPr>
          <w:ilvl w:val="0"/>
          <w:numId w:val="31"/>
        </w:numPr>
        <w:tabs>
          <w:tab w:val="left" w:pos="540"/>
        </w:tabs>
        <w:ind w:left="360"/>
        <w:jc w:val="both"/>
        <w:rPr>
          <w:rFonts w:cs="Arial"/>
          <w:sz w:val="20"/>
        </w:rPr>
      </w:pPr>
      <w:r w:rsidRPr="003818EC">
        <w:rPr>
          <w:rFonts w:cs="Arial"/>
          <w:sz w:val="20"/>
        </w:rPr>
        <w:t xml:space="preserve">The permittee shall capture all waste materials and shall store them in closed containers.  The permittee shall </w:t>
      </w:r>
      <w:r w:rsidRPr="00DF684F">
        <w:rPr>
          <w:rFonts w:cs="Arial"/>
          <w:sz w:val="20"/>
        </w:rPr>
        <w:t xml:space="preserve">dispose of all waste </w:t>
      </w:r>
      <w:r w:rsidRPr="00DF684F">
        <w:rPr>
          <w:rFonts w:cs="Arial"/>
          <w:color w:val="000000"/>
          <w:sz w:val="20"/>
        </w:rPr>
        <w:t>materials</w:t>
      </w:r>
      <w:r w:rsidRPr="00DF684F">
        <w:rPr>
          <w:rFonts w:cs="Arial"/>
          <w:sz w:val="20"/>
        </w:rPr>
        <w:t xml:space="preserve"> in an acceptable manner in compliance with all applicable state rules and federal regulations.</w:t>
      </w:r>
      <w:r w:rsidR="003515C6">
        <w:rPr>
          <w:rFonts w:cs="Arial"/>
          <w:sz w:val="20"/>
          <w:vertAlign w:val="superscript"/>
        </w:rPr>
        <w:t>2</w:t>
      </w:r>
      <w:r w:rsidR="003515C6" w:rsidRPr="00DF684F">
        <w:rPr>
          <w:rFonts w:cs="Arial"/>
          <w:sz w:val="20"/>
        </w:rPr>
        <w:t xml:space="preserve"> </w:t>
      </w:r>
      <w:r w:rsidR="00943809">
        <w:rPr>
          <w:rFonts w:cs="Arial"/>
          <w:sz w:val="20"/>
        </w:rPr>
        <w:t xml:space="preserve"> </w:t>
      </w:r>
      <w:r w:rsidR="003515C6" w:rsidRPr="00DF684F">
        <w:rPr>
          <w:rFonts w:cs="Arial"/>
          <w:sz w:val="20"/>
        </w:rPr>
        <w:t>(</w:t>
      </w:r>
      <w:r w:rsidRPr="00DF684F">
        <w:rPr>
          <w:rFonts w:cs="Arial"/>
          <w:b/>
          <w:sz w:val="20"/>
        </w:rPr>
        <w:t>R 336.1224, R 336.1702(a))</w:t>
      </w:r>
      <w:r w:rsidRPr="00DF684F">
        <w:rPr>
          <w:rFonts w:cs="Arial"/>
          <w:sz w:val="20"/>
        </w:rPr>
        <w:t xml:space="preserve">  </w:t>
      </w:r>
    </w:p>
    <w:p w14:paraId="6049D3A0" w14:textId="77777777" w:rsidR="00EF0176" w:rsidRPr="00DF684F" w:rsidRDefault="00EF0176" w:rsidP="00EF0176">
      <w:pPr>
        <w:pStyle w:val="ListParagraph"/>
        <w:tabs>
          <w:tab w:val="left" w:pos="540"/>
        </w:tabs>
        <w:ind w:left="0"/>
        <w:jc w:val="both"/>
        <w:rPr>
          <w:rFonts w:cs="Arial"/>
          <w:sz w:val="20"/>
        </w:rPr>
      </w:pPr>
    </w:p>
    <w:p w14:paraId="0B4889BA" w14:textId="0DB12EDD" w:rsidR="00EF0176" w:rsidRPr="00DF684F" w:rsidRDefault="00EF0176" w:rsidP="006255D5">
      <w:pPr>
        <w:pStyle w:val="ListParagraph"/>
        <w:numPr>
          <w:ilvl w:val="0"/>
          <w:numId w:val="31"/>
        </w:numPr>
        <w:tabs>
          <w:tab w:val="left" w:pos="540"/>
        </w:tabs>
        <w:ind w:left="360"/>
        <w:jc w:val="both"/>
        <w:rPr>
          <w:rFonts w:cs="Arial"/>
          <w:sz w:val="20"/>
        </w:rPr>
      </w:pPr>
      <w:r w:rsidRPr="00DF684F">
        <w:rPr>
          <w:rFonts w:cs="Arial"/>
          <w:spacing w:val="-2"/>
          <w:sz w:val="20"/>
        </w:rPr>
        <w:t>The permittee shall dispose of spent filters in a manner which minimizes the introduction of air contaminants to the outer air.</w:t>
      </w:r>
      <w:r w:rsidR="003515C6">
        <w:rPr>
          <w:rFonts w:cs="Arial"/>
          <w:sz w:val="20"/>
          <w:vertAlign w:val="superscript"/>
        </w:rPr>
        <w:t>2</w:t>
      </w:r>
      <w:r w:rsidR="003515C6" w:rsidRPr="00DF684F">
        <w:rPr>
          <w:rFonts w:cs="Arial"/>
          <w:spacing w:val="-2"/>
          <w:sz w:val="20"/>
        </w:rPr>
        <w:t xml:space="preserve"> </w:t>
      </w:r>
      <w:r w:rsidR="00943809">
        <w:rPr>
          <w:rFonts w:cs="Arial"/>
          <w:spacing w:val="-2"/>
          <w:sz w:val="20"/>
        </w:rPr>
        <w:t xml:space="preserve"> </w:t>
      </w:r>
      <w:r w:rsidR="003515C6" w:rsidRPr="00DF684F">
        <w:rPr>
          <w:rFonts w:cs="Arial"/>
          <w:spacing w:val="-2"/>
          <w:sz w:val="20"/>
        </w:rPr>
        <w:t>(</w:t>
      </w:r>
      <w:r w:rsidRPr="00DF684F">
        <w:rPr>
          <w:rFonts w:cs="Arial"/>
          <w:b/>
          <w:spacing w:val="-2"/>
          <w:sz w:val="20"/>
        </w:rPr>
        <w:t>R 336.1224, R 336.1370)</w:t>
      </w:r>
    </w:p>
    <w:p w14:paraId="78D86DEC" w14:textId="77777777" w:rsidR="00EF0176" w:rsidRPr="00DF684F" w:rsidRDefault="00EF0176" w:rsidP="00EF0176">
      <w:pPr>
        <w:pStyle w:val="ListParagraph"/>
        <w:tabs>
          <w:tab w:val="left" w:pos="540"/>
        </w:tabs>
        <w:ind w:left="0"/>
        <w:jc w:val="both"/>
        <w:rPr>
          <w:rFonts w:cs="Arial"/>
          <w:sz w:val="20"/>
        </w:rPr>
      </w:pPr>
    </w:p>
    <w:p w14:paraId="21FDF045" w14:textId="03D21486" w:rsidR="00EF0176" w:rsidRPr="00DF684F" w:rsidRDefault="00EF0176" w:rsidP="006255D5">
      <w:pPr>
        <w:pStyle w:val="ListParagraph"/>
        <w:numPr>
          <w:ilvl w:val="0"/>
          <w:numId w:val="31"/>
        </w:numPr>
        <w:tabs>
          <w:tab w:val="left" w:pos="540"/>
        </w:tabs>
        <w:ind w:left="360"/>
        <w:jc w:val="both"/>
        <w:rPr>
          <w:rFonts w:cs="Arial"/>
          <w:color w:val="000000"/>
          <w:sz w:val="20"/>
        </w:rPr>
      </w:pPr>
      <w:r w:rsidRPr="00DF684F">
        <w:rPr>
          <w:rFonts w:cs="Arial"/>
          <w:color w:val="000000"/>
          <w:sz w:val="20"/>
        </w:rPr>
        <w:t xml:space="preserve">The permittee shall handle all </w:t>
      </w:r>
      <w:r w:rsidRPr="00DF684F">
        <w:rPr>
          <w:rFonts w:cs="Arial"/>
          <w:sz w:val="20"/>
        </w:rPr>
        <w:t>VOC and</w:t>
      </w:r>
      <w:r>
        <w:rPr>
          <w:rFonts w:cs="Arial"/>
          <w:sz w:val="20"/>
        </w:rPr>
        <w:t>/</w:t>
      </w:r>
      <w:r w:rsidRPr="00DF684F">
        <w:rPr>
          <w:rFonts w:cs="Arial"/>
          <w:sz w:val="20"/>
        </w:rPr>
        <w:t xml:space="preserve">or HAP </w:t>
      </w:r>
      <w:r w:rsidRPr="00DF684F">
        <w:rPr>
          <w:rFonts w:cs="Arial"/>
          <w:color w:val="000000"/>
          <w:sz w:val="20"/>
        </w:rPr>
        <w:t xml:space="preserve">containing materials, including coatings, reducers, </w:t>
      </w:r>
      <w:r w:rsidR="00E627BB" w:rsidRPr="00DF684F">
        <w:rPr>
          <w:rFonts w:cs="Arial"/>
          <w:color w:val="000000"/>
          <w:sz w:val="20"/>
        </w:rPr>
        <w:t>solvents,</w:t>
      </w:r>
      <w:r w:rsidRPr="00DF684F">
        <w:rPr>
          <w:rFonts w:cs="Arial"/>
          <w:color w:val="000000"/>
          <w:sz w:val="20"/>
        </w:rPr>
        <w:t xml:space="preserve"> and thinners, in a manner to minimize the generation of fugitive emissions.  The permittee shall keep containers covered at all times except when operator access is necessary.</w:t>
      </w:r>
      <w:r>
        <w:rPr>
          <w:rFonts w:cs="Arial"/>
          <w:sz w:val="20"/>
          <w:vertAlign w:val="superscript"/>
        </w:rPr>
        <w:t>2</w:t>
      </w:r>
      <w:r w:rsidRPr="00DF684F">
        <w:rPr>
          <w:rFonts w:cs="Arial"/>
          <w:b/>
          <w:color w:val="000000"/>
          <w:sz w:val="20"/>
        </w:rPr>
        <w:t xml:space="preserve"> </w:t>
      </w:r>
      <w:r w:rsidR="00943809">
        <w:rPr>
          <w:rFonts w:cs="Arial"/>
          <w:b/>
          <w:color w:val="000000"/>
          <w:sz w:val="20"/>
        </w:rPr>
        <w:t xml:space="preserve"> </w:t>
      </w:r>
      <w:r>
        <w:rPr>
          <w:rFonts w:cs="Arial"/>
          <w:b/>
          <w:color w:val="000000"/>
          <w:sz w:val="20"/>
        </w:rPr>
        <w:t>(</w:t>
      </w:r>
      <w:r w:rsidRPr="00DF684F">
        <w:rPr>
          <w:rFonts w:cs="Arial"/>
          <w:b/>
          <w:color w:val="000000"/>
          <w:sz w:val="20"/>
        </w:rPr>
        <w:t>R 336.1224, R 336.1702(a))</w:t>
      </w:r>
    </w:p>
    <w:p w14:paraId="684EE069" w14:textId="77777777" w:rsidR="00AE1D84" w:rsidRPr="00984760" w:rsidRDefault="00AE1D84" w:rsidP="00EF0176">
      <w:pPr>
        <w:ind w:left="360"/>
        <w:jc w:val="both"/>
        <w:rPr>
          <w:sz w:val="20"/>
        </w:rPr>
      </w:pPr>
    </w:p>
    <w:p w14:paraId="295B1057" w14:textId="6333C6DF" w:rsidR="00943809" w:rsidRDefault="00943809">
      <w:pPr>
        <w:rPr>
          <w:b/>
        </w:rPr>
      </w:pPr>
      <w:r>
        <w:rPr>
          <w:b/>
        </w:rPr>
        <w:br w:type="page"/>
      </w:r>
    </w:p>
    <w:p w14:paraId="78C07F83" w14:textId="615F8AC2" w:rsidR="00AE1D84" w:rsidRPr="007D4237" w:rsidRDefault="00AE1D84" w:rsidP="00F62984">
      <w:pPr>
        <w:jc w:val="both"/>
        <w:rPr>
          <w:sz w:val="20"/>
        </w:rPr>
      </w:pPr>
      <w:r w:rsidRPr="00FB6071">
        <w:rPr>
          <w:b/>
        </w:rPr>
        <w:lastRenderedPageBreak/>
        <w:t xml:space="preserve">IV.  </w:t>
      </w:r>
      <w:r w:rsidRPr="00FB6071">
        <w:rPr>
          <w:b/>
          <w:u w:val="single"/>
        </w:rPr>
        <w:t>DESIGN</w:t>
      </w:r>
      <w:r>
        <w:rPr>
          <w:b/>
          <w:u w:val="single"/>
        </w:rPr>
        <w:t>/EQUIPMENT PARAMETER(S)</w:t>
      </w:r>
    </w:p>
    <w:p w14:paraId="0BE8B37D" w14:textId="77777777" w:rsidR="00AE1D84" w:rsidRPr="00573DEA" w:rsidRDefault="00AE1D84" w:rsidP="00F62984">
      <w:pPr>
        <w:jc w:val="both"/>
        <w:rPr>
          <w:sz w:val="20"/>
        </w:rPr>
      </w:pPr>
    </w:p>
    <w:p w14:paraId="1118417F" w14:textId="4F33FFA7" w:rsidR="00BA68A6" w:rsidRDefault="00BA68A6" w:rsidP="006255D5">
      <w:pPr>
        <w:pStyle w:val="ListParagraph"/>
        <w:numPr>
          <w:ilvl w:val="0"/>
          <w:numId w:val="26"/>
        </w:numPr>
        <w:ind w:left="360"/>
        <w:jc w:val="both"/>
        <w:rPr>
          <w:rFonts w:cs="Arial"/>
          <w:b/>
          <w:sz w:val="20"/>
        </w:rPr>
      </w:pPr>
      <w:r w:rsidRPr="00BA68A6">
        <w:rPr>
          <w:rFonts w:cs="Arial"/>
          <w:sz w:val="20"/>
        </w:rPr>
        <w:t xml:space="preserve">The permittee shall not operate EU-AUTOLINE2 unless all respective exhaust filters are installed, </w:t>
      </w:r>
      <w:r w:rsidR="0069517A" w:rsidRPr="00BA68A6">
        <w:rPr>
          <w:rFonts w:cs="Arial"/>
          <w:sz w:val="20"/>
        </w:rPr>
        <w:t>maintained,</w:t>
      </w:r>
      <w:r w:rsidRPr="00BA68A6">
        <w:rPr>
          <w:rFonts w:cs="Arial"/>
          <w:sz w:val="20"/>
        </w:rPr>
        <w:t xml:space="preserve"> and operated in a satisfactory manner.</w:t>
      </w:r>
      <w:r w:rsidR="004A71FF" w:rsidRPr="00BA68A6">
        <w:rPr>
          <w:rFonts w:cs="Arial"/>
          <w:sz w:val="20"/>
          <w:vertAlign w:val="superscript"/>
        </w:rPr>
        <w:t>2</w:t>
      </w:r>
      <w:r w:rsidR="004A71FF" w:rsidRPr="00BA68A6">
        <w:rPr>
          <w:rFonts w:cs="Arial"/>
          <w:sz w:val="20"/>
        </w:rPr>
        <w:t xml:space="preserve"> </w:t>
      </w:r>
      <w:r w:rsidR="00943809">
        <w:rPr>
          <w:rFonts w:cs="Arial"/>
          <w:sz w:val="20"/>
        </w:rPr>
        <w:t xml:space="preserve"> </w:t>
      </w:r>
      <w:r w:rsidR="004A71FF" w:rsidRPr="00BA68A6">
        <w:rPr>
          <w:rFonts w:cs="Arial"/>
          <w:sz w:val="20"/>
        </w:rPr>
        <w:t>(</w:t>
      </w:r>
      <w:r w:rsidRPr="00BA68A6">
        <w:rPr>
          <w:rFonts w:cs="Arial"/>
          <w:b/>
          <w:sz w:val="20"/>
        </w:rPr>
        <w:t>R 336.1224, R 336.1301, R 336.1910)</w:t>
      </w:r>
    </w:p>
    <w:p w14:paraId="7215C7D8" w14:textId="77777777" w:rsidR="00BA68A6" w:rsidRPr="00BA68A6" w:rsidRDefault="00BA68A6" w:rsidP="00BA68A6">
      <w:pPr>
        <w:pStyle w:val="ListParagraph"/>
        <w:ind w:left="360"/>
        <w:jc w:val="both"/>
        <w:rPr>
          <w:rFonts w:cs="Arial"/>
          <w:b/>
          <w:sz w:val="20"/>
        </w:rPr>
      </w:pPr>
    </w:p>
    <w:p w14:paraId="012171EE" w14:textId="01C93743" w:rsidR="00BA68A6" w:rsidRPr="00BA68A6" w:rsidRDefault="00BA68A6" w:rsidP="006255D5">
      <w:pPr>
        <w:pStyle w:val="ListParagraph"/>
        <w:numPr>
          <w:ilvl w:val="0"/>
          <w:numId w:val="26"/>
        </w:numPr>
        <w:tabs>
          <w:tab w:val="left" w:pos="540"/>
        </w:tabs>
        <w:ind w:left="360"/>
        <w:jc w:val="both"/>
        <w:rPr>
          <w:rFonts w:cs="Arial"/>
          <w:color w:val="000000"/>
          <w:spacing w:val="-2"/>
          <w:sz w:val="20"/>
        </w:rPr>
      </w:pPr>
      <w:r w:rsidRPr="00BA68A6">
        <w:rPr>
          <w:rFonts w:cs="Arial"/>
          <w:color w:val="000000"/>
          <w:spacing w:val="-2"/>
          <w:sz w:val="20"/>
        </w:rPr>
        <w:t xml:space="preserve">The permittee shall equip and maintain </w:t>
      </w:r>
      <w:r w:rsidRPr="00BA68A6">
        <w:rPr>
          <w:rFonts w:cs="Arial"/>
          <w:sz w:val="20"/>
        </w:rPr>
        <w:t>EU-AUTOLINE2</w:t>
      </w:r>
      <w:r w:rsidRPr="00BA68A6">
        <w:rPr>
          <w:rFonts w:cs="Arial"/>
          <w:color w:val="000000"/>
          <w:spacing w:val="-2"/>
          <w:sz w:val="20"/>
        </w:rPr>
        <w:t xml:space="preserve"> with </w:t>
      </w:r>
      <w:r w:rsidRPr="00BA68A6">
        <w:rPr>
          <w:rFonts w:cs="Arial"/>
          <w:sz w:val="20"/>
        </w:rPr>
        <w:t>robotic</w:t>
      </w:r>
      <w:r w:rsidRPr="00BA68A6">
        <w:rPr>
          <w:rFonts w:cs="Arial"/>
          <w:color w:val="000000"/>
          <w:spacing w:val="-2"/>
          <w:sz w:val="20"/>
        </w:rPr>
        <w:t xml:space="preserve"> air-assisted airless applicators or comparable technology with equivalent transfer efficiency.  For HVLP applicators, the permittee shall keep test </w:t>
      </w:r>
      <w:r w:rsidRPr="00BA68A6">
        <w:rPr>
          <w:rFonts w:cs="Arial"/>
          <w:spacing w:val="-2"/>
          <w:sz w:val="20"/>
        </w:rPr>
        <w:t>caps available for pressure testing.</w:t>
      </w:r>
      <w:r w:rsidR="004A71FF" w:rsidRPr="00BA68A6">
        <w:rPr>
          <w:rFonts w:cs="Arial"/>
          <w:sz w:val="20"/>
          <w:vertAlign w:val="superscript"/>
        </w:rPr>
        <w:t>2</w:t>
      </w:r>
      <w:r w:rsidR="004A71FF" w:rsidRPr="00BA68A6">
        <w:rPr>
          <w:rFonts w:cs="Arial"/>
          <w:b/>
          <w:spacing w:val="-2"/>
          <w:sz w:val="20"/>
        </w:rPr>
        <w:t xml:space="preserve"> </w:t>
      </w:r>
      <w:r w:rsidR="00943809">
        <w:rPr>
          <w:rFonts w:cs="Arial"/>
          <w:b/>
          <w:spacing w:val="-2"/>
          <w:sz w:val="20"/>
        </w:rPr>
        <w:t xml:space="preserve"> </w:t>
      </w:r>
      <w:r w:rsidR="004A71FF" w:rsidRPr="00BA68A6">
        <w:rPr>
          <w:rFonts w:cs="Arial"/>
          <w:b/>
          <w:spacing w:val="-2"/>
          <w:sz w:val="20"/>
        </w:rPr>
        <w:t>(</w:t>
      </w:r>
      <w:r w:rsidRPr="00BA68A6">
        <w:rPr>
          <w:rFonts w:cs="Arial"/>
          <w:b/>
          <w:sz w:val="20"/>
        </w:rPr>
        <w:t>R 336.1702(a))</w:t>
      </w:r>
    </w:p>
    <w:p w14:paraId="51CC6284" w14:textId="77777777" w:rsidR="00AE1D84" w:rsidRPr="00FE0AD0" w:rsidRDefault="00AE1D84" w:rsidP="00F62984">
      <w:pPr>
        <w:jc w:val="both"/>
        <w:rPr>
          <w:sz w:val="20"/>
        </w:rPr>
      </w:pPr>
    </w:p>
    <w:p w14:paraId="28EC4CE1" w14:textId="77777777" w:rsidR="00AE1D84" w:rsidRPr="007D4237" w:rsidRDefault="00AE1D84" w:rsidP="00F62984">
      <w:pPr>
        <w:jc w:val="both"/>
      </w:pPr>
      <w:r>
        <w:rPr>
          <w:b/>
        </w:rPr>
        <w:t xml:space="preserve">V.  </w:t>
      </w:r>
      <w:r>
        <w:rPr>
          <w:b/>
          <w:u w:val="single"/>
        </w:rPr>
        <w:t>TESTING/SAMPLING</w:t>
      </w:r>
    </w:p>
    <w:p w14:paraId="0C4E0EE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DAF866" w14:textId="77777777" w:rsidR="00AE1D84" w:rsidRPr="00FE0AD0" w:rsidRDefault="00AE1D84" w:rsidP="00F62984">
      <w:pPr>
        <w:jc w:val="both"/>
        <w:rPr>
          <w:sz w:val="20"/>
        </w:rPr>
      </w:pPr>
    </w:p>
    <w:p w14:paraId="766C8D01" w14:textId="385C5874" w:rsidR="002D3952" w:rsidRPr="00794966" w:rsidRDefault="002D3952" w:rsidP="006255D5">
      <w:pPr>
        <w:numPr>
          <w:ilvl w:val="0"/>
          <w:numId w:val="32"/>
        </w:numPr>
        <w:jc w:val="both"/>
        <w:rPr>
          <w:sz w:val="20"/>
        </w:rPr>
      </w:pPr>
      <w:r w:rsidRPr="00557446">
        <w:rPr>
          <w:rFonts w:cs="Arial"/>
          <w:color w:val="000000"/>
          <w:sz w:val="20"/>
        </w:rPr>
        <w:t xml:space="preserve">The permittee shall determine the VOC content, water content and density of any </w:t>
      </w:r>
      <w:r w:rsidRPr="003E74DB">
        <w:rPr>
          <w:rFonts w:cs="Arial"/>
          <w:color w:val="000000"/>
          <w:sz w:val="20"/>
        </w:rPr>
        <w:t>coating (</w:t>
      </w:r>
      <w:r>
        <w:rPr>
          <w:rFonts w:cs="Arial"/>
          <w:color w:val="000000"/>
          <w:sz w:val="20"/>
        </w:rPr>
        <w:t xml:space="preserve">sealers/primers </w:t>
      </w:r>
      <w:r>
        <w:rPr>
          <w:rFonts w:cs="Arial"/>
          <w:sz w:val="20"/>
        </w:rPr>
        <w:t>and topcoats)</w:t>
      </w:r>
      <w:r w:rsidRPr="00557446">
        <w:rPr>
          <w:rFonts w:cs="Arial"/>
          <w:sz w:val="20"/>
        </w:rPr>
        <w:t>,</w:t>
      </w:r>
      <w:r w:rsidRPr="00557446">
        <w:rPr>
          <w:rFonts w:cs="Arial"/>
          <w:color w:val="000000"/>
          <w:sz w:val="20"/>
        </w:rPr>
        <w:t xml:space="preserve"> as applied and as received, using federal Reference Test Method 24.  Upon prior written approval by the AQD District Supervisor, the permittee may determine the VOC content from manufacturer</w:t>
      </w:r>
      <w:r>
        <w:rPr>
          <w:rFonts w:cs="Arial"/>
          <w:color w:val="000000"/>
          <w:sz w:val="20"/>
        </w:rPr>
        <w:t>’</w:t>
      </w:r>
      <w:r w:rsidRPr="00557446">
        <w:rPr>
          <w:rFonts w:cs="Arial"/>
          <w:color w:val="000000"/>
          <w:sz w:val="20"/>
        </w:rPr>
        <w:t>s formulation data.  If the Method 24 and the formulation values should differ, the permittee shall use the Method 24 results to determine compliance.</w:t>
      </w:r>
      <w:r w:rsidR="004A71FF">
        <w:rPr>
          <w:rFonts w:cs="Arial"/>
          <w:sz w:val="20"/>
          <w:vertAlign w:val="superscript"/>
        </w:rPr>
        <w:t>2</w:t>
      </w:r>
      <w:r w:rsidR="004A71FF" w:rsidRPr="00557446">
        <w:rPr>
          <w:rFonts w:cs="Arial"/>
          <w:color w:val="000000"/>
          <w:sz w:val="20"/>
        </w:rPr>
        <w:t xml:space="preserve"> </w:t>
      </w:r>
      <w:r w:rsidR="00943809">
        <w:rPr>
          <w:rFonts w:cs="Arial"/>
          <w:color w:val="000000"/>
          <w:sz w:val="20"/>
        </w:rPr>
        <w:t xml:space="preserve"> </w:t>
      </w:r>
      <w:r w:rsidR="004A71FF" w:rsidRPr="00557446">
        <w:rPr>
          <w:rFonts w:cs="Arial"/>
          <w:color w:val="000000"/>
          <w:sz w:val="20"/>
        </w:rPr>
        <w:t>(</w:t>
      </w:r>
      <w:r w:rsidRPr="00EE0C88">
        <w:rPr>
          <w:rFonts w:cs="Arial"/>
          <w:b/>
          <w:spacing w:val="-2"/>
          <w:sz w:val="20"/>
        </w:rPr>
        <w:t xml:space="preserve">R 336.1702, </w:t>
      </w:r>
      <w:r w:rsidRPr="00EE0C88">
        <w:rPr>
          <w:rFonts w:cs="Arial"/>
          <w:b/>
          <w:sz w:val="20"/>
        </w:rPr>
        <w:t>R 336.2001, R 336.2003, R 336.2004, R 336.2040(5)</w:t>
      </w:r>
      <w:r w:rsidRPr="00557446">
        <w:rPr>
          <w:rFonts w:cs="Arial"/>
          <w:b/>
          <w:spacing w:val="-2"/>
          <w:sz w:val="20"/>
        </w:rPr>
        <w:t>)</w:t>
      </w:r>
    </w:p>
    <w:p w14:paraId="7AB8200E" w14:textId="7D884377" w:rsidR="00AE1D84" w:rsidRPr="00FE0AD0" w:rsidRDefault="005C640B" w:rsidP="00F62984">
      <w:pPr>
        <w:jc w:val="both"/>
        <w:rPr>
          <w:sz w:val="20"/>
        </w:rPr>
      </w:pPr>
      <w:r>
        <w:rPr>
          <w:b/>
          <w:sz w:val="20"/>
        </w:rPr>
        <w:t xml:space="preserve">  </w:t>
      </w:r>
    </w:p>
    <w:p w14:paraId="04B2BFBC" w14:textId="77777777" w:rsidR="00AE1D84" w:rsidRDefault="00AE1D84" w:rsidP="00F62984">
      <w:pPr>
        <w:jc w:val="both"/>
      </w:pPr>
      <w:r>
        <w:rPr>
          <w:b/>
        </w:rPr>
        <w:t xml:space="preserve">VI.  </w:t>
      </w:r>
      <w:r>
        <w:rPr>
          <w:b/>
          <w:u w:val="single"/>
        </w:rPr>
        <w:t>MONITORING/RECORDKEEPING</w:t>
      </w:r>
    </w:p>
    <w:p w14:paraId="5872528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D41C72" w14:textId="77777777" w:rsidR="00AE1D84" w:rsidRDefault="00AE1D84" w:rsidP="00F62984">
      <w:pPr>
        <w:jc w:val="both"/>
        <w:rPr>
          <w:sz w:val="20"/>
        </w:rPr>
      </w:pPr>
    </w:p>
    <w:p w14:paraId="6ABEB485" w14:textId="2BBE23D6" w:rsidR="00CD720F" w:rsidRPr="00CD720F" w:rsidRDefault="00CD720F" w:rsidP="006255D5">
      <w:pPr>
        <w:pStyle w:val="ListParagraph"/>
        <w:numPr>
          <w:ilvl w:val="0"/>
          <w:numId w:val="30"/>
        </w:numPr>
        <w:tabs>
          <w:tab w:val="left" w:pos="540"/>
        </w:tabs>
        <w:jc w:val="both"/>
        <w:rPr>
          <w:rFonts w:cs="Arial"/>
          <w:spacing w:val="-2"/>
          <w:sz w:val="20"/>
        </w:rPr>
      </w:pPr>
      <w:r w:rsidRPr="00CD720F">
        <w:rPr>
          <w:rFonts w:cs="Arial"/>
          <w:color w:val="000000"/>
          <w:sz w:val="20"/>
        </w:rPr>
        <w:t xml:space="preserve">The permittee shall complete all required calculations in a format acceptable to the AQD District Supervisor by the </w:t>
      </w:r>
      <w:r w:rsidRPr="00CD720F">
        <w:rPr>
          <w:rFonts w:cs="Arial"/>
          <w:sz w:val="20"/>
        </w:rPr>
        <w:t>15</w:t>
      </w:r>
      <w:r w:rsidRPr="00CD720F">
        <w:rPr>
          <w:rFonts w:cs="Arial"/>
          <w:sz w:val="20"/>
          <w:vertAlign w:val="superscript"/>
        </w:rPr>
        <w:t>th</w:t>
      </w:r>
      <w:r w:rsidRPr="00CD720F">
        <w:rPr>
          <w:rFonts w:cs="Arial"/>
          <w:sz w:val="20"/>
        </w:rPr>
        <w:t xml:space="preserve"> d</w:t>
      </w:r>
      <w:r w:rsidRPr="00CD720F">
        <w:rPr>
          <w:rFonts w:cs="Arial"/>
          <w:color w:val="000000"/>
          <w:sz w:val="20"/>
        </w:rPr>
        <w:t>ay of the calendar month, for the previous calendar month, unless otherwise specified in any monitoring/recordkeeping special condition.</w:t>
      </w:r>
      <w:r w:rsidR="004A71FF" w:rsidRPr="00CD720F">
        <w:rPr>
          <w:rFonts w:cs="Arial"/>
          <w:sz w:val="20"/>
          <w:vertAlign w:val="superscript"/>
        </w:rPr>
        <w:t>2</w:t>
      </w:r>
      <w:r w:rsidR="004A71FF" w:rsidRPr="00CD720F">
        <w:rPr>
          <w:rFonts w:cs="Arial"/>
          <w:color w:val="000000"/>
          <w:sz w:val="20"/>
        </w:rPr>
        <w:t xml:space="preserve"> </w:t>
      </w:r>
      <w:r w:rsidR="00943809">
        <w:rPr>
          <w:rFonts w:cs="Arial"/>
          <w:color w:val="000000"/>
          <w:sz w:val="20"/>
        </w:rPr>
        <w:t xml:space="preserve"> </w:t>
      </w:r>
      <w:r w:rsidR="004A71FF" w:rsidRPr="00CD720F">
        <w:rPr>
          <w:rFonts w:cs="Arial"/>
          <w:color w:val="000000"/>
          <w:sz w:val="20"/>
        </w:rPr>
        <w:t>(</w:t>
      </w:r>
      <w:r w:rsidRPr="00CD720F">
        <w:rPr>
          <w:rFonts w:cs="Arial"/>
          <w:b/>
          <w:spacing w:val="-2"/>
          <w:sz w:val="20"/>
        </w:rPr>
        <w:t>R 336.1225, R 336.1299, R 336.1702)</w:t>
      </w:r>
    </w:p>
    <w:p w14:paraId="312040FD" w14:textId="77777777" w:rsidR="00CD720F" w:rsidRPr="00CD720F" w:rsidRDefault="00CD720F" w:rsidP="00CD720F">
      <w:pPr>
        <w:pStyle w:val="ListParagraph"/>
        <w:ind w:left="360"/>
        <w:jc w:val="both"/>
        <w:rPr>
          <w:rFonts w:cs="Arial"/>
          <w:sz w:val="18"/>
          <w:szCs w:val="18"/>
        </w:rPr>
      </w:pPr>
    </w:p>
    <w:p w14:paraId="3D69E840" w14:textId="38718DC0" w:rsidR="00CD720F" w:rsidRPr="004B722B" w:rsidRDefault="00CD720F" w:rsidP="006255D5">
      <w:pPr>
        <w:pStyle w:val="ListParagraph"/>
        <w:numPr>
          <w:ilvl w:val="0"/>
          <w:numId w:val="30"/>
        </w:numPr>
        <w:jc w:val="both"/>
        <w:rPr>
          <w:rFonts w:cs="Arial"/>
          <w:sz w:val="20"/>
        </w:rPr>
      </w:pPr>
      <w:r w:rsidRPr="00CD720F">
        <w:rPr>
          <w:rFonts w:cs="Arial"/>
          <w:spacing w:val="-2"/>
          <w:sz w:val="20"/>
        </w:rPr>
        <w:t xml:space="preserve">The permittee shall maintain a current listing from the manufacturer of the chemical composition of each </w:t>
      </w:r>
      <w:r w:rsidRPr="00CD720F">
        <w:rPr>
          <w:rFonts w:cs="Arial"/>
          <w:color w:val="000000"/>
          <w:sz w:val="20"/>
        </w:rPr>
        <w:t>material</w:t>
      </w:r>
      <w:r w:rsidRPr="00CD720F">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4B722B" w:rsidRPr="00CD720F">
        <w:rPr>
          <w:rFonts w:cs="Arial"/>
          <w:sz w:val="20"/>
          <w:vertAlign w:val="superscript"/>
        </w:rPr>
        <w:t>2</w:t>
      </w:r>
      <w:r w:rsidR="004B722B" w:rsidRPr="00CD720F">
        <w:rPr>
          <w:rFonts w:cs="Arial"/>
          <w:spacing w:val="-2"/>
          <w:sz w:val="20"/>
        </w:rPr>
        <w:t xml:space="preserve"> </w:t>
      </w:r>
      <w:r w:rsidR="00943809">
        <w:rPr>
          <w:rFonts w:cs="Arial"/>
          <w:spacing w:val="-2"/>
          <w:sz w:val="20"/>
        </w:rPr>
        <w:t xml:space="preserve"> </w:t>
      </w:r>
      <w:r w:rsidR="004B722B" w:rsidRPr="00CD720F">
        <w:rPr>
          <w:rFonts w:cs="Arial"/>
          <w:spacing w:val="-2"/>
          <w:sz w:val="20"/>
        </w:rPr>
        <w:t>(</w:t>
      </w:r>
      <w:r w:rsidRPr="00CD720F">
        <w:rPr>
          <w:rFonts w:cs="Arial"/>
          <w:b/>
          <w:spacing w:val="-2"/>
          <w:sz w:val="20"/>
        </w:rPr>
        <w:t>R 336.1225, R 336.1299, R 336.1702)</w:t>
      </w:r>
      <w:r w:rsidRPr="00CD720F">
        <w:rPr>
          <w:rFonts w:cs="Arial"/>
          <w:spacing w:val="-2"/>
          <w:sz w:val="20"/>
        </w:rPr>
        <w:t xml:space="preserve">  </w:t>
      </w:r>
    </w:p>
    <w:p w14:paraId="0872C267" w14:textId="77777777" w:rsidR="004B722B" w:rsidRPr="00CD720F" w:rsidRDefault="004B722B" w:rsidP="004B722B">
      <w:pPr>
        <w:pStyle w:val="ListParagraph"/>
        <w:ind w:left="360"/>
        <w:jc w:val="both"/>
        <w:rPr>
          <w:rFonts w:cs="Arial"/>
          <w:sz w:val="20"/>
        </w:rPr>
      </w:pPr>
    </w:p>
    <w:p w14:paraId="482470C0" w14:textId="4A5E7C28" w:rsidR="00CD720F" w:rsidRPr="00CD720F" w:rsidRDefault="00CD720F" w:rsidP="006255D5">
      <w:pPr>
        <w:pStyle w:val="ListParagraph"/>
        <w:numPr>
          <w:ilvl w:val="0"/>
          <w:numId w:val="30"/>
        </w:numPr>
        <w:tabs>
          <w:tab w:val="left" w:pos="540"/>
        </w:tabs>
        <w:jc w:val="both"/>
        <w:rPr>
          <w:rFonts w:cs="Arial"/>
          <w:spacing w:val="-2"/>
          <w:sz w:val="18"/>
          <w:szCs w:val="18"/>
        </w:rPr>
      </w:pPr>
      <w:r w:rsidRPr="00CD720F">
        <w:rPr>
          <w:rFonts w:cs="Arial"/>
          <w:spacing w:val="-2"/>
          <w:sz w:val="20"/>
        </w:rPr>
        <w:t xml:space="preserve">The permittee shall keep the following information on a monthly basis for </w:t>
      </w:r>
      <w:r w:rsidRPr="00CD720F">
        <w:rPr>
          <w:rFonts w:cs="Arial"/>
          <w:sz w:val="20"/>
        </w:rPr>
        <w:t>EU-AUTOLINE2</w:t>
      </w:r>
      <w:r w:rsidRPr="00CD720F">
        <w:rPr>
          <w:rFonts w:cs="Arial"/>
          <w:spacing w:val="-2"/>
          <w:sz w:val="20"/>
        </w:rPr>
        <w:t xml:space="preserve">: </w:t>
      </w:r>
    </w:p>
    <w:p w14:paraId="390653F0" w14:textId="6C8F6FA1" w:rsidR="00CD720F" w:rsidRPr="00CD720F" w:rsidRDefault="00CD720F" w:rsidP="006255D5">
      <w:pPr>
        <w:pStyle w:val="ListParagraph"/>
        <w:numPr>
          <w:ilvl w:val="1"/>
          <w:numId w:val="30"/>
        </w:numPr>
        <w:ind w:left="720"/>
        <w:jc w:val="both"/>
        <w:rPr>
          <w:rFonts w:cs="Arial"/>
          <w:sz w:val="20"/>
        </w:rPr>
      </w:pPr>
      <w:r w:rsidRPr="00CD720F">
        <w:rPr>
          <w:rFonts w:cs="Arial"/>
          <w:sz w:val="20"/>
        </w:rPr>
        <w:t>Gallons (with water) of each coating (sealers/primers and topcoats), thinner, reducer, and purge and clean-up solvent (material) used and reclaimed.</w:t>
      </w:r>
    </w:p>
    <w:p w14:paraId="42CEDE07" w14:textId="7759C82E" w:rsidR="00CD720F" w:rsidRPr="00CD720F" w:rsidRDefault="00CD720F" w:rsidP="006255D5">
      <w:pPr>
        <w:pStyle w:val="ListParagraph"/>
        <w:numPr>
          <w:ilvl w:val="1"/>
          <w:numId w:val="30"/>
        </w:numPr>
        <w:ind w:left="720"/>
        <w:jc w:val="both"/>
        <w:rPr>
          <w:rFonts w:cs="Arial"/>
          <w:sz w:val="20"/>
        </w:rPr>
      </w:pPr>
      <w:r w:rsidRPr="00CD720F">
        <w:rPr>
          <w:rFonts w:cs="Arial"/>
          <w:sz w:val="20"/>
        </w:rPr>
        <w:t xml:space="preserve">VOC content (minus water and with water) and acetone content (with water) of each material as applied. </w:t>
      </w:r>
    </w:p>
    <w:p w14:paraId="15288318" w14:textId="0456F7C7" w:rsidR="00CD720F" w:rsidRPr="00CD720F" w:rsidRDefault="00CD720F" w:rsidP="006255D5">
      <w:pPr>
        <w:pStyle w:val="ListParagraph"/>
        <w:numPr>
          <w:ilvl w:val="1"/>
          <w:numId w:val="30"/>
        </w:numPr>
        <w:ind w:left="720"/>
        <w:jc w:val="both"/>
        <w:rPr>
          <w:rFonts w:cs="Arial"/>
          <w:sz w:val="20"/>
        </w:rPr>
      </w:pPr>
      <w:r w:rsidRPr="00CD720F">
        <w:rPr>
          <w:rFonts w:cs="Arial"/>
          <w:sz w:val="20"/>
        </w:rPr>
        <w:t xml:space="preserve">VOC and acetone mass emission calculations determining the monthly emission rate in tons per calendar month. </w:t>
      </w:r>
    </w:p>
    <w:p w14:paraId="4E39ED4F" w14:textId="49C60E14" w:rsidR="00CD720F" w:rsidRPr="00CD720F" w:rsidRDefault="00CD720F" w:rsidP="006255D5">
      <w:pPr>
        <w:pStyle w:val="ListParagraph"/>
        <w:numPr>
          <w:ilvl w:val="1"/>
          <w:numId w:val="30"/>
        </w:numPr>
        <w:ind w:left="720"/>
        <w:jc w:val="both"/>
        <w:rPr>
          <w:rFonts w:cs="Arial"/>
          <w:sz w:val="20"/>
        </w:rPr>
      </w:pPr>
      <w:r w:rsidRPr="00CD720F">
        <w:rPr>
          <w:rFonts w:cs="Arial"/>
          <w:sz w:val="20"/>
        </w:rPr>
        <w:t xml:space="preserve">VOC and acetone mass emission calculations determining the annual emission rate in tons per </w:t>
      </w:r>
      <w:r w:rsidRPr="00CD720F">
        <w:rPr>
          <w:rFonts w:cs="Arial"/>
          <w:sz w:val="20"/>
        </w:rPr>
        <w:br/>
        <w:t>12-month rolling time period as determined at the end of each calendar month.</w:t>
      </w:r>
    </w:p>
    <w:p w14:paraId="1F51D561" w14:textId="77777777" w:rsidR="00CD720F" w:rsidRPr="00CD720F" w:rsidRDefault="00CD720F" w:rsidP="00243FE2">
      <w:pPr>
        <w:pStyle w:val="ListParagraph"/>
        <w:ind w:left="1440"/>
        <w:jc w:val="both"/>
        <w:rPr>
          <w:rFonts w:cs="Arial"/>
          <w:sz w:val="18"/>
          <w:szCs w:val="18"/>
        </w:rPr>
      </w:pPr>
    </w:p>
    <w:p w14:paraId="2173B060" w14:textId="77777777" w:rsidR="00CD720F" w:rsidRPr="00CD720F" w:rsidRDefault="00CD720F" w:rsidP="00CD720F">
      <w:pPr>
        <w:pStyle w:val="ListParagraph"/>
        <w:ind w:left="360"/>
        <w:jc w:val="both"/>
        <w:rPr>
          <w:rFonts w:cs="Arial"/>
          <w:spacing w:val="-2"/>
          <w:sz w:val="20"/>
        </w:rPr>
      </w:pPr>
      <w:r w:rsidRPr="00CD720F">
        <w:rPr>
          <w:rFonts w:cs="Arial"/>
          <w:spacing w:val="-2"/>
          <w:sz w:val="20"/>
        </w:rPr>
        <w:t>The permittee shall keep the records in a format acceptable to the AQD District Supervisor.  The permittee shall keep all records on file and make them available to the Department upon request.</w:t>
      </w:r>
      <w:r w:rsidRPr="00CD720F">
        <w:rPr>
          <w:rFonts w:cs="Arial"/>
          <w:sz w:val="20"/>
          <w:vertAlign w:val="superscript"/>
        </w:rPr>
        <w:t>2</w:t>
      </w:r>
      <w:r w:rsidRPr="00CD720F">
        <w:rPr>
          <w:rFonts w:cs="Arial"/>
          <w:spacing w:val="-2"/>
          <w:sz w:val="20"/>
        </w:rPr>
        <w:t xml:space="preserve">  </w:t>
      </w:r>
      <w:r w:rsidRPr="00CD720F">
        <w:rPr>
          <w:rFonts w:cs="Arial"/>
          <w:b/>
          <w:spacing w:val="-2"/>
          <w:sz w:val="20"/>
        </w:rPr>
        <w:t>(R 336.1224, R 336.1299, R 336.1702)</w:t>
      </w:r>
      <w:r w:rsidRPr="00CD720F">
        <w:rPr>
          <w:rFonts w:cs="Arial"/>
          <w:spacing w:val="-2"/>
          <w:sz w:val="20"/>
        </w:rPr>
        <w:t xml:space="preserve">  </w:t>
      </w:r>
    </w:p>
    <w:p w14:paraId="48540560" w14:textId="77777777" w:rsidR="00AE1D84" w:rsidRPr="00FE21BB" w:rsidRDefault="00AE1D84" w:rsidP="00CD720F">
      <w:pPr>
        <w:pStyle w:val="ListParagraph"/>
        <w:ind w:left="360"/>
        <w:jc w:val="both"/>
        <w:rPr>
          <w:sz w:val="20"/>
        </w:rPr>
      </w:pPr>
    </w:p>
    <w:p w14:paraId="15200E05" w14:textId="77777777" w:rsidR="00AE1D84" w:rsidRPr="007D4237" w:rsidRDefault="00AE1D84" w:rsidP="00F62984">
      <w:pPr>
        <w:jc w:val="both"/>
        <w:rPr>
          <w:sz w:val="20"/>
        </w:rPr>
      </w:pPr>
      <w:r>
        <w:rPr>
          <w:b/>
        </w:rPr>
        <w:t xml:space="preserve">VII.  </w:t>
      </w:r>
      <w:r>
        <w:rPr>
          <w:b/>
          <w:u w:val="single"/>
        </w:rPr>
        <w:t>REPORTING</w:t>
      </w:r>
    </w:p>
    <w:p w14:paraId="09C69B81" w14:textId="77777777" w:rsidR="00AE1D84" w:rsidRPr="00047D6A" w:rsidRDefault="00AE1D84" w:rsidP="00F62984">
      <w:pPr>
        <w:jc w:val="both"/>
        <w:rPr>
          <w:sz w:val="20"/>
        </w:rPr>
      </w:pPr>
    </w:p>
    <w:p w14:paraId="2348547E"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8DE3B32" w14:textId="77777777" w:rsidR="00AE1D84" w:rsidRPr="00243FE2" w:rsidRDefault="00AE1D84" w:rsidP="00F62984">
      <w:pPr>
        <w:ind w:left="360" w:hanging="360"/>
        <w:jc w:val="both"/>
        <w:rPr>
          <w:sz w:val="18"/>
          <w:szCs w:val="18"/>
        </w:rPr>
      </w:pPr>
    </w:p>
    <w:p w14:paraId="7091A356"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E340099" w14:textId="77777777" w:rsidR="00AE1D84" w:rsidRPr="00243FE2" w:rsidRDefault="00AE1D84" w:rsidP="00F62984">
      <w:pPr>
        <w:ind w:left="360" w:hanging="360"/>
        <w:jc w:val="both"/>
        <w:rPr>
          <w:sz w:val="18"/>
          <w:szCs w:val="18"/>
        </w:rPr>
      </w:pPr>
    </w:p>
    <w:p w14:paraId="0E9825E0" w14:textId="513367EC" w:rsidR="00AE1D84" w:rsidRPr="00863620" w:rsidRDefault="00AE1D84" w:rsidP="0086362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DF1AC8E" w14:textId="77777777" w:rsidR="00AE1D84" w:rsidRPr="00243FE2" w:rsidRDefault="00AE1D84" w:rsidP="00F62984">
      <w:pPr>
        <w:jc w:val="both"/>
        <w:rPr>
          <w:rFonts w:cs="Arial"/>
          <w:sz w:val="18"/>
          <w:szCs w:val="18"/>
        </w:rPr>
      </w:pPr>
    </w:p>
    <w:p w14:paraId="3B75CDE7" w14:textId="77777777" w:rsidR="00AE1D84" w:rsidRPr="007D4237" w:rsidRDefault="00AE1D84" w:rsidP="00F62984">
      <w:pPr>
        <w:jc w:val="both"/>
        <w:rPr>
          <w:rFonts w:cs="Arial"/>
          <w:sz w:val="20"/>
        </w:rPr>
      </w:pPr>
      <w:r w:rsidRPr="00FE0AD0">
        <w:rPr>
          <w:rFonts w:cs="Arial"/>
          <w:b/>
          <w:sz w:val="20"/>
        </w:rPr>
        <w:t>See Appendix 8</w:t>
      </w:r>
    </w:p>
    <w:p w14:paraId="23B4FF75" w14:textId="77777777" w:rsidR="00AE1D84" w:rsidRDefault="00AE1D84" w:rsidP="00F62984">
      <w:pPr>
        <w:jc w:val="both"/>
      </w:pPr>
      <w:r>
        <w:rPr>
          <w:b/>
        </w:rPr>
        <w:lastRenderedPageBreak/>
        <w:t xml:space="preserve">VIII.  </w:t>
      </w:r>
      <w:r>
        <w:rPr>
          <w:b/>
          <w:u w:val="single"/>
        </w:rPr>
        <w:t>STACK/VENT RESTRICTION(S)</w:t>
      </w:r>
    </w:p>
    <w:p w14:paraId="71B8FDB3" w14:textId="77777777" w:rsidR="00AE1D84" w:rsidRDefault="00AE1D84" w:rsidP="00F62984">
      <w:pPr>
        <w:jc w:val="both"/>
        <w:rPr>
          <w:sz w:val="20"/>
        </w:rPr>
      </w:pPr>
    </w:p>
    <w:p w14:paraId="60E99FD5"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7DA5861E" w14:textId="77777777" w:rsidR="00AE1D84" w:rsidRDefault="00AE1D84" w:rsidP="00F62984">
      <w:pPr>
        <w:jc w:val="both"/>
        <w:rPr>
          <w:sz w:val="20"/>
        </w:rPr>
      </w:pPr>
    </w:p>
    <w:tbl>
      <w:tblPr>
        <w:tblW w:w="10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2610"/>
        <w:gridCol w:w="2430"/>
        <w:gridCol w:w="3060"/>
      </w:tblGrid>
      <w:tr w:rsidR="00AE1D84" w14:paraId="2CA33DF8" w14:textId="77777777" w:rsidTr="00863620">
        <w:trPr>
          <w:cantSplit/>
          <w:tblHeader/>
        </w:trPr>
        <w:tc>
          <w:tcPr>
            <w:tcW w:w="2407" w:type="dxa"/>
            <w:tcBorders>
              <w:bottom w:val="single" w:sz="4" w:space="0" w:color="auto"/>
            </w:tcBorders>
          </w:tcPr>
          <w:p w14:paraId="521721A3"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5C72440D"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6A99EC2"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43C51DD" w14:textId="77777777" w:rsidR="00AE1D84" w:rsidRPr="00BD3DE3" w:rsidRDefault="00AE1D84" w:rsidP="00F62984">
            <w:pPr>
              <w:jc w:val="center"/>
              <w:rPr>
                <w:b/>
                <w:sz w:val="20"/>
              </w:rPr>
            </w:pPr>
            <w:r w:rsidRPr="00BD3DE3">
              <w:rPr>
                <w:b/>
                <w:sz w:val="20"/>
              </w:rPr>
              <w:t>M</w:t>
            </w:r>
            <w:r>
              <w:rPr>
                <w:b/>
                <w:sz w:val="20"/>
              </w:rPr>
              <w:t>inimum Height Above Ground</w:t>
            </w:r>
          </w:p>
          <w:p w14:paraId="291D7FE0" w14:textId="77777777" w:rsidR="00AE1D84" w:rsidRPr="00BD3DE3" w:rsidRDefault="00AE1D84" w:rsidP="00F62984">
            <w:pPr>
              <w:jc w:val="center"/>
              <w:rPr>
                <w:b/>
                <w:sz w:val="20"/>
              </w:rPr>
            </w:pPr>
            <w:r w:rsidRPr="00BD3DE3">
              <w:rPr>
                <w:b/>
                <w:sz w:val="20"/>
              </w:rPr>
              <w:t>(feet)</w:t>
            </w:r>
          </w:p>
        </w:tc>
        <w:tc>
          <w:tcPr>
            <w:tcW w:w="3060" w:type="dxa"/>
            <w:tcBorders>
              <w:bottom w:val="single" w:sz="4" w:space="0" w:color="auto"/>
            </w:tcBorders>
          </w:tcPr>
          <w:p w14:paraId="6BBF8020" w14:textId="77777777" w:rsidR="00AE1D84" w:rsidRPr="00BD3DE3" w:rsidRDefault="00AE1D84" w:rsidP="00AB71EF">
            <w:pPr>
              <w:jc w:val="center"/>
              <w:rPr>
                <w:b/>
                <w:sz w:val="20"/>
              </w:rPr>
            </w:pPr>
            <w:r w:rsidRPr="00BD3DE3">
              <w:rPr>
                <w:b/>
                <w:sz w:val="20"/>
              </w:rPr>
              <w:t>Underlying Applicable Requirements</w:t>
            </w:r>
          </w:p>
        </w:tc>
      </w:tr>
      <w:tr w:rsidR="009A2DCB" w:rsidRPr="00ED2485" w14:paraId="50D1CC42" w14:textId="77777777" w:rsidTr="00863620">
        <w:trPr>
          <w:cantSplit/>
        </w:trPr>
        <w:tc>
          <w:tcPr>
            <w:tcW w:w="2407" w:type="dxa"/>
            <w:tcBorders>
              <w:top w:val="single" w:sz="4" w:space="0" w:color="auto"/>
            </w:tcBorders>
          </w:tcPr>
          <w:p w14:paraId="12BC1D23" w14:textId="5CB49AB6" w:rsidR="009A2DCB" w:rsidRDefault="009A2DCB" w:rsidP="0051588B">
            <w:pPr>
              <w:rPr>
                <w:sz w:val="20"/>
              </w:rPr>
            </w:pPr>
            <w:r>
              <w:rPr>
                <w:sz w:val="20"/>
              </w:rPr>
              <w:t xml:space="preserve">1. </w:t>
            </w:r>
            <w:r w:rsidR="00914283">
              <w:rPr>
                <w:sz w:val="20"/>
              </w:rPr>
              <w:t xml:space="preserve"> </w:t>
            </w:r>
            <w:r>
              <w:rPr>
                <w:sz w:val="20"/>
              </w:rPr>
              <w:t>SV-AUTOBOOTH</w:t>
            </w:r>
          </w:p>
        </w:tc>
        <w:tc>
          <w:tcPr>
            <w:tcW w:w="2610" w:type="dxa"/>
            <w:tcBorders>
              <w:top w:val="single" w:sz="4" w:space="0" w:color="auto"/>
            </w:tcBorders>
          </w:tcPr>
          <w:p w14:paraId="55B67199" w14:textId="77777777" w:rsidR="009A2DCB" w:rsidRPr="00A52A7A" w:rsidRDefault="009A2DCB" w:rsidP="0051588B">
            <w:pPr>
              <w:jc w:val="center"/>
              <w:rPr>
                <w:sz w:val="20"/>
              </w:rPr>
            </w:pPr>
            <w:r>
              <w:rPr>
                <w:sz w:val="20"/>
              </w:rPr>
              <w:t>17.5 x 24</w:t>
            </w:r>
            <w:r w:rsidRPr="00975A63">
              <w:rPr>
                <w:sz w:val="20"/>
                <w:vertAlign w:val="superscript"/>
              </w:rPr>
              <w:t>2</w:t>
            </w:r>
          </w:p>
          <w:p w14:paraId="5330E907" w14:textId="77777777" w:rsidR="009A2DCB" w:rsidRDefault="009A2DCB" w:rsidP="0051588B">
            <w:pPr>
              <w:jc w:val="center"/>
              <w:rPr>
                <w:sz w:val="20"/>
              </w:rPr>
            </w:pPr>
          </w:p>
        </w:tc>
        <w:tc>
          <w:tcPr>
            <w:tcW w:w="2430" w:type="dxa"/>
            <w:tcBorders>
              <w:top w:val="single" w:sz="4" w:space="0" w:color="auto"/>
            </w:tcBorders>
          </w:tcPr>
          <w:p w14:paraId="16688158" w14:textId="77777777" w:rsidR="009A2DCB" w:rsidRPr="00A52A7A" w:rsidRDefault="009A2DCB" w:rsidP="0051588B">
            <w:pPr>
              <w:jc w:val="center"/>
              <w:rPr>
                <w:sz w:val="20"/>
              </w:rPr>
            </w:pPr>
            <w:r>
              <w:rPr>
                <w:sz w:val="20"/>
              </w:rPr>
              <w:t>40</w:t>
            </w:r>
            <w:r w:rsidRPr="00975A63">
              <w:rPr>
                <w:sz w:val="20"/>
                <w:vertAlign w:val="superscript"/>
              </w:rPr>
              <w:t>2</w:t>
            </w:r>
          </w:p>
          <w:p w14:paraId="4236D19A" w14:textId="77777777" w:rsidR="009A2DCB" w:rsidRDefault="009A2DCB" w:rsidP="0051588B">
            <w:pPr>
              <w:jc w:val="center"/>
              <w:rPr>
                <w:sz w:val="20"/>
              </w:rPr>
            </w:pPr>
          </w:p>
        </w:tc>
        <w:tc>
          <w:tcPr>
            <w:tcW w:w="3060" w:type="dxa"/>
            <w:tcBorders>
              <w:top w:val="single" w:sz="4" w:space="0" w:color="auto"/>
            </w:tcBorders>
          </w:tcPr>
          <w:p w14:paraId="4C13E978" w14:textId="1C80DA96" w:rsidR="009A2DCB" w:rsidRPr="00ED2485" w:rsidRDefault="009A2DCB" w:rsidP="0051588B">
            <w:pPr>
              <w:jc w:val="center"/>
              <w:rPr>
                <w:rFonts w:cs="Arial"/>
                <w:b/>
                <w:sz w:val="20"/>
              </w:rPr>
            </w:pPr>
            <w:r w:rsidRPr="00ED2485">
              <w:rPr>
                <w:rFonts w:cs="Arial"/>
                <w:b/>
                <w:sz w:val="20"/>
              </w:rPr>
              <w:t>R 336.1225</w:t>
            </w:r>
          </w:p>
          <w:p w14:paraId="32F08958" w14:textId="77777777" w:rsidR="009A2DCB" w:rsidRPr="00ED2485" w:rsidRDefault="009A2DCB" w:rsidP="0051588B">
            <w:pPr>
              <w:jc w:val="center"/>
              <w:rPr>
                <w:b/>
                <w:color w:val="000000"/>
                <w:sz w:val="20"/>
              </w:rPr>
            </w:pPr>
            <w:r w:rsidRPr="00ED2485">
              <w:rPr>
                <w:rFonts w:cs="Arial"/>
                <w:b/>
                <w:sz w:val="20"/>
              </w:rPr>
              <w:t>40 CFR 52.21(c) &amp; (d)</w:t>
            </w:r>
          </w:p>
        </w:tc>
      </w:tr>
      <w:tr w:rsidR="009A2DCB" w:rsidRPr="00ED2485" w14:paraId="031CF77C" w14:textId="77777777" w:rsidTr="00863620">
        <w:trPr>
          <w:cantSplit/>
        </w:trPr>
        <w:tc>
          <w:tcPr>
            <w:tcW w:w="2407" w:type="dxa"/>
            <w:tcBorders>
              <w:top w:val="single" w:sz="4" w:space="0" w:color="auto"/>
            </w:tcBorders>
          </w:tcPr>
          <w:p w14:paraId="1B95F145" w14:textId="17A02BCF" w:rsidR="009A2DCB" w:rsidRDefault="009A2DCB" w:rsidP="0051588B">
            <w:pPr>
              <w:rPr>
                <w:sz w:val="20"/>
              </w:rPr>
            </w:pPr>
            <w:r>
              <w:rPr>
                <w:sz w:val="20"/>
              </w:rPr>
              <w:t xml:space="preserve">2. </w:t>
            </w:r>
            <w:r w:rsidR="00914283">
              <w:rPr>
                <w:sz w:val="20"/>
              </w:rPr>
              <w:t xml:space="preserve"> </w:t>
            </w:r>
            <w:r>
              <w:rPr>
                <w:sz w:val="20"/>
              </w:rPr>
              <w:t>SV-AUTOOVEN1</w:t>
            </w:r>
          </w:p>
        </w:tc>
        <w:tc>
          <w:tcPr>
            <w:tcW w:w="2610" w:type="dxa"/>
            <w:tcBorders>
              <w:top w:val="single" w:sz="4" w:space="0" w:color="auto"/>
            </w:tcBorders>
          </w:tcPr>
          <w:p w14:paraId="6255B01E" w14:textId="77777777" w:rsidR="009A2DCB" w:rsidRPr="00A52A7A" w:rsidRDefault="009A2DCB" w:rsidP="0051588B">
            <w:pPr>
              <w:jc w:val="center"/>
              <w:rPr>
                <w:sz w:val="20"/>
              </w:rPr>
            </w:pPr>
            <w:r>
              <w:rPr>
                <w:sz w:val="20"/>
              </w:rPr>
              <w:t>23.5 x 36</w:t>
            </w:r>
            <w:r w:rsidRPr="00975A63">
              <w:rPr>
                <w:sz w:val="20"/>
                <w:vertAlign w:val="superscript"/>
              </w:rPr>
              <w:t>2</w:t>
            </w:r>
          </w:p>
          <w:p w14:paraId="0C5256C1" w14:textId="77777777" w:rsidR="009A2DCB" w:rsidRDefault="009A2DCB" w:rsidP="0051588B">
            <w:pPr>
              <w:jc w:val="center"/>
              <w:rPr>
                <w:sz w:val="20"/>
              </w:rPr>
            </w:pPr>
          </w:p>
        </w:tc>
        <w:tc>
          <w:tcPr>
            <w:tcW w:w="2430" w:type="dxa"/>
            <w:tcBorders>
              <w:top w:val="single" w:sz="4" w:space="0" w:color="auto"/>
            </w:tcBorders>
          </w:tcPr>
          <w:p w14:paraId="4DD6D426" w14:textId="77777777" w:rsidR="009A2DCB" w:rsidRPr="00A52A7A" w:rsidRDefault="009A2DCB" w:rsidP="0051588B">
            <w:pPr>
              <w:jc w:val="center"/>
              <w:rPr>
                <w:sz w:val="20"/>
              </w:rPr>
            </w:pPr>
            <w:r>
              <w:rPr>
                <w:sz w:val="20"/>
              </w:rPr>
              <w:t>40</w:t>
            </w:r>
            <w:r w:rsidRPr="00975A63">
              <w:rPr>
                <w:sz w:val="20"/>
                <w:vertAlign w:val="superscript"/>
              </w:rPr>
              <w:t>2</w:t>
            </w:r>
          </w:p>
          <w:p w14:paraId="45958BD3" w14:textId="77777777" w:rsidR="009A2DCB" w:rsidRDefault="009A2DCB" w:rsidP="0051588B">
            <w:pPr>
              <w:jc w:val="center"/>
              <w:rPr>
                <w:sz w:val="20"/>
              </w:rPr>
            </w:pPr>
          </w:p>
        </w:tc>
        <w:tc>
          <w:tcPr>
            <w:tcW w:w="3060" w:type="dxa"/>
            <w:tcBorders>
              <w:top w:val="single" w:sz="4" w:space="0" w:color="auto"/>
            </w:tcBorders>
          </w:tcPr>
          <w:p w14:paraId="1521E536" w14:textId="164E6777" w:rsidR="009A2DCB" w:rsidRPr="00ED2485" w:rsidRDefault="009A2DCB" w:rsidP="0051588B">
            <w:pPr>
              <w:jc w:val="center"/>
              <w:rPr>
                <w:rFonts w:cs="Arial"/>
                <w:b/>
                <w:sz w:val="20"/>
              </w:rPr>
            </w:pPr>
            <w:r w:rsidRPr="00ED2485">
              <w:rPr>
                <w:rFonts w:cs="Arial"/>
                <w:b/>
                <w:sz w:val="20"/>
              </w:rPr>
              <w:t>R 336.1225</w:t>
            </w:r>
          </w:p>
          <w:p w14:paraId="50630E00" w14:textId="77777777" w:rsidR="009A2DCB" w:rsidRPr="00ED2485" w:rsidRDefault="009A2DCB" w:rsidP="0051588B">
            <w:pPr>
              <w:jc w:val="center"/>
              <w:rPr>
                <w:b/>
                <w:color w:val="000000"/>
                <w:sz w:val="20"/>
              </w:rPr>
            </w:pPr>
            <w:r w:rsidRPr="00ED2485">
              <w:rPr>
                <w:rFonts w:cs="Arial"/>
                <w:b/>
                <w:sz w:val="20"/>
              </w:rPr>
              <w:t>40 CFR 52.21(c) &amp; (d)</w:t>
            </w:r>
          </w:p>
        </w:tc>
      </w:tr>
      <w:tr w:rsidR="009A2DCB" w:rsidRPr="00ED2485" w14:paraId="7476B53E" w14:textId="77777777" w:rsidTr="00863620">
        <w:trPr>
          <w:cantSplit/>
        </w:trPr>
        <w:tc>
          <w:tcPr>
            <w:tcW w:w="2407" w:type="dxa"/>
            <w:tcBorders>
              <w:top w:val="single" w:sz="4" w:space="0" w:color="auto"/>
            </w:tcBorders>
          </w:tcPr>
          <w:p w14:paraId="094F0F97" w14:textId="76BD690E" w:rsidR="009A2DCB" w:rsidRDefault="009A2DCB" w:rsidP="0051588B">
            <w:pPr>
              <w:rPr>
                <w:sz w:val="20"/>
              </w:rPr>
            </w:pPr>
            <w:r>
              <w:rPr>
                <w:sz w:val="20"/>
              </w:rPr>
              <w:t>3.</w:t>
            </w:r>
            <w:r w:rsidR="00914283">
              <w:rPr>
                <w:sz w:val="20"/>
              </w:rPr>
              <w:t xml:space="preserve"> </w:t>
            </w:r>
            <w:r>
              <w:rPr>
                <w:sz w:val="20"/>
              </w:rPr>
              <w:t xml:space="preserve"> SV-AUTOOVEN2</w:t>
            </w:r>
          </w:p>
        </w:tc>
        <w:tc>
          <w:tcPr>
            <w:tcW w:w="2610" w:type="dxa"/>
            <w:tcBorders>
              <w:top w:val="single" w:sz="4" w:space="0" w:color="auto"/>
            </w:tcBorders>
          </w:tcPr>
          <w:p w14:paraId="3915C888" w14:textId="77777777" w:rsidR="009A2DCB" w:rsidRPr="00A52A7A" w:rsidRDefault="009A2DCB" w:rsidP="0051588B">
            <w:pPr>
              <w:jc w:val="center"/>
              <w:rPr>
                <w:sz w:val="20"/>
              </w:rPr>
            </w:pPr>
            <w:r>
              <w:rPr>
                <w:sz w:val="20"/>
              </w:rPr>
              <w:t>10</w:t>
            </w:r>
            <w:r w:rsidRPr="00975A63">
              <w:rPr>
                <w:sz w:val="20"/>
                <w:vertAlign w:val="superscript"/>
              </w:rPr>
              <w:t>2</w:t>
            </w:r>
          </w:p>
          <w:p w14:paraId="13BAEE7A" w14:textId="77777777" w:rsidR="009A2DCB" w:rsidRDefault="009A2DCB" w:rsidP="0051588B">
            <w:pPr>
              <w:jc w:val="center"/>
              <w:rPr>
                <w:sz w:val="20"/>
              </w:rPr>
            </w:pPr>
          </w:p>
        </w:tc>
        <w:tc>
          <w:tcPr>
            <w:tcW w:w="2430" w:type="dxa"/>
            <w:tcBorders>
              <w:top w:val="single" w:sz="4" w:space="0" w:color="auto"/>
            </w:tcBorders>
          </w:tcPr>
          <w:p w14:paraId="055B8A27" w14:textId="77777777" w:rsidR="009A2DCB" w:rsidRPr="00A52A7A" w:rsidRDefault="009A2DCB" w:rsidP="0051588B">
            <w:pPr>
              <w:jc w:val="center"/>
              <w:rPr>
                <w:sz w:val="20"/>
              </w:rPr>
            </w:pPr>
            <w:r>
              <w:rPr>
                <w:sz w:val="20"/>
              </w:rPr>
              <w:t>40</w:t>
            </w:r>
            <w:r w:rsidRPr="00975A63">
              <w:rPr>
                <w:sz w:val="20"/>
                <w:vertAlign w:val="superscript"/>
              </w:rPr>
              <w:t>2</w:t>
            </w:r>
          </w:p>
          <w:p w14:paraId="23CFA6C1" w14:textId="77777777" w:rsidR="009A2DCB" w:rsidRDefault="009A2DCB" w:rsidP="0051588B">
            <w:pPr>
              <w:jc w:val="center"/>
              <w:rPr>
                <w:sz w:val="20"/>
              </w:rPr>
            </w:pPr>
          </w:p>
        </w:tc>
        <w:tc>
          <w:tcPr>
            <w:tcW w:w="3060" w:type="dxa"/>
            <w:tcBorders>
              <w:top w:val="single" w:sz="4" w:space="0" w:color="auto"/>
            </w:tcBorders>
          </w:tcPr>
          <w:p w14:paraId="703CF082" w14:textId="58E3F1D5" w:rsidR="009A2DCB" w:rsidRPr="00ED2485" w:rsidRDefault="009A2DCB" w:rsidP="0051588B">
            <w:pPr>
              <w:jc w:val="center"/>
              <w:rPr>
                <w:rFonts w:cs="Arial"/>
                <w:b/>
                <w:sz w:val="20"/>
              </w:rPr>
            </w:pPr>
            <w:r w:rsidRPr="00ED2485">
              <w:rPr>
                <w:rFonts w:cs="Arial"/>
                <w:b/>
                <w:sz w:val="20"/>
              </w:rPr>
              <w:t>R 336.1225</w:t>
            </w:r>
          </w:p>
          <w:p w14:paraId="6CE3A67B" w14:textId="77777777" w:rsidR="009A2DCB" w:rsidRPr="00ED2485" w:rsidRDefault="009A2DCB" w:rsidP="0051588B">
            <w:pPr>
              <w:jc w:val="center"/>
              <w:rPr>
                <w:b/>
                <w:color w:val="000000"/>
                <w:sz w:val="20"/>
              </w:rPr>
            </w:pPr>
            <w:r w:rsidRPr="00ED2485">
              <w:rPr>
                <w:rFonts w:cs="Arial"/>
                <w:b/>
                <w:sz w:val="20"/>
              </w:rPr>
              <w:t>40 CFR 52.21(c) &amp; (d)</w:t>
            </w:r>
          </w:p>
        </w:tc>
      </w:tr>
      <w:tr w:rsidR="009A2DCB" w:rsidRPr="00ED2485" w14:paraId="1522F4E3" w14:textId="77777777" w:rsidTr="00863620">
        <w:trPr>
          <w:cantSplit/>
        </w:trPr>
        <w:tc>
          <w:tcPr>
            <w:tcW w:w="2407" w:type="dxa"/>
            <w:tcBorders>
              <w:top w:val="single" w:sz="4" w:space="0" w:color="auto"/>
              <w:left w:val="single" w:sz="4" w:space="0" w:color="auto"/>
              <w:bottom w:val="single" w:sz="4" w:space="0" w:color="auto"/>
              <w:right w:val="single" w:sz="4" w:space="0" w:color="auto"/>
            </w:tcBorders>
          </w:tcPr>
          <w:p w14:paraId="0913EF68" w14:textId="5B743B84" w:rsidR="009A2DCB" w:rsidRDefault="009A2DCB" w:rsidP="0051588B">
            <w:pPr>
              <w:rPr>
                <w:sz w:val="20"/>
              </w:rPr>
            </w:pPr>
            <w:r>
              <w:rPr>
                <w:sz w:val="20"/>
              </w:rPr>
              <w:t xml:space="preserve">4. </w:t>
            </w:r>
            <w:r w:rsidR="00914283">
              <w:rPr>
                <w:sz w:val="20"/>
              </w:rPr>
              <w:t xml:space="preserve"> </w:t>
            </w:r>
            <w:r>
              <w:rPr>
                <w:sz w:val="20"/>
              </w:rPr>
              <w:t>SV-AUTOOVEN3</w:t>
            </w:r>
          </w:p>
        </w:tc>
        <w:tc>
          <w:tcPr>
            <w:tcW w:w="2610" w:type="dxa"/>
            <w:tcBorders>
              <w:top w:val="single" w:sz="4" w:space="0" w:color="auto"/>
              <w:left w:val="single" w:sz="4" w:space="0" w:color="auto"/>
              <w:bottom w:val="single" w:sz="4" w:space="0" w:color="auto"/>
              <w:right w:val="single" w:sz="4" w:space="0" w:color="auto"/>
            </w:tcBorders>
          </w:tcPr>
          <w:p w14:paraId="5CD42133" w14:textId="77777777" w:rsidR="009A2DCB" w:rsidRPr="00A52A7A" w:rsidRDefault="009A2DCB" w:rsidP="0051588B">
            <w:pPr>
              <w:jc w:val="center"/>
              <w:rPr>
                <w:sz w:val="20"/>
              </w:rPr>
            </w:pPr>
            <w:r>
              <w:rPr>
                <w:sz w:val="20"/>
              </w:rPr>
              <w:t>23.5 x 36</w:t>
            </w:r>
            <w:r w:rsidRPr="00A52A7A">
              <w:rPr>
                <w:b/>
                <w:sz w:val="20"/>
                <w:vertAlign w:val="superscript"/>
              </w:rPr>
              <w:t>2</w:t>
            </w:r>
          </w:p>
          <w:p w14:paraId="510A991D" w14:textId="77777777" w:rsidR="009A2DCB" w:rsidRDefault="009A2DCB" w:rsidP="0051588B">
            <w:pPr>
              <w:jc w:val="center"/>
              <w:rPr>
                <w:sz w:val="20"/>
              </w:rPr>
            </w:pPr>
          </w:p>
        </w:tc>
        <w:tc>
          <w:tcPr>
            <w:tcW w:w="2430" w:type="dxa"/>
            <w:tcBorders>
              <w:top w:val="single" w:sz="4" w:space="0" w:color="auto"/>
              <w:left w:val="single" w:sz="4" w:space="0" w:color="auto"/>
              <w:bottom w:val="single" w:sz="4" w:space="0" w:color="auto"/>
              <w:right w:val="single" w:sz="4" w:space="0" w:color="auto"/>
            </w:tcBorders>
          </w:tcPr>
          <w:p w14:paraId="1EA0C37B" w14:textId="77777777" w:rsidR="009A2DCB" w:rsidRPr="00A52A7A" w:rsidRDefault="009A2DCB" w:rsidP="0051588B">
            <w:pPr>
              <w:jc w:val="center"/>
              <w:rPr>
                <w:sz w:val="20"/>
              </w:rPr>
            </w:pPr>
            <w:r>
              <w:rPr>
                <w:sz w:val="20"/>
              </w:rPr>
              <w:t>40</w:t>
            </w:r>
            <w:r w:rsidRPr="00975A63">
              <w:rPr>
                <w:sz w:val="20"/>
                <w:vertAlign w:val="superscript"/>
              </w:rPr>
              <w:t>2</w:t>
            </w:r>
          </w:p>
          <w:p w14:paraId="18780646" w14:textId="77777777" w:rsidR="009A2DCB" w:rsidRDefault="009A2DCB" w:rsidP="0051588B">
            <w:pPr>
              <w:jc w:val="center"/>
              <w:rPr>
                <w:sz w:val="20"/>
              </w:rPr>
            </w:pPr>
          </w:p>
        </w:tc>
        <w:tc>
          <w:tcPr>
            <w:tcW w:w="3060" w:type="dxa"/>
            <w:tcBorders>
              <w:top w:val="single" w:sz="4" w:space="0" w:color="auto"/>
              <w:left w:val="single" w:sz="4" w:space="0" w:color="auto"/>
              <w:bottom w:val="single" w:sz="4" w:space="0" w:color="auto"/>
              <w:right w:val="single" w:sz="4" w:space="0" w:color="auto"/>
            </w:tcBorders>
          </w:tcPr>
          <w:p w14:paraId="4F9574EF" w14:textId="3BC15BA9" w:rsidR="009A2DCB" w:rsidRPr="00ED2485" w:rsidRDefault="009A2DCB" w:rsidP="0051588B">
            <w:pPr>
              <w:jc w:val="center"/>
              <w:rPr>
                <w:rFonts w:cs="Arial"/>
                <w:b/>
                <w:sz w:val="20"/>
              </w:rPr>
            </w:pPr>
            <w:r w:rsidRPr="00ED2485">
              <w:rPr>
                <w:rFonts w:cs="Arial"/>
                <w:b/>
                <w:sz w:val="20"/>
              </w:rPr>
              <w:t>R 336.1225</w:t>
            </w:r>
          </w:p>
          <w:p w14:paraId="33B3D5EF" w14:textId="77777777" w:rsidR="009A2DCB" w:rsidRPr="00ED2485" w:rsidRDefault="009A2DCB" w:rsidP="0051588B">
            <w:pPr>
              <w:jc w:val="center"/>
              <w:rPr>
                <w:rFonts w:cs="Arial"/>
                <w:b/>
                <w:sz w:val="20"/>
              </w:rPr>
            </w:pPr>
            <w:r w:rsidRPr="00ED2485">
              <w:rPr>
                <w:rFonts w:cs="Arial"/>
                <w:b/>
                <w:sz w:val="20"/>
              </w:rPr>
              <w:t>40 CFR 52.21(c) &amp; (d)</w:t>
            </w:r>
          </w:p>
        </w:tc>
      </w:tr>
    </w:tbl>
    <w:p w14:paraId="00DDAB8A" w14:textId="23E089E1" w:rsidR="004F5DF2" w:rsidRPr="00576AAA" w:rsidRDefault="004F5DF2" w:rsidP="00F62984">
      <w:pPr>
        <w:jc w:val="both"/>
        <w:rPr>
          <w:sz w:val="20"/>
        </w:rPr>
      </w:pPr>
    </w:p>
    <w:p w14:paraId="534585BE" w14:textId="77777777" w:rsidR="00AE1D84" w:rsidRDefault="00AE1D84" w:rsidP="00F62984">
      <w:pPr>
        <w:jc w:val="both"/>
      </w:pPr>
      <w:r>
        <w:rPr>
          <w:b/>
        </w:rPr>
        <w:t xml:space="preserve">IX.  </w:t>
      </w:r>
      <w:r>
        <w:rPr>
          <w:b/>
          <w:u w:val="single"/>
        </w:rPr>
        <w:t>OTHER REQUIREMENT(S)</w:t>
      </w:r>
    </w:p>
    <w:p w14:paraId="2D28B339" w14:textId="77777777" w:rsidR="00AE1D84" w:rsidRPr="00FE0AD0" w:rsidRDefault="00AE1D84" w:rsidP="00F62984">
      <w:pPr>
        <w:jc w:val="both"/>
        <w:rPr>
          <w:sz w:val="20"/>
        </w:rPr>
      </w:pPr>
    </w:p>
    <w:p w14:paraId="6A4E1B73" w14:textId="6170F70C" w:rsidR="0009250F" w:rsidRPr="00203603" w:rsidRDefault="0009250F" w:rsidP="006255D5">
      <w:pPr>
        <w:numPr>
          <w:ilvl w:val="0"/>
          <w:numId w:val="27"/>
        </w:numPr>
        <w:jc w:val="both"/>
        <w:rPr>
          <w:sz w:val="20"/>
        </w:rPr>
      </w:pPr>
      <w:r w:rsidRPr="00203603">
        <w:rPr>
          <w:sz w:val="20"/>
        </w:rPr>
        <w:t xml:space="preserve">The permittee shall comply with all provisions of the National Emission Standards for Hazardous Air Pollutants as specified in 40 CFR </w:t>
      </w:r>
      <w:r>
        <w:rPr>
          <w:sz w:val="20"/>
        </w:rPr>
        <w:t xml:space="preserve">Part </w:t>
      </w:r>
      <w:r w:rsidRPr="00203603">
        <w:rPr>
          <w:sz w:val="20"/>
        </w:rPr>
        <w:t>63</w:t>
      </w:r>
      <w:r>
        <w:rPr>
          <w:sz w:val="20"/>
        </w:rPr>
        <w:t>,</w:t>
      </w:r>
      <w:r w:rsidRPr="00203603">
        <w:rPr>
          <w:sz w:val="20"/>
        </w:rPr>
        <w:t xml:space="preserve"> Subparts A and JJ, as they apply to EU-AUTOLINE2.</w:t>
      </w:r>
      <w:r w:rsidR="007779E5" w:rsidRPr="006E6D09">
        <w:rPr>
          <w:sz w:val="20"/>
          <w:vertAlign w:val="superscript"/>
        </w:rPr>
        <w:t>2</w:t>
      </w:r>
      <w:r w:rsidR="00BA162F">
        <w:rPr>
          <w:b/>
          <w:sz w:val="20"/>
          <w:vertAlign w:val="superscript"/>
        </w:rPr>
        <w:t xml:space="preserve"> </w:t>
      </w:r>
      <w:r w:rsidR="00BA162F">
        <w:rPr>
          <w:b/>
          <w:sz w:val="20"/>
        </w:rPr>
        <w:t xml:space="preserve"> </w:t>
      </w:r>
      <w:r w:rsidR="007779E5" w:rsidRPr="007779E5">
        <w:rPr>
          <w:b/>
          <w:sz w:val="20"/>
        </w:rPr>
        <w:t>(</w:t>
      </w:r>
      <w:r w:rsidRPr="00ED2485">
        <w:rPr>
          <w:b/>
          <w:sz w:val="20"/>
        </w:rPr>
        <w:t>40 CFR Part 63</w:t>
      </w:r>
      <w:r>
        <w:rPr>
          <w:b/>
          <w:sz w:val="20"/>
        </w:rPr>
        <w:t>,</w:t>
      </w:r>
      <w:r w:rsidRPr="00ED2485">
        <w:rPr>
          <w:b/>
          <w:sz w:val="20"/>
        </w:rPr>
        <w:t xml:space="preserve"> Subparts A &amp; JJ)</w:t>
      </w:r>
    </w:p>
    <w:p w14:paraId="0D706C73" w14:textId="77777777" w:rsidR="00AE1D84" w:rsidRPr="00984760" w:rsidRDefault="00AE1D84" w:rsidP="0009250F">
      <w:pPr>
        <w:ind w:left="360"/>
        <w:jc w:val="both"/>
        <w:rPr>
          <w:sz w:val="20"/>
        </w:rPr>
      </w:pPr>
    </w:p>
    <w:p w14:paraId="0740507D" w14:textId="77777777" w:rsidR="000662AD" w:rsidRPr="00FE0AD0" w:rsidRDefault="000662AD" w:rsidP="00F62984">
      <w:pPr>
        <w:jc w:val="both"/>
        <w:rPr>
          <w:sz w:val="20"/>
        </w:rPr>
      </w:pPr>
    </w:p>
    <w:p w14:paraId="495C77C4" w14:textId="77777777" w:rsidR="00AE1D84" w:rsidRPr="00B90185" w:rsidRDefault="00AE1D84" w:rsidP="00F62984">
      <w:pPr>
        <w:jc w:val="both"/>
        <w:rPr>
          <w:b/>
          <w:sz w:val="20"/>
        </w:rPr>
      </w:pPr>
      <w:r w:rsidRPr="00B90185">
        <w:rPr>
          <w:b/>
          <w:sz w:val="20"/>
          <w:u w:val="single"/>
        </w:rPr>
        <w:t>Footnotes</w:t>
      </w:r>
      <w:r w:rsidRPr="00B90185">
        <w:rPr>
          <w:b/>
          <w:sz w:val="20"/>
        </w:rPr>
        <w:t>:</w:t>
      </w:r>
    </w:p>
    <w:p w14:paraId="7B6B886B" w14:textId="03E62FB9" w:rsidR="00AE1D84" w:rsidRPr="001E3851"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75D787D" w14:textId="30C19111" w:rsidR="00AE1D84" w:rsidRPr="00D53AEC"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7E44AED" w14:textId="77777777" w:rsidR="004C69F6" w:rsidRPr="004B4509" w:rsidRDefault="004C69F6" w:rsidP="004B4509">
      <w:pPr>
        <w:rPr>
          <w:sz w:val="20"/>
        </w:rPr>
      </w:pPr>
    </w:p>
    <w:p w14:paraId="5C1B0EB5" w14:textId="77777777" w:rsidR="00E14632" w:rsidRPr="00FE0AD0" w:rsidRDefault="00E14632" w:rsidP="00E14632">
      <w:pPr>
        <w:rPr>
          <w:sz w:val="20"/>
        </w:rPr>
      </w:pPr>
    </w:p>
    <w:p w14:paraId="151020D4" w14:textId="77777777" w:rsidR="00A86D8D" w:rsidRPr="007014BE" w:rsidRDefault="00E14632" w:rsidP="007014BE">
      <w:pPr>
        <w:rPr>
          <w:szCs w:val="22"/>
        </w:rPr>
      </w:pPr>
      <w:r>
        <w:br w:type="page"/>
      </w:r>
    </w:p>
    <w:p w14:paraId="26C82E26" w14:textId="77777777" w:rsidR="0034744B" w:rsidRPr="00FC1F2C" w:rsidRDefault="0034744B" w:rsidP="00393A6F">
      <w:pPr>
        <w:pStyle w:val="Heading1"/>
        <w:rPr>
          <w:b w:val="0"/>
          <w:sz w:val="20"/>
          <w:szCs w:val="20"/>
        </w:rPr>
      </w:pPr>
      <w:bookmarkStart w:id="73" w:name="_Toc117065697"/>
      <w:r w:rsidRPr="00393A6F">
        <w:lastRenderedPageBreak/>
        <w:t xml:space="preserve">D.  FLEXIBLE GROUP </w:t>
      </w:r>
      <w:bookmarkEnd w:id="66"/>
      <w:r w:rsidR="00494D15">
        <w:t xml:space="preserve">SPECIAL </w:t>
      </w:r>
      <w:r w:rsidR="00456F47" w:rsidRPr="00393A6F">
        <w:t>CONDITIONS</w:t>
      </w:r>
      <w:bookmarkEnd w:id="73"/>
    </w:p>
    <w:p w14:paraId="689F2611" w14:textId="77777777" w:rsidR="0034744B" w:rsidRPr="008E1254" w:rsidRDefault="0034744B" w:rsidP="00FC1F2C">
      <w:pPr>
        <w:rPr>
          <w:sz w:val="20"/>
        </w:rPr>
      </w:pPr>
    </w:p>
    <w:p w14:paraId="3C84583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C38B0A9" w14:textId="77777777" w:rsidR="009602B7" w:rsidRPr="00FE0AD0" w:rsidRDefault="009602B7" w:rsidP="0034744B">
      <w:pPr>
        <w:jc w:val="both"/>
        <w:rPr>
          <w:sz w:val="20"/>
        </w:rPr>
      </w:pPr>
    </w:p>
    <w:p w14:paraId="65DE213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D26B931" w14:textId="13087ECB" w:rsidR="00C77296" w:rsidRPr="009E40D6" w:rsidRDefault="00DF61B7" w:rsidP="0034744B">
      <w:pPr>
        <w:jc w:val="both"/>
        <w:rPr>
          <w:sz w:val="20"/>
        </w:rPr>
      </w:pPr>
      <w:r>
        <w:rPr>
          <w:b/>
          <w:color w:val="FF0000"/>
          <w:sz w:val="20"/>
        </w:rPr>
        <w:t xml:space="preserve"> </w:t>
      </w:r>
    </w:p>
    <w:p w14:paraId="719B4884" w14:textId="77777777" w:rsidR="0034744B" w:rsidRPr="009E40D6" w:rsidRDefault="0034744B" w:rsidP="001F649E">
      <w:pPr>
        <w:pStyle w:val="Heading2"/>
        <w:numPr>
          <w:ilvl w:val="0"/>
          <w:numId w:val="0"/>
        </w:numPr>
        <w:rPr>
          <w:b w:val="0"/>
          <w:bCs/>
          <w:sz w:val="22"/>
          <w:szCs w:val="22"/>
        </w:rPr>
      </w:pPr>
      <w:bookmarkStart w:id="74" w:name="_Toc2571646"/>
      <w:bookmarkStart w:id="75" w:name="_Toc117065698"/>
      <w:r w:rsidRPr="002B5ED5">
        <w:rPr>
          <w:bCs/>
          <w:sz w:val="22"/>
          <w:szCs w:val="22"/>
        </w:rPr>
        <w:t>FLEXIBLE GROUP SUMMARY TABLE</w:t>
      </w:r>
      <w:bookmarkEnd w:id="74"/>
      <w:bookmarkEnd w:id="75"/>
    </w:p>
    <w:p w14:paraId="6D39E73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6168EF97"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E5F8124" w14:textId="77777777">
        <w:trPr>
          <w:cantSplit/>
          <w:tblHeader/>
        </w:trPr>
        <w:tc>
          <w:tcPr>
            <w:tcW w:w="2340" w:type="dxa"/>
            <w:tcBorders>
              <w:top w:val="double" w:sz="6" w:space="0" w:color="auto"/>
              <w:bottom w:val="double" w:sz="4" w:space="0" w:color="auto"/>
            </w:tcBorders>
            <w:shd w:val="pct10" w:color="auto" w:fill="auto"/>
          </w:tcPr>
          <w:p w14:paraId="11BC6B5F"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046FC42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EC3C455" w14:textId="77777777" w:rsidR="00234667" w:rsidRPr="006D3561" w:rsidRDefault="00234667" w:rsidP="00991194">
            <w:pPr>
              <w:jc w:val="center"/>
              <w:rPr>
                <w:rFonts w:cs="Arial"/>
                <w:b/>
                <w:sz w:val="20"/>
              </w:rPr>
            </w:pPr>
            <w:r w:rsidRPr="006D3561">
              <w:rPr>
                <w:rFonts w:cs="Arial"/>
                <w:b/>
                <w:sz w:val="20"/>
              </w:rPr>
              <w:t>Associated</w:t>
            </w:r>
          </w:p>
          <w:p w14:paraId="474FE05F" w14:textId="77777777" w:rsidR="00234667" w:rsidRPr="006D3561" w:rsidRDefault="00234667" w:rsidP="00991194">
            <w:pPr>
              <w:jc w:val="center"/>
              <w:rPr>
                <w:rFonts w:cs="Arial"/>
                <w:b/>
                <w:sz w:val="20"/>
              </w:rPr>
            </w:pPr>
            <w:r w:rsidRPr="006D3561">
              <w:rPr>
                <w:rFonts w:cs="Arial"/>
                <w:b/>
                <w:sz w:val="20"/>
              </w:rPr>
              <w:t>Emission Unit IDs</w:t>
            </w:r>
          </w:p>
        </w:tc>
      </w:tr>
      <w:tr w:rsidR="00E24140" w14:paraId="137B65EB" w14:textId="77777777">
        <w:trPr>
          <w:cantSplit/>
        </w:trPr>
        <w:tc>
          <w:tcPr>
            <w:tcW w:w="2340" w:type="dxa"/>
          </w:tcPr>
          <w:p w14:paraId="5B5840DA" w14:textId="3DD5D22B" w:rsidR="00E24140" w:rsidRPr="00443523" w:rsidRDefault="00E24140" w:rsidP="00E24140">
            <w:pPr>
              <w:rPr>
                <w:rFonts w:cs="Arial"/>
                <w:sz w:val="20"/>
              </w:rPr>
            </w:pPr>
            <w:r w:rsidRPr="00443523">
              <w:rPr>
                <w:rFonts w:cs="Arial"/>
                <w:sz w:val="20"/>
              </w:rPr>
              <w:t>FG-WOODWORK</w:t>
            </w:r>
          </w:p>
        </w:tc>
        <w:tc>
          <w:tcPr>
            <w:tcW w:w="5130" w:type="dxa"/>
          </w:tcPr>
          <w:p w14:paraId="63BCCD46" w14:textId="379F6E56" w:rsidR="00E24140" w:rsidRPr="001B5E34" w:rsidRDefault="00E24140" w:rsidP="00E24140">
            <w:pPr>
              <w:jc w:val="both"/>
              <w:rPr>
                <w:rFonts w:cs="Arial"/>
                <w:sz w:val="20"/>
              </w:rPr>
            </w:pPr>
            <w:r>
              <w:rPr>
                <w:rFonts w:cs="Arial"/>
                <w:sz w:val="20"/>
              </w:rPr>
              <w:t xml:space="preserve">All woodworking equipment, including cutting, sawing, </w:t>
            </w:r>
            <w:r w:rsidR="0069517A">
              <w:rPr>
                <w:rFonts w:cs="Arial"/>
                <w:sz w:val="20"/>
              </w:rPr>
              <w:t>sanding,</w:t>
            </w:r>
            <w:r w:rsidR="00914283">
              <w:rPr>
                <w:rFonts w:cs="Arial"/>
                <w:sz w:val="20"/>
              </w:rPr>
              <w:t xml:space="preserve"> and </w:t>
            </w:r>
            <w:r>
              <w:rPr>
                <w:rFonts w:cs="Arial"/>
                <w:sz w:val="20"/>
              </w:rPr>
              <w:t>milling machines. The particulate emissions from the operations are controlled by baghouses. The filtered air is recirculated into the general plant environment.</w:t>
            </w:r>
          </w:p>
        </w:tc>
        <w:tc>
          <w:tcPr>
            <w:tcW w:w="2700" w:type="dxa"/>
          </w:tcPr>
          <w:p w14:paraId="631AD976" w14:textId="77777777" w:rsidR="00E24140" w:rsidRDefault="00E24140" w:rsidP="00E24140">
            <w:pPr>
              <w:rPr>
                <w:rFonts w:cs="Arial"/>
                <w:sz w:val="20"/>
              </w:rPr>
            </w:pPr>
            <w:r>
              <w:rPr>
                <w:rFonts w:cs="Arial"/>
                <w:sz w:val="20"/>
              </w:rPr>
              <w:t xml:space="preserve">EU-WOODWORK-N </w:t>
            </w:r>
          </w:p>
          <w:p w14:paraId="5D1BEDB7" w14:textId="18157EC1" w:rsidR="00E24140" w:rsidRPr="001B5E34" w:rsidRDefault="00E24140" w:rsidP="00E24140">
            <w:pPr>
              <w:rPr>
                <w:rFonts w:cs="Arial"/>
                <w:sz w:val="20"/>
              </w:rPr>
            </w:pPr>
            <w:r>
              <w:rPr>
                <w:rFonts w:cs="Arial"/>
                <w:sz w:val="20"/>
              </w:rPr>
              <w:t>EU-WOODWORK-S</w:t>
            </w:r>
          </w:p>
        </w:tc>
      </w:tr>
      <w:tr w:rsidR="00E24140" w14:paraId="35F134FA" w14:textId="77777777">
        <w:trPr>
          <w:cantSplit/>
        </w:trPr>
        <w:tc>
          <w:tcPr>
            <w:tcW w:w="2340" w:type="dxa"/>
            <w:tcBorders>
              <w:top w:val="nil"/>
              <w:bottom w:val="single" w:sz="6" w:space="0" w:color="auto"/>
            </w:tcBorders>
          </w:tcPr>
          <w:p w14:paraId="00019316" w14:textId="0BAC6166" w:rsidR="00E24140" w:rsidRPr="00443523" w:rsidRDefault="00E24140" w:rsidP="00E24140">
            <w:pPr>
              <w:rPr>
                <w:rFonts w:cs="Arial"/>
                <w:sz w:val="20"/>
              </w:rPr>
            </w:pPr>
            <w:r w:rsidRPr="00443523">
              <w:rPr>
                <w:rFonts w:cs="Arial"/>
                <w:sz w:val="20"/>
              </w:rPr>
              <w:t>FG-FINISH</w:t>
            </w:r>
          </w:p>
        </w:tc>
        <w:tc>
          <w:tcPr>
            <w:tcW w:w="5130" w:type="dxa"/>
            <w:tcBorders>
              <w:top w:val="nil"/>
              <w:bottom w:val="single" w:sz="6" w:space="0" w:color="auto"/>
            </w:tcBorders>
          </w:tcPr>
          <w:p w14:paraId="577454A2" w14:textId="6F212AC4" w:rsidR="00E24140" w:rsidRPr="001B5E34" w:rsidRDefault="00E24140" w:rsidP="00E24140">
            <w:pPr>
              <w:jc w:val="both"/>
              <w:rPr>
                <w:rFonts w:cs="Arial"/>
                <w:sz w:val="20"/>
              </w:rPr>
            </w:pPr>
            <w:r>
              <w:rPr>
                <w:rFonts w:cs="Arial"/>
                <w:sz w:val="20"/>
              </w:rPr>
              <w:t xml:space="preserve">Three (3) dry filter spray coating booths used to apply stains, varnishes, lacquers, and paints on wood furniture and wood furniture components (kitchen cabinets and parts), associated purge and clean-up operations, and assembly of various wood furniture and wood furniture components.  </w:t>
            </w:r>
          </w:p>
        </w:tc>
        <w:tc>
          <w:tcPr>
            <w:tcW w:w="2700" w:type="dxa"/>
            <w:tcBorders>
              <w:top w:val="nil"/>
              <w:bottom w:val="single" w:sz="6" w:space="0" w:color="auto"/>
            </w:tcBorders>
          </w:tcPr>
          <w:p w14:paraId="6672A18E" w14:textId="77777777" w:rsidR="00E24140" w:rsidRDefault="00E24140" w:rsidP="00E24140">
            <w:pPr>
              <w:rPr>
                <w:rFonts w:cs="Arial"/>
                <w:sz w:val="20"/>
              </w:rPr>
            </w:pPr>
            <w:r>
              <w:rPr>
                <w:rFonts w:cs="Arial"/>
                <w:sz w:val="20"/>
              </w:rPr>
              <w:t>EU-BOOTH1</w:t>
            </w:r>
          </w:p>
          <w:p w14:paraId="56ACA445" w14:textId="77777777" w:rsidR="00E24140" w:rsidRDefault="00E24140" w:rsidP="00E24140">
            <w:pPr>
              <w:rPr>
                <w:rFonts w:cs="Arial"/>
                <w:sz w:val="20"/>
              </w:rPr>
            </w:pPr>
            <w:r>
              <w:rPr>
                <w:rFonts w:cs="Arial"/>
                <w:sz w:val="20"/>
              </w:rPr>
              <w:t>EU-BOOTH2</w:t>
            </w:r>
          </w:p>
          <w:p w14:paraId="3826C32F" w14:textId="77777777" w:rsidR="00E24140" w:rsidRDefault="00E24140" w:rsidP="00E24140">
            <w:pPr>
              <w:rPr>
                <w:rFonts w:cs="Arial"/>
                <w:sz w:val="20"/>
              </w:rPr>
            </w:pPr>
            <w:r>
              <w:rPr>
                <w:rFonts w:cs="Arial"/>
                <w:sz w:val="20"/>
              </w:rPr>
              <w:t>EU-BOOTH3</w:t>
            </w:r>
          </w:p>
          <w:p w14:paraId="421AACEE" w14:textId="77777777" w:rsidR="00E24140" w:rsidRDefault="00E24140" w:rsidP="00E24140">
            <w:pPr>
              <w:rPr>
                <w:rFonts w:cs="Arial"/>
                <w:sz w:val="20"/>
              </w:rPr>
            </w:pPr>
            <w:r>
              <w:rPr>
                <w:rFonts w:cs="Arial"/>
                <w:sz w:val="20"/>
              </w:rPr>
              <w:t>EU-CLEANUP</w:t>
            </w:r>
          </w:p>
          <w:p w14:paraId="1468EB8C" w14:textId="77777777" w:rsidR="00E24140" w:rsidRDefault="00E24140" w:rsidP="00E24140">
            <w:pPr>
              <w:rPr>
                <w:rFonts w:cs="Arial"/>
                <w:sz w:val="20"/>
              </w:rPr>
            </w:pPr>
            <w:r>
              <w:rPr>
                <w:rFonts w:cs="Arial"/>
                <w:sz w:val="20"/>
              </w:rPr>
              <w:t>EU-ASSEMBLY</w:t>
            </w:r>
          </w:p>
          <w:p w14:paraId="24DFBA0C" w14:textId="77777777" w:rsidR="00E24140" w:rsidRPr="001B5E34" w:rsidRDefault="00E24140" w:rsidP="00E24140">
            <w:pPr>
              <w:rPr>
                <w:rFonts w:cs="Arial"/>
                <w:sz w:val="20"/>
              </w:rPr>
            </w:pPr>
          </w:p>
        </w:tc>
      </w:tr>
      <w:tr w:rsidR="003B5419" w14:paraId="02BB93F9" w14:textId="77777777" w:rsidTr="000A4369">
        <w:trPr>
          <w:cantSplit/>
          <w:trHeight w:val="2070"/>
        </w:trPr>
        <w:tc>
          <w:tcPr>
            <w:tcW w:w="2340" w:type="dxa"/>
            <w:tcBorders>
              <w:top w:val="single" w:sz="6" w:space="0" w:color="auto"/>
            </w:tcBorders>
          </w:tcPr>
          <w:p w14:paraId="018A33C4" w14:textId="18211F78" w:rsidR="003B5419" w:rsidRPr="001B5E34" w:rsidRDefault="003B5419" w:rsidP="00E24140">
            <w:pPr>
              <w:rPr>
                <w:rFonts w:cs="Arial"/>
                <w:sz w:val="20"/>
              </w:rPr>
            </w:pPr>
            <w:r>
              <w:rPr>
                <w:rFonts w:cs="Arial"/>
                <w:sz w:val="20"/>
              </w:rPr>
              <w:t>FG-MACT</w:t>
            </w:r>
          </w:p>
        </w:tc>
        <w:tc>
          <w:tcPr>
            <w:tcW w:w="5130" w:type="dxa"/>
            <w:tcBorders>
              <w:top w:val="single" w:sz="6" w:space="0" w:color="auto"/>
            </w:tcBorders>
          </w:tcPr>
          <w:p w14:paraId="2DF08A9F" w14:textId="49C10E9E" w:rsidR="003B5419" w:rsidRPr="001B5E34" w:rsidRDefault="003B5419" w:rsidP="00E24140">
            <w:pPr>
              <w:jc w:val="both"/>
              <w:rPr>
                <w:rFonts w:cs="Arial"/>
                <w:sz w:val="20"/>
              </w:rPr>
            </w:pPr>
            <w:r>
              <w:rPr>
                <w:sz w:val="20"/>
              </w:rPr>
              <w:t xml:space="preserve">All process equipment at the stationary source including equipment covered by other permits, grandfathered equipment and exempt equipment involved in the surface coating of wood kitchen cabinet parts and products </w:t>
            </w:r>
            <w:r w:rsidRPr="00B57F42">
              <w:rPr>
                <w:sz w:val="20"/>
              </w:rPr>
              <w:t>that meet the requirements in 40 CFR Part 9 and</w:t>
            </w:r>
            <w:r>
              <w:rPr>
                <w:sz w:val="20"/>
              </w:rPr>
              <w:t xml:space="preserve"> Part 63, Subpart JJ, 40 CFR 63.800 and are thereby subject to National Emissions Standards for Hazardous Air Pollutants (NESHAP) for Wood Furniture Manufacturing.</w:t>
            </w:r>
          </w:p>
        </w:tc>
        <w:tc>
          <w:tcPr>
            <w:tcW w:w="2700" w:type="dxa"/>
            <w:tcBorders>
              <w:top w:val="single" w:sz="6" w:space="0" w:color="auto"/>
            </w:tcBorders>
          </w:tcPr>
          <w:p w14:paraId="0E5A9CF1" w14:textId="77777777" w:rsidR="003B5419" w:rsidRDefault="003B5419" w:rsidP="00E24140">
            <w:pPr>
              <w:rPr>
                <w:rFonts w:cs="Arial"/>
                <w:sz w:val="20"/>
              </w:rPr>
            </w:pPr>
            <w:r>
              <w:rPr>
                <w:rFonts w:cs="Arial"/>
                <w:sz w:val="20"/>
              </w:rPr>
              <w:t xml:space="preserve">EU-AUTOLINE2 </w:t>
            </w:r>
          </w:p>
          <w:p w14:paraId="45437F59" w14:textId="77777777" w:rsidR="003B5419" w:rsidRDefault="003B5419" w:rsidP="00E24140">
            <w:pPr>
              <w:rPr>
                <w:rFonts w:cs="Arial"/>
                <w:sz w:val="20"/>
              </w:rPr>
            </w:pPr>
            <w:r>
              <w:rPr>
                <w:rFonts w:cs="Arial"/>
                <w:sz w:val="20"/>
              </w:rPr>
              <w:t xml:space="preserve">EU-BOOTH1 </w:t>
            </w:r>
          </w:p>
          <w:p w14:paraId="49796335" w14:textId="77777777" w:rsidR="003B5419" w:rsidRDefault="003B5419" w:rsidP="00E24140">
            <w:pPr>
              <w:rPr>
                <w:rFonts w:cs="Arial"/>
                <w:sz w:val="20"/>
              </w:rPr>
            </w:pPr>
            <w:r>
              <w:rPr>
                <w:rFonts w:cs="Arial"/>
                <w:sz w:val="20"/>
              </w:rPr>
              <w:t xml:space="preserve">EU-BOOTH2 </w:t>
            </w:r>
          </w:p>
          <w:p w14:paraId="50DFB4FB" w14:textId="77777777" w:rsidR="003B5419" w:rsidRDefault="003B5419" w:rsidP="00E24140">
            <w:pPr>
              <w:rPr>
                <w:rFonts w:cs="Arial"/>
                <w:sz w:val="20"/>
              </w:rPr>
            </w:pPr>
            <w:r>
              <w:rPr>
                <w:rFonts w:cs="Arial"/>
                <w:sz w:val="20"/>
              </w:rPr>
              <w:t xml:space="preserve">EU-BOOTH3 </w:t>
            </w:r>
          </w:p>
          <w:p w14:paraId="312EDB06" w14:textId="77777777" w:rsidR="003B5419" w:rsidRDefault="003B5419" w:rsidP="00E24140">
            <w:pPr>
              <w:rPr>
                <w:rFonts w:cs="Arial"/>
                <w:sz w:val="20"/>
              </w:rPr>
            </w:pPr>
            <w:r>
              <w:rPr>
                <w:rFonts w:cs="Arial"/>
                <w:sz w:val="20"/>
              </w:rPr>
              <w:t xml:space="preserve">EU-CLEANUP </w:t>
            </w:r>
          </w:p>
          <w:p w14:paraId="0002B3E2" w14:textId="6D9546D9" w:rsidR="003B5419" w:rsidRPr="001B5E34" w:rsidRDefault="003B5419" w:rsidP="00E24140">
            <w:pPr>
              <w:rPr>
                <w:rFonts w:cs="Arial"/>
                <w:sz w:val="20"/>
              </w:rPr>
            </w:pPr>
            <w:r>
              <w:rPr>
                <w:rFonts w:cs="Arial"/>
                <w:sz w:val="20"/>
              </w:rPr>
              <w:t>EU-ASSEMBLY</w:t>
            </w:r>
          </w:p>
        </w:tc>
      </w:tr>
    </w:tbl>
    <w:p w14:paraId="65B7D016" w14:textId="77777777" w:rsidR="00E735E6" w:rsidRDefault="00E735E6" w:rsidP="008427BE">
      <w:pPr>
        <w:jc w:val="both"/>
        <w:rPr>
          <w:sz w:val="20"/>
        </w:rPr>
      </w:pPr>
    </w:p>
    <w:p w14:paraId="57B6D347" w14:textId="77777777" w:rsidR="00AE1D84" w:rsidRDefault="00AE1D84" w:rsidP="008427BE">
      <w:pPr>
        <w:jc w:val="both"/>
        <w:rPr>
          <w:sz w:val="20"/>
        </w:rPr>
      </w:pPr>
      <w:r>
        <w:rPr>
          <w:sz w:val="20"/>
        </w:rPr>
        <w:br w:type="page"/>
      </w:r>
    </w:p>
    <w:p w14:paraId="1BD42B3A" w14:textId="5B0FAA98"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17065699"/>
      <w:r w:rsidRPr="00347387">
        <w:rPr>
          <w:bCs/>
          <w:iCs/>
          <w:szCs w:val="28"/>
        </w:rPr>
        <w:lastRenderedPageBreak/>
        <w:t>FG</w:t>
      </w:r>
      <w:r w:rsidR="0047517E">
        <w:rPr>
          <w:bCs/>
          <w:iCs/>
          <w:szCs w:val="28"/>
        </w:rPr>
        <w:t>-</w:t>
      </w:r>
      <w:r w:rsidR="00D3143E">
        <w:rPr>
          <w:bCs/>
          <w:iCs/>
          <w:szCs w:val="28"/>
        </w:rPr>
        <w:t>WOODWORK</w:t>
      </w:r>
      <w:bookmarkEnd w:id="76"/>
      <w:bookmarkEnd w:id="77"/>
    </w:p>
    <w:p w14:paraId="358B212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5835073" w14:textId="77777777" w:rsidR="00AE1D84" w:rsidRPr="00F30023" w:rsidRDefault="00AE1D84" w:rsidP="00F62984">
      <w:pPr>
        <w:rPr>
          <w:sz w:val="20"/>
        </w:rPr>
      </w:pPr>
    </w:p>
    <w:p w14:paraId="09B2149C" w14:textId="77777777" w:rsidR="00AE1D84" w:rsidRDefault="00AE1D84" w:rsidP="00F62984">
      <w:pPr>
        <w:jc w:val="both"/>
        <w:rPr>
          <w:b/>
          <w:u w:val="single"/>
        </w:rPr>
      </w:pPr>
      <w:r>
        <w:rPr>
          <w:b/>
          <w:u w:val="single"/>
        </w:rPr>
        <w:t>DESCRIPTION</w:t>
      </w:r>
    </w:p>
    <w:p w14:paraId="0FCD6D6E" w14:textId="77777777" w:rsidR="00AE1D84" w:rsidRPr="00C3424D" w:rsidRDefault="00AE1D84" w:rsidP="00F62984">
      <w:pPr>
        <w:jc w:val="both"/>
        <w:rPr>
          <w:sz w:val="20"/>
        </w:rPr>
      </w:pPr>
    </w:p>
    <w:p w14:paraId="40775D8E" w14:textId="024CF24A" w:rsidR="000E01C2" w:rsidRPr="000F7161" w:rsidRDefault="000E01C2" w:rsidP="000E01C2">
      <w:pPr>
        <w:jc w:val="both"/>
        <w:rPr>
          <w:rFonts w:cs="Arial"/>
          <w:sz w:val="20"/>
        </w:rPr>
      </w:pPr>
      <w:r w:rsidRPr="000F7161">
        <w:rPr>
          <w:rFonts w:cs="Arial"/>
          <w:sz w:val="20"/>
        </w:rPr>
        <w:t xml:space="preserve">All </w:t>
      </w:r>
      <w:r>
        <w:rPr>
          <w:rFonts w:cs="Arial"/>
          <w:sz w:val="20"/>
        </w:rPr>
        <w:t xml:space="preserve">woodworking equipment, </w:t>
      </w:r>
      <w:r w:rsidR="008E1C71">
        <w:rPr>
          <w:rFonts w:cs="Arial"/>
          <w:sz w:val="20"/>
        </w:rPr>
        <w:t>including</w:t>
      </w:r>
      <w:r w:rsidRPr="000F7161">
        <w:rPr>
          <w:rFonts w:cs="Arial"/>
          <w:sz w:val="20"/>
        </w:rPr>
        <w:t xml:space="preserve"> </w:t>
      </w:r>
      <w:r w:rsidR="00DF1A43">
        <w:rPr>
          <w:rFonts w:cs="Arial"/>
          <w:sz w:val="20"/>
        </w:rPr>
        <w:t xml:space="preserve">carving, </w:t>
      </w:r>
      <w:r w:rsidRPr="000F7161">
        <w:rPr>
          <w:rFonts w:cs="Arial"/>
          <w:sz w:val="20"/>
        </w:rPr>
        <w:t xml:space="preserve">cutting, </w:t>
      </w:r>
      <w:r w:rsidR="00AF72EA">
        <w:rPr>
          <w:rFonts w:cs="Arial"/>
          <w:sz w:val="20"/>
        </w:rPr>
        <w:t xml:space="preserve">routing, turning, drilling, </w:t>
      </w:r>
      <w:r w:rsidRPr="000F7161">
        <w:rPr>
          <w:rFonts w:cs="Arial"/>
          <w:sz w:val="20"/>
        </w:rPr>
        <w:t>sawing,</w:t>
      </w:r>
      <w:r>
        <w:rPr>
          <w:rFonts w:cs="Arial"/>
          <w:sz w:val="20"/>
        </w:rPr>
        <w:t xml:space="preserve"> sanding,</w:t>
      </w:r>
      <w:r w:rsidRPr="000F7161">
        <w:rPr>
          <w:rFonts w:cs="Arial"/>
          <w:sz w:val="20"/>
        </w:rPr>
        <w:t xml:space="preserve"> </w:t>
      </w:r>
      <w:r w:rsidR="00AF72EA">
        <w:rPr>
          <w:rFonts w:cs="Arial"/>
          <w:sz w:val="20"/>
        </w:rPr>
        <w:t>planning</w:t>
      </w:r>
      <w:r w:rsidR="00FE3FEA">
        <w:rPr>
          <w:rFonts w:cs="Arial"/>
          <w:sz w:val="20"/>
        </w:rPr>
        <w:t xml:space="preserve">, buffing and </w:t>
      </w:r>
      <w:r w:rsidRPr="000F7161">
        <w:rPr>
          <w:rFonts w:cs="Arial"/>
          <w:sz w:val="20"/>
        </w:rPr>
        <w:t>milling machines.</w:t>
      </w:r>
      <w:r w:rsidR="008E4F18">
        <w:rPr>
          <w:rFonts w:cs="Arial"/>
          <w:sz w:val="20"/>
        </w:rPr>
        <w:t xml:space="preserve"> </w:t>
      </w:r>
    </w:p>
    <w:p w14:paraId="714781E1" w14:textId="77777777" w:rsidR="000E01C2" w:rsidRDefault="000E01C2" w:rsidP="00F62984">
      <w:pPr>
        <w:jc w:val="both"/>
        <w:rPr>
          <w:b/>
          <w:sz w:val="20"/>
        </w:rPr>
      </w:pPr>
    </w:p>
    <w:p w14:paraId="519CF86F" w14:textId="428E9CBA" w:rsidR="00612F0C" w:rsidRDefault="00AE1D84" w:rsidP="00612F0C">
      <w:pPr>
        <w:jc w:val="both"/>
        <w:rPr>
          <w:sz w:val="20"/>
        </w:rPr>
      </w:pPr>
      <w:r w:rsidRPr="00FE0AD0">
        <w:rPr>
          <w:b/>
          <w:sz w:val="20"/>
        </w:rPr>
        <w:t>Emission Unit</w:t>
      </w:r>
      <w:r w:rsidR="00914283">
        <w:rPr>
          <w:b/>
          <w:sz w:val="20"/>
        </w:rPr>
        <w:t>s</w:t>
      </w:r>
      <w:r>
        <w:rPr>
          <w:b/>
          <w:sz w:val="20"/>
        </w:rPr>
        <w:t>:</w:t>
      </w:r>
      <w:r w:rsidR="00914283">
        <w:rPr>
          <w:b/>
          <w:sz w:val="20"/>
        </w:rPr>
        <w:t xml:space="preserve"> </w:t>
      </w:r>
      <w:r>
        <w:rPr>
          <w:sz w:val="20"/>
        </w:rPr>
        <w:t xml:space="preserve"> </w:t>
      </w:r>
      <w:r w:rsidR="00612F0C">
        <w:rPr>
          <w:sz w:val="20"/>
        </w:rPr>
        <w:t>EU-WOODWORK-N, EU-WOODWORK-S</w:t>
      </w:r>
    </w:p>
    <w:p w14:paraId="2A089DEE" w14:textId="0DF3919E" w:rsidR="00AE1D84" w:rsidRPr="00A86D8D" w:rsidRDefault="00AE1D84" w:rsidP="00F62984">
      <w:pPr>
        <w:jc w:val="both"/>
        <w:rPr>
          <w:sz w:val="20"/>
        </w:rPr>
      </w:pPr>
    </w:p>
    <w:p w14:paraId="2C78B19D" w14:textId="77777777" w:rsidR="00AE1D84" w:rsidRDefault="00AE1D84" w:rsidP="00F62984">
      <w:pPr>
        <w:jc w:val="both"/>
        <w:rPr>
          <w:b/>
          <w:u w:val="single"/>
        </w:rPr>
      </w:pPr>
      <w:r>
        <w:rPr>
          <w:b/>
          <w:u w:val="single"/>
        </w:rPr>
        <w:t>POLLUTION CONTROL EQUIPMENT</w:t>
      </w:r>
    </w:p>
    <w:p w14:paraId="2D42AFD3" w14:textId="77777777" w:rsidR="00AE1D84" w:rsidRPr="0074351C" w:rsidRDefault="00AE1D84" w:rsidP="00F62984">
      <w:pPr>
        <w:jc w:val="both"/>
      </w:pPr>
    </w:p>
    <w:p w14:paraId="6AF9FB0C" w14:textId="572A57DC" w:rsidR="00901527" w:rsidRDefault="00901527" w:rsidP="00901527">
      <w:pPr>
        <w:jc w:val="both"/>
      </w:pPr>
      <w:r w:rsidRPr="000F7161">
        <w:rPr>
          <w:rFonts w:cs="Arial"/>
          <w:sz w:val="20"/>
        </w:rPr>
        <w:t xml:space="preserve">The particulate </w:t>
      </w:r>
      <w:r>
        <w:rPr>
          <w:rFonts w:cs="Arial"/>
          <w:sz w:val="20"/>
        </w:rPr>
        <w:t xml:space="preserve">matter </w:t>
      </w:r>
      <w:r w:rsidRPr="000F7161">
        <w:rPr>
          <w:rFonts w:cs="Arial"/>
          <w:sz w:val="20"/>
        </w:rPr>
        <w:t xml:space="preserve">emissions from the operations are controlled by </w:t>
      </w:r>
      <w:r>
        <w:rPr>
          <w:rFonts w:cs="Arial"/>
          <w:sz w:val="20"/>
        </w:rPr>
        <w:t>three baghouse systems</w:t>
      </w:r>
      <w:r w:rsidRPr="000F7161">
        <w:rPr>
          <w:rFonts w:cs="Arial"/>
          <w:sz w:val="20"/>
        </w:rPr>
        <w:t>.</w:t>
      </w:r>
      <w:r>
        <w:rPr>
          <w:rFonts w:cs="Arial"/>
          <w:sz w:val="20"/>
        </w:rPr>
        <w:t xml:space="preserve">  The South Dust Collector and the North Dust Collector are also equipped with cyclones for control of wood shavings.  </w:t>
      </w:r>
      <w:r w:rsidRPr="000F7161">
        <w:rPr>
          <w:rFonts w:cs="Arial"/>
          <w:sz w:val="20"/>
        </w:rPr>
        <w:t>The filtered air is re</w:t>
      </w:r>
      <w:r>
        <w:rPr>
          <w:rFonts w:cs="Arial"/>
          <w:sz w:val="20"/>
        </w:rPr>
        <w:t>-</w:t>
      </w:r>
      <w:r w:rsidRPr="000F7161">
        <w:rPr>
          <w:rFonts w:cs="Arial"/>
          <w:sz w:val="20"/>
        </w:rPr>
        <w:t>circulated into the general plant environment.</w:t>
      </w:r>
    </w:p>
    <w:p w14:paraId="1320E157" w14:textId="77777777" w:rsidR="00901527" w:rsidRDefault="00901527" w:rsidP="00901527">
      <w:pPr>
        <w:rPr>
          <w:sz w:val="20"/>
        </w:rPr>
      </w:pPr>
    </w:p>
    <w:p w14:paraId="75B1C652" w14:textId="77777777" w:rsidR="00AE1D84" w:rsidRDefault="00AE1D84" w:rsidP="00F62984">
      <w:pPr>
        <w:jc w:val="both"/>
        <w:rPr>
          <w:b/>
          <w:u w:val="single"/>
        </w:rPr>
      </w:pPr>
      <w:r>
        <w:rPr>
          <w:b/>
        </w:rPr>
        <w:t xml:space="preserve">I.  </w:t>
      </w:r>
      <w:r>
        <w:rPr>
          <w:b/>
          <w:u w:val="single"/>
        </w:rPr>
        <w:t>EMISSION LIMIT(S)</w:t>
      </w:r>
    </w:p>
    <w:p w14:paraId="4012220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260"/>
        <w:gridCol w:w="2250"/>
        <w:gridCol w:w="1980"/>
        <w:gridCol w:w="1530"/>
        <w:gridCol w:w="1720"/>
      </w:tblGrid>
      <w:tr w:rsidR="00AE1D84" w14:paraId="094B1A8D" w14:textId="77777777" w:rsidTr="007E4383">
        <w:trPr>
          <w:cantSplit/>
          <w:tblHeader/>
        </w:trPr>
        <w:tc>
          <w:tcPr>
            <w:tcW w:w="1520" w:type="dxa"/>
            <w:tcBorders>
              <w:top w:val="single" w:sz="4" w:space="0" w:color="auto"/>
              <w:left w:val="single" w:sz="4" w:space="0" w:color="auto"/>
              <w:bottom w:val="single" w:sz="4" w:space="0" w:color="auto"/>
              <w:right w:val="single" w:sz="4" w:space="0" w:color="auto"/>
            </w:tcBorders>
          </w:tcPr>
          <w:p w14:paraId="12B0A2FE" w14:textId="77777777" w:rsidR="00AE1D84" w:rsidRPr="00BD3DE3" w:rsidRDefault="00AE1D84" w:rsidP="00F62984">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1D699715" w14:textId="77777777" w:rsidR="00AE1D84" w:rsidRPr="00BD3DE3" w:rsidRDefault="00AE1D84" w:rsidP="00F6298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6D5CBEE" w14:textId="77777777" w:rsidR="00AE1D84" w:rsidRDefault="00AE1D84" w:rsidP="00F62984">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02FD585C"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336E4E" w14:textId="77777777" w:rsidR="00AE1D84" w:rsidRDefault="00AE1D84" w:rsidP="00F62984">
            <w:pPr>
              <w:jc w:val="center"/>
              <w:rPr>
                <w:b/>
                <w:sz w:val="20"/>
              </w:rPr>
            </w:pPr>
            <w:r>
              <w:rPr>
                <w:b/>
                <w:sz w:val="20"/>
              </w:rPr>
              <w:t>Monitoring/</w:t>
            </w:r>
          </w:p>
          <w:p w14:paraId="6C1B789B" w14:textId="77777777" w:rsidR="00AE1D84" w:rsidRPr="00BD3DE3" w:rsidRDefault="00AE1D84" w:rsidP="00F62984">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74EED41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72295" w:rsidRPr="00ED2485" w14:paraId="1B9847B0" w14:textId="77777777" w:rsidTr="007E4383">
        <w:trPr>
          <w:cantSplit/>
        </w:trPr>
        <w:tc>
          <w:tcPr>
            <w:tcW w:w="1520" w:type="dxa"/>
            <w:tcBorders>
              <w:top w:val="single" w:sz="4" w:space="0" w:color="auto"/>
              <w:left w:val="single" w:sz="4" w:space="0" w:color="auto"/>
              <w:bottom w:val="single" w:sz="4" w:space="0" w:color="auto"/>
              <w:right w:val="single" w:sz="4" w:space="0" w:color="auto"/>
            </w:tcBorders>
          </w:tcPr>
          <w:p w14:paraId="72A7C8A4" w14:textId="77777777" w:rsidR="00914283" w:rsidRDefault="00072295" w:rsidP="00072295">
            <w:pPr>
              <w:ind w:left="360" w:hanging="360"/>
              <w:rPr>
                <w:sz w:val="20"/>
              </w:rPr>
            </w:pPr>
            <w:r>
              <w:rPr>
                <w:sz w:val="20"/>
              </w:rPr>
              <w:t xml:space="preserve">1.  Particulate </w:t>
            </w:r>
          </w:p>
          <w:p w14:paraId="57A5CAA7" w14:textId="673B32B3" w:rsidR="00072295" w:rsidRDefault="00914283" w:rsidP="00072295">
            <w:pPr>
              <w:ind w:left="360" w:hanging="360"/>
              <w:rPr>
                <w:sz w:val="20"/>
              </w:rPr>
            </w:pPr>
            <w:r>
              <w:rPr>
                <w:sz w:val="20"/>
              </w:rPr>
              <w:t xml:space="preserve">     </w:t>
            </w:r>
            <w:r w:rsidR="00072295">
              <w:rPr>
                <w:sz w:val="20"/>
              </w:rPr>
              <w:t>Matter (PM)</w:t>
            </w:r>
          </w:p>
        </w:tc>
        <w:tc>
          <w:tcPr>
            <w:tcW w:w="1260" w:type="dxa"/>
            <w:tcBorders>
              <w:top w:val="single" w:sz="4" w:space="0" w:color="auto"/>
              <w:left w:val="single" w:sz="4" w:space="0" w:color="auto"/>
              <w:bottom w:val="single" w:sz="4" w:space="0" w:color="auto"/>
              <w:right w:val="single" w:sz="4" w:space="0" w:color="auto"/>
            </w:tcBorders>
          </w:tcPr>
          <w:p w14:paraId="0E5C5265" w14:textId="5DF73652" w:rsidR="00072295" w:rsidRPr="00072295" w:rsidRDefault="00072295" w:rsidP="0051588B">
            <w:pPr>
              <w:jc w:val="center"/>
              <w:rPr>
                <w:sz w:val="20"/>
              </w:rPr>
            </w:pPr>
            <w:r>
              <w:rPr>
                <w:sz w:val="20"/>
              </w:rPr>
              <w:t>0.010 lbs</w:t>
            </w:r>
            <w:r w:rsidRPr="00CC2BB0">
              <w:rPr>
                <w:sz w:val="20"/>
                <w:vertAlign w:val="superscript"/>
              </w:rPr>
              <w:t>2</w:t>
            </w:r>
          </w:p>
          <w:p w14:paraId="06D1AB7C" w14:textId="77777777" w:rsidR="00072295" w:rsidRDefault="00072295" w:rsidP="0051588B">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34AC6FC4" w14:textId="77777777" w:rsidR="00072295" w:rsidRDefault="00072295" w:rsidP="0051588B">
            <w:pPr>
              <w:jc w:val="center"/>
              <w:rPr>
                <w:sz w:val="20"/>
              </w:rPr>
            </w:pPr>
            <w:r>
              <w:rPr>
                <w:sz w:val="20"/>
              </w:rPr>
              <w:t>Per 1000 lbs exhaust gas calculated on a wet gas basis</w:t>
            </w:r>
          </w:p>
        </w:tc>
        <w:tc>
          <w:tcPr>
            <w:tcW w:w="1980" w:type="dxa"/>
            <w:tcBorders>
              <w:top w:val="single" w:sz="4" w:space="0" w:color="auto"/>
              <w:left w:val="single" w:sz="4" w:space="0" w:color="auto"/>
              <w:bottom w:val="single" w:sz="4" w:space="0" w:color="auto"/>
              <w:right w:val="single" w:sz="4" w:space="0" w:color="auto"/>
            </w:tcBorders>
          </w:tcPr>
          <w:p w14:paraId="56488320" w14:textId="77777777" w:rsidR="00072295" w:rsidRDefault="00072295" w:rsidP="0051588B">
            <w:pPr>
              <w:jc w:val="center"/>
              <w:rPr>
                <w:sz w:val="20"/>
              </w:rPr>
            </w:pPr>
            <w:r>
              <w:rPr>
                <w:sz w:val="20"/>
              </w:rPr>
              <w:t>EU-WOODWORK-N EU-WOODWORK-S</w:t>
            </w:r>
          </w:p>
        </w:tc>
        <w:tc>
          <w:tcPr>
            <w:tcW w:w="1530" w:type="dxa"/>
            <w:tcBorders>
              <w:top w:val="single" w:sz="4" w:space="0" w:color="auto"/>
              <w:left w:val="single" w:sz="4" w:space="0" w:color="auto"/>
              <w:bottom w:val="single" w:sz="4" w:space="0" w:color="auto"/>
              <w:right w:val="single" w:sz="4" w:space="0" w:color="auto"/>
            </w:tcBorders>
          </w:tcPr>
          <w:p w14:paraId="36DB430F" w14:textId="77777777" w:rsidR="00072295" w:rsidRDefault="00072295" w:rsidP="0051588B">
            <w:pPr>
              <w:jc w:val="center"/>
              <w:rPr>
                <w:sz w:val="20"/>
              </w:rPr>
            </w:pPr>
            <w:r>
              <w:rPr>
                <w:sz w:val="20"/>
              </w:rPr>
              <w:t>SC III.1</w:t>
            </w:r>
          </w:p>
        </w:tc>
        <w:tc>
          <w:tcPr>
            <w:tcW w:w="1720" w:type="dxa"/>
            <w:tcBorders>
              <w:top w:val="single" w:sz="4" w:space="0" w:color="auto"/>
              <w:left w:val="single" w:sz="4" w:space="0" w:color="auto"/>
              <w:bottom w:val="single" w:sz="4" w:space="0" w:color="auto"/>
              <w:right w:val="single" w:sz="4" w:space="0" w:color="auto"/>
            </w:tcBorders>
          </w:tcPr>
          <w:p w14:paraId="14A86786" w14:textId="77777777" w:rsidR="00072295" w:rsidRPr="00ED2485" w:rsidRDefault="00072295" w:rsidP="0051588B">
            <w:pPr>
              <w:jc w:val="center"/>
              <w:rPr>
                <w:b/>
                <w:sz w:val="20"/>
              </w:rPr>
            </w:pPr>
            <w:r w:rsidRPr="00ED2485">
              <w:rPr>
                <w:b/>
                <w:sz w:val="20"/>
              </w:rPr>
              <w:t>R 336.1331(1)(c)</w:t>
            </w:r>
          </w:p>
        </w:tc>
      </w:tr>
    </w:tbl>
    <w:p w14:paraId="7BB64FE1" w14:textId="77777777" w:rsidR="00494D15" w:rsidRPr="00EE5F4E" w:rsidRDefault="00494D15" w:rsidP="00F62984">
      <w:pPr>
        <w:jc w:val="both"/>
        <w:rPr>
          <w:sz w:val="20"/>
        </w:rPr>
      </w:pPr>
    </w:p>
    <w:p w14:paraId="1C235F8E" w14:textId="77777777" w:rsidR="00AE1D84" w:rsidRDefault="00AE1D84" w:rsidP="00F62984">
      <w:pPr>
        <w:jc w:val="both"/>
        <w:rPr>
          <w:b/>
          <w:u w:val="single"/>
        </w:rPr>
      </w:pPr>
      <w:r>
        <w:rPr>
          <w:b/>
        </w:rPr>
        <w:t xml:space="preserve">II.  </w:t>
      </w:r>
      <w:r>
        <w:rPr>
          <w:b/>
          <w:u w:val="single"/>
        </w:rPr>
        <w:t>MATERIAL LIMIT(S)</w:t>
      </w:r>
    </w:p>
    <w:p w14:paraId="43BBD610" w14:textId="77777777" w:rsidR="00AE1D84" w:rsidRPr="00EE5F4E" w:rsidRDefault="00AE1D84" w:rsidP="00F62984">
      <w:pPr>
        <w:jc w:val="both"/>
        <w:rPr>
          <w:sz w:val="20"/>
        </w:rPr>
      </w:pPr>
    </w:p>
    <w:p w14:paraId="18100A04" w14:textId="2D060A8B" w:rsidR="00494D15" w:rsidRPr="0024614C" w:rsidRDefault="00494D15" w:rsidP="00F62984">
      <w:pPr>
        <w:jc w:val="both"/>
        <w:rPr>
          <w:sz w:val="20"/>
        </w:rPr>
      </w:pPr>
      <w:r w:rsidRPr="0024614C">
        <w:rPr>
          <w:sz w:val="20"/>
        </w:rPr>
        <w:t>NA</w:t>
      </w:r>
    </w:p>
    <w:p w14:paraId="3A5D0C00" w14:textId="77777777" w:rsidR="00494D15" w:rsidRPr="00EE5F4E" w:rsidRDefault="00494D15" w:rsidP="00F62984">
      <w:pPr>
        <w:jc w:val="both"/>
        <w:rPr>
          <w:sz w:val="20"/>
        </w:rPr>
      </w:pPr>
    </w:p>
    <w:p w14:paraId="1EA23FF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A7B64EC" w14:textId="34F53A27" w:rsidR="00AE1D84" w:rsidRDefault="00AE1D84" w:rsidP="00CC2BB0">
      <w:pPr>
        <w:ind w:left="360"/>
        <w:jc w:val="both"/>
        <w:rPr>
          <w:sz w:val="20"/>
        </w:rPr>
      </w:pPr>
    </w:p>
    <w:p w14:paraId="3AAD1207" w14:textId="45D27F04" w:rsidR="00A8280B" w:rsidRPr="005C4573" w:rsidRDefault="00A8280B" w:rsidP="00A8280B">
      <w:pPr>
        <w:numPr>
          <w:ilvl w:val="6"/>
          <w:numId w:val="22"/>
        </w:numPr>
        <w:tabs>
          <w:tab w:val="clear" w:pos="2520"/>
          <w:tab w:val="num" w:pos="360"/>
        </w:tabs>
        <w:ind w:left="360"/>
        <w:jc w:val="both"/>
      </w:pPr>
      <w:r>
        <w:rPr>
          <w:sz w:val="20"/>
        </w:rPr>
        <w:t>The permittee shall not operate FG-WOODWORK unless the cyclones and baghouse filters are installed and operating properly.</w:t>
      </w:r>
      <w:r w:rsidRPr="00ED2485">
        <w:rPr>
          <w:sz w:val="20"/>
          <w:vertAlign w:val="superscript"/>
        </w:rPr>
        <w:t>2</w:t>
      </w:r>
      <w:r>
        <w:t xml:space="preserve"> (</w:t>
      </w:r>
      <w:r w:rsidRPr="000F7161">
        <w:rPr>
          <w:rFonts w:cs="Arial"/>
          <w:b/>
          <w:sz w:val="20"/>
        </w:rPr>
        <w:t>R 336.1205</w:t>
      </w:r>
      <w:r>
        <w:rPr>
          <w:rFonts w:cs="Arial"/>
          <w:b/>
          <w:sz w:val="20"/>
        </w:rPr>
        <w:t xml:space="preserve">, </w:t>
      </w:r>
      <w:r w:rsidRPr="000F7161">
        <w:rPr>
          <w:rFonts w:cs="Arial"/>
          <w:b/>
          <w:sz w:val="20"/>
        </w:rPr>
        <w:t>R 336.1331, R 336.1901, R 336.1910, R 336.2803, R 336.2804, 40 CFR 52.21(c) and (d))</w:t>
      </w:r>
    </w:p>
    <w:p w14:paraId="5ADB8C2C" w14:textId="77777777" w:rsidR="00AE1D84" w:rsidRPr="00FB6071" w:rsidRDefault="00AE1D84" w:rsidP="00F62984">
      <w:pPr>
        <w:jc w:val="both"/>
        <w:rPr>
          <w:sz w:val="20"/>
        </w:rPr>
      </w:pPr>
    </w:p>
    <w:p w14:paraId="339D570A"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2193AB4" w14:textId="77777777" w:rsidR="00CC2BB0" w:rsidRDefault="00CC2BB0" w:rsidP="00CC2BB0">
      <w:pPr>
        <w:jc w:val="both"/>
        <w:rPr>
          <w:sz w:val="20"/>
        </w:rPr>
      </w:pPr>
    </w:p>
    <w:p w14:paraId="2A0D4F18" w14:textId="2D773AD8" w:rsidR="00AE1D84" w:rsidRPr="00C0388E" w:rsidRDefault="00CC2BB0" w:rsidP="00CC2BB0">
      <w:pPr>
        <w:jc w:val="both"/>
        <w:rPr>
          <w:sz w:val="20"/>
        </w:rPr>
      </w:pPr>
      <w:r>
        <w:rPr>
          <w:sz w:val="20"/>
        </w:rPr>
        <w:t>NA</w:t>
      </w:r>
    </w:p>
    <w:p w14:paraId="5BA021A9" w14:textId="77777777" w:rsidR="00AE1D84" w:rsidRPr="00FE0AD0" w:rsidRDefault="00AE1D84" w:rsidP="00F62984">
      <w:pPr>
        <w:jc w:val="both"/>
        <w:rPr>
          <w:sz w:val="20"/>
        </w:rPr>
      </w:pPr>
    </w:p>
    <w:p w14:paraId="29383759" w14:textId="77777777" w:rsidR="00AE1D84" w:rsidRPr="007D4237" w:rsidRDefault="00AE1D84" w:rsidP="00F62984">
      <w:pPr>
        <w:jc w:val="both"/>
      </w:pPr>
      <w:r>
        <w:rPr>
          <w:b/>
        </w:rPr>
        <w:t xml:space="preserve">V.  </w:t>
      </w:r>
      <w:r>
        <w:rPr>
          <w:b/>
          <w:u w:val="single"/>
        </w:rPr>
        <w:t>TESTING/SAMPLING</w:t>
      </w:r>
    </w:p>
    <w:p w14:paraId="6CB01AD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0264DA" w14:textId="180379A4" w:rsidR="00AE1D84" w:rsidRDefault="00AE1D84" w:rsidP="00F62984">
      <w:pPr>
        <w:jc w:val="both"/>
        <w:rPr>
          <w:sz w:val="20"/>
        </w:rPr>
      </w:pPr>
    </w:p>
    <w:p w14:paraId="2F75C61B" w14:textId="6FDA954E" w:rsidR="00AE1D84" w:rsidRPr="002A2FAE" w:rsidRDefault="00914391" w:rsidP="00914391">
      <w:pPr>
        <w:jc w:val="both"/>
        <w:rPr>
          <w:rFonts w:cs="Arial"/>
          <w:b/>
          <w:sz w:val="20"/>
        </w:rPr>
      </w:pPr>
      <w:r>
        <w:rPr>
          <w:sz w:val="20"/>
        </w:rPr>
        <w:t>NA</w:t>
      </w:r>
    </w:p>
    <w:p w14:paraId="543DC1D0" w14:textId="77777777" w:rsidR="00AE1D84" w:rsidRPr="00FE0AD0" w:rsidRDefault="00AE1D84" w:rsidP="00F62984">
      <w:pPr>
        <w:jc w:val="both"/>
        <w:rPr>
          <w:sz w:val="20"/>
        </w:rPr>
      </w:pPr>
    </w:p>
    <w:p w14:paraId="719B7D95" w14:textId="3FF75318" w:rsidR="00AE1D84" w:rsidRDefault="00AE1D84" w:rsidP="00F62984">
      <w:pPr>
        <w:jc w:val="both"/>
      </w:pPr>
      <w:r>
        <w:rPr>
          <w:b/>
        </w:rPr>
        <w:t xml:space="preserve">VI.  </w:t>
      </w:r>
      <w:r>
        <w:rPr>
          <w:b/>
          <w:u w:val="single"/>
        </w:rPr>
        <w:t>MONITORING/RECORDKEEPING</w:t>
      </w:r>
    </w:p>
    <w:p w14:paraId="752DA96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3C89A06" w14:textId="77777777" w:rsidR="00AE1D84" w:rsidRPr="00FE0AD0" w:rsidRDefault="00AE1D84" w:rsidP="00F62984">
      <w:pPr>
        <w:jc w:val="both"/>
        <w:rPr>
          <w:sz w:val="20"/>
        </w:rPr>
      </w:pPr>
    </w:p>
    <w:p w14:paraId="71C9CEA3" w14:textId="0B33E058" w:rsidR="00AE1D84" w:rsidRPr="0089383B" w:rsidRDefault="00DD7E5B" w:rsidP="006255D5">
      <w:pPr>
        <w:numPr>
          <w:ilvl w:val="0"/>
          <w:numId w:val="28"/>
        </w:numPr>
        <w:ind w:left="360"/>
        <w:jc w:val="both"/>
        <w:rPr>
          <w:b/>
          <w:bCs/>
          <w:sz w:val="20"/>
        </w:rPr>
      </w:pPr>
      <w:r>
        <w:rPr>
          <w:sz w:val="20"/>
        </w:rPr>
        <w:t>The p</w:t>
      </w:r>
      <w:r w:rsidR="00F2095A" w:rsidRPr="0089383B">
        <w:rPr>
          <w:sz w:val="20"/>
        </w:rPr>
        <w:t xml:space="preserve">ermittee shall </w:t>
      </w:r>
      <w:r w:rsidR="007F2614" w:rsidRPr="0089383B">
        <w:rPr>
          <w:sz w:val="20"/>
        </w:rPr>
        <w:t>inspect the baghouses and accessories</w:t>
      </w:r>
      <w:r w:rsidR="006B196A" w:rsidRPr="0089383B">
        <w:rPr>
          <w:sz w:val="20"/>
        </w:rPr>
        <w:t xml:space="preserve"> </w:t>
      </w:r>
      <w:r w:rsidR="00AB65D8" w:rsidRPr="0089383B">
        <w:rPr>
          <w:sz w:val="20"/>
        </w:rPr>
        <w:t>semi-annual</w:t>
      </w:r>
      <w:r w:rsidR="008213F4" w:rsidRPr="0089383B">
        <w:rPr>
          <w:sz w:val="20"/>
        </w:rPr>
        <w:t>ly</w:t>
      </w:r>
      <w:r w:rsidR="007F2614" w:rsidRPr="0089383B">
        <w:rPr>
          <w:sz w:val="20"/>
        </w:rPr>
        <w:t xml:space="preserve"> </w:t>
      </w:r>
      <w:r w:rsidR="006F1242" w:rsidRPr="0089383B">
        <w:rPr>
          <w:sz w:val="20"/>
        </w:rPr>
        <w:t xml:space="preserve">to verify </w:t>
      </w:r>
      <w:r w:rsidR="006B196A" w:rsidRPr="0089383B">
        <w:rPr>
          <w:sz w:val="20"/>
        </w:rPr>
        <w:t>proper operation</w:t>
      </w:r>
      <w:r w:rsidR="00CF6849" w:rsidRPr="0089383B">
        <w:rPr>
          <w:sz w:val="20"/>
        </w:rPr>
        <w:t>. R</w:t>
      </w:r>
      <w:r w:rsidR="00F2095A" w:rsidRPr="0089383B">
        <w:rPr>
          <w:sz w:val="20"/>
        </w:rPr>
        <w:t xml:space="preserve">ecord the </w:t>
      </w:r>
      <w:r w:rsidR="00664932" w:rsidRPr="0089383B">
        <w:rPr>
          <w:sz w:val="20"/>
        </w:rPr>
        <w:t>date, time</w:t>
      </w:r>
      <w:r w:rsidR="003A4F02" w:rsidRPr="0089383B">
        <w:rPr>
          <w:sz w:val="20"/>
        </w:rPr>
        <w:t>, name of the person inspected, finding</w:t>
      </w:r>
      <w:r w:rsidR="006F1242" w:rsidRPr="0089383B">
        <w:rPr>
          <w:sz w:val="20"/>
        </w:rPr>
        <w:t>s</w:t>
      </w:r>
      <w:r w:rsidR="00741908" w:rsidRPr="0089383B">
        <w:rPr>
          <w:sz w:val="20"/>
        </w:rPr>
        <w:t xml:space="preserve"> and </w:t>
      </w:r>
      <w:r w:rsidR="003A4F02" w:rsidRPr="0089383B">
        <w:rPr>
          <w:sz w:val="20"/>
        </w:rPr>
        <w:t xml:space="preserve">date </w:t>
      </w:r>
      <w:r w:rsidR="00F41787" w:rsidRPr="0089383B">
        <w:rPr>
          <w:sz w:val="20"/>
        </w:rPr>
        <w:t xml:space="preserve">of repairs, if necessary. </w:t>
      </w:r>
      <w:r w:rsidR="00864CD9">
        <w:rPr>
          <w:sz w:val="20"/>
        </w:rPr>
        <w:t xml:space="preserve"> </w:t>
      </w:r>
      <w:r w:rsidR="00AA573C" w:rsidRPr="0089383B">
        <w:rPr>
          <w:b/>
          <w:bCs/>
          <w:sz w:val="20"/>
        </w:rPr>
        <w:t xml:space="preserve">(R336.1213(3)) </w:t>
      </w:r>
    </w:p>
    <w:p w14:paraId="727994EA" w14:textId="24A47D5B" w:rsidR="00AE1D84" w:rsidRPr="008B5C27" w:rsidRDefault="00AE1D84" w:rsidP="00F62984">
      <w:pPr>
        <w:jc w:val="both"/>
        <w:rPr>
          <w:sz w:val="20"/>
        </w:rPr>
      </w:pPr>
    </w:p>
    <w:p w14:paraId="3D52C0D5" w14:textId="77777777" w:rsidR="00AE1D84" w:rsidRPr="00FC1F2C" w:rsidRDefault="00AE1D84" w:rsidP="00F62984">
      <w:pPr>
        <w:jc w:val="both"/>
      </w:pPr>
      <w:r>
        <w:rPr>
          <w:b/>
        </w:rPr>
        <w:t xml:space="preserve">VII.  </w:t>
      </w:r>
      <w:r>
        <w:rPr>
          <w:b/>
          <w:u w:val="single"/>
        </w:rPr>
        <w:t>REPORTING</w:t>
      </w:r>
    </w:p>
    <w:p w14:paraId="2ABC6D8B" w14:textId="77777777" w:rsidR="00AE1D84" w:rsidRPr="008B5C27" w:rsidRDefault="00AE1D84" w:rsidP="00F62984">
      <w:pPr>
        <w:jc w:val="both"/>
        <w:rPr>
          <w:sz w:val="20"/>
        </w:rPr>
      </w:pPr>
    </w:p>
    <w:p w14:paraId="19C32FE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010C864" w14:textId="77777777" w:rsidR="00AE1D84" w:rsidRPr="00C0388E" w:rsidRDefault="00AE1D84" w:rsidP="00F62984">
      <w:pPr>
        <w:ind w:left="360" w:hanging="360"/>
        <w:jc w:val="both"/>
        <w:rPr>
          <w:sz w:val="20"/>
        </w:rPr>
      </w:pPr>
    </w:p>
    <w:p w14:paraId="4EE4959E" w14:textId="77777777" w:rsidR="00AE1D84" w:rsidRPr="00FC1F2C" w:rsidRDefault="00AE1D84" w:rsidP="00F62984">
      <w:pPr>
        <w:ind w:left="360" w:hanging="360"/>
        <w:jc w:val="both"/>
        <w:rPr>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24CC0D1" w14:textId="77777777" w:rsidR="00AE1D84" w:rsidRPr="00C0388E" w:rsidRDefault="00AE1D84" w:rsidP="00F62984">
      <w:pPr>
        <w:ind w:left="360" w:hanging="360"/>
        <w:jc w:val="both"/>
        <w:rPr>
          <w:sz w:val="20"/>
        </w:rPr>
      </w:pPr>
    </w:p>
    <w:p w14:paraId="64CE2487" w14:textId="02BBC7D9" w:rsidR="00AE1D84" w:rsidRPr="00124DF4" w:rsidRDefault="00AE1D84" w:rsidP="00124DF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35C3ADD" w14:textId="77777777" w:rsidR="00AE1D84" w:rsidRPr="00FE0AD0" w:rsidRDefault="00AE1D84" w:rsidP="00F62984">
      <w:pPr>
        <w:ind w:right="72"/>
        <w:jc w:val="both"/>
        <w:rPr>
          <w:rFonts w:cs="Arial"/>
          <w:sz w:val="20"/>
        </w:rPr>
      </w:pPr>
    </w:p>
    <w:p w14:paraId="144B18BD" w14:textId="77777777" w:rsidR="00AE1D84" w:rsidRPr="00FC1F2C" w:rsidRDefault="00AE1D84" w:rsidP="00F62984">
      <w:pPr>
        <w:jc w:val="both"/>
        <w:rPr>
          <w:rFonts w:cs="Arial"/>
          <w:sz w:val="20"/>
        </w:rPr>
      </w:pPr>
      <w:r w:rsidRPr="00FE0AD0">
        <w:rPr>
          <w:rFonts w:cs="Arial"/>
          <w:b/>
          <w:sz w:val="20"/>
        </w:rPr>
        <w:t>See Appendix 8</w:t>
      </w:r>
    </w:p>
    <w:p w14:paraId="2000C615" w14:textId="77777777" w:rsidR="00AE1D84" w:rsidRPr="00E111A8" w:rsidRDefault="00AE1D84" w:rsidP="00F62984">
      <w:pPr>
        <w:jc w:val="both"/>
        <w:rPr>
          <w:rFonts w:cs="Arial"/>
          <w:sz w:val="20"/>
        </w:rPr>
      </w:pPr>
    </w:p>
    <w:p w14:paraId="58BBC8AD" w14:textId="77777777" w:rsidR="00AE1D84" w:rsidRDefault="00AE1D84" w:rsidP="00F62984">
      <w:pPr>
        <w:jc w:val="both"/>
      </w:pPr>
      <w:r>
        <w:rPr>
          <w:b/>
        </w:rPr>
        <w:t xml:space="preserve">VIII.  </w:t>
      </w:r>
      <w:r>
        <w:rPr>
          <w:b/>
          <w:u w:val="single"/>
        </w:rPr>
        <w:t>STACK/VENT RESTRICTION(S)</w:t>
      </w:r>
    </w:p>
    <w:p w14:paraId="18DAF6C8" w14:textId="77777777" w:rsidR="00D130FA" w:rsidRPr="00D662C0" w:rsidRDefault="00D130FA" w:rsidP="006255D5">
      <w:pPr>
        <w:numPr>
          <w:ilvl w:val="0"/>
          <w:numId w:val="33"/>
        </w:numPr>
        <w:jc w:val="both"/>
      </w:pPr>
      <w:r w:rsidRPr="000F7161">
        <w:rPr>
          <w:rFonts w:cs="Arial"/>
          <w:sz w:val="20"/>
        </w:rPr>
        <w:t xml:space="preserve">The exhaust gases from </w:t>
      </w:r>
      <w:r w:rsidRPr="000F7161">
        <w:rPr>
          <w:sz w:val="20"/>
        </w:rPr>
        <w:t xml:space="preserve">FG-WOODWORK </w:t>
      </w:r>
      <w:r w:rsidRPr="000F7161">
        <w:rPr>
          <w:rFonts w:cs="Arial"/>
          <w:sz w:val="20"/>
        </w:rPr>
        <w:t>shall not be directly vented to the outside atmosphere at any time.</w:t>
      </w:r>
      <w:r w:rsidRPr="00ED2485">
        <w:rPr>
          <w:sz w:val="20"/>
          <w:vertAlign w:val="superscript"/>
        </w:rPr>
        <w:t>2</w:t>
      </w:r>
      <w:r>
        <w:t xml:space="preserve"> </w:t>
      </w:r>
      <w:r w:rsidRPr="000F7161">
        <w:rPr>
          <w:rFonts w:cs="Arial"/>
          <w:b/>
          <w:sz w:val="20"/>
        </w:rPr>
        <w:t>(R 336.1225, R 336.1901, R 336.2803, R 336.2804, 40 </w:t>
      </w:r>
      <w:smartTag w:uri="urn:schemas-microsoft-com:office:smarttags" w:element="stockticker">
        <w:r w:rsidRPr="000F7161">
          <w:rPr>
            <w:rFonts w:cs="Arial"/>
            <w:b/>
            <w:sz w:val="20"/>
          </w:rPr>
          <w:t>CFR</w:t>
        </w:r>
      </w:smartTag>
      <w:r w:rsidRPr="000F7161">
        <w:rPr>
          <w:rFonts w:cs="Arial"/>
          <w:b/>
          <w:sz w:val="20"/>
        </w:rPr>
        <w:t> 52.21(c) &amp; (d))</w:t>
      </w:r>
    </w:p>
    <w:p w14:paraId="370E85C4" w14:textId="77777777" w:rsidR="00AE1D84" w:rsidRDefault="00AE1D84" w:rsidP="00F62984">
      <w:pPr>
        <w:jc w:val="both"/>
        <w:rPr>
          <w:sz w:val="20"/>
        </w:rPr>
      </w:pPr>
    </w:p>
    <w:p w14:paraId="08D65CDD" w14:textId="60B51839" w:rsidR="00AE1D84" w:rsidRDefault="00613DB8" w:rsidP="00F62984">
      <w:pPr>
        <w:jc w:val="both"/>
      </w:pPr>
      <w:r>
        <w:rPr>
          <w:sz w:val="20"/>
        </w:rPr>
        <w:t xml:space="preserve"> </w:t>
      </w:r>
      <w:r w:rsidR="00AE1D84">
        <w:rPr>
          <w:b/>
        </w:rPr>
        <w:t xml:space="preserve">IX.  </w:t>
      </w:r>
      <w:r w:rsidR="00AE1D84">
        <w:rPr>
          <w:b/>
          <w:u w:val="single"/>
        </w:rPr>
        <w:t>OTHER REQUIREMENT(S)</w:t>
      </w:r>
    </w:p>
    <w:p w14:paraId="27285EC8" w14:textId="77777777" w:rsidR="00D130FA" w:rsidRDefault="00D130FA" w:rsidP="00D130FA">
      <w:pPr>
        <w:ind w:left="360"/>
        <w:jc w:val="both"/>
        <w:rPr>
          <w:sz w:val="20"/>
        </w:rPr>
      </w:pPr>
    </w:p>
    <w:p w14:paraId="0DAB34D1" w14:textId="2E66571A" w:rsidR="00D130FA" w:rsidRPr="00D662C0" w:rsidRDefault="00D130FA" w:rsidP="00D130FA">
      <w:pPr>
        <w:jc w:val="both"/>
      </w:pPr>
      <w:r>
        <w:rPr>
          <w:rFonts w:cs="Arial"/>
          <w:sz w:val="20"/>
        </w:rPr>
        <w:t>NA</w:t>
      </w:r>
    </w:p>
    <w:p w14:paraId="1C09CACB" w14:textId="77777777" w:rsidR="00AE1D84" w:rsidRPr="00C0388E" w:rsidRDefault="00AE1D84" w:rsidP="00D130FA">
      <w:pPr>
        <w:ind w:left="360"/>
        <w:jc w:val="both"/>
        <w:rPr>
          <w:sz w:val="20"/>
        </w:rPr>
      </w:pPr>
    </w:p>
    <w:p w14:paraId="3EB58DA9" w14:textId="77777777" w:rsidR="00AE1D84" w:rsidRDefault="00AE1D84" w:rsidP="00F62984">
      <w:pPr>
        <w:jc w:val="both"/>
        <w:rPr>
          <w:sz w:val="20"/>
        </w:rPr>
      </w:pPr>
    </w:p>
    <w:p w14:paraId="560863E9" w14:textId="77777777" w:rsidR="000662AD" w:rsidRPr="00FE0AD0" w:rsidRDefault="000662AD" w:rsidP="00F62984">
      <w:pPr>
        <w:jc w:val="both"/>
        <w:rPr>
          <w:sz w:val="20"/>
        </w:rPr>
      </w:pPr>
    </w:p>
    <w:p w14:paraId="1AEDC17B" w14:textId="77777777" w:rsidR="00AE1D84" w:rsidRPr="00B90185" w:rsidRDefault="00AE1D84" w:rsidP="00F62984">
      <w:pPr>
        <w:jc w:val="both"/>
        <w:rPr>
          <w:b/>
          <w:sz w:val="20"/>
        </w:rPr>
      </w:pPr>
      <w:r w:rsidRPr="00B90185">
        <w:rPr>
          <w:b/>
          <w:sz w:val="20"/>
          <w:u w:val="single"/>
        </w:rPr>
        <w:t>Footnotes</w:t>
      </w:r>
      <w:r w:rsidRPr="00B90185">
        <w:rPr>
          <w:b/>
          <w:sz w:val="20"/>
        </w:rPr>
        <w:t>:</w:t>
      </w:r>
    </w:p>
    <w:p w14:paraId="2E244B60" w14:textId="1E6F2D1C"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16C647D" w14:textId="2A223BF4" w:rsidR="00D130FA" w:rsidRDefault="00AE1D84" w:rsidP="00F62984">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F2B372" w14:textId="77777777" w:rsidR="00D130FA" w:rsidRDefault="00D130FA">
      <w:pPr>
        <w:rPr>
          <w:sz w:val="20"/>
        </w:rPr>
      </w:pPr>
      <w:r>
        <w:rPr>
          <w:sz w:val="20"/>
        </w:rPr>
        <w:br w:type="page"/>
      </w:r>
    </w:p>
    <w:p w14:paraId="41D7ECFD" w14:textId="4872FDCC" w:rsidR="00C43966" w:rsidRPr="00347387" w:rsidRDefault="00C43966"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852399"/>
      <w:bookmarkStart w:id="79" w:name="_Toc852730"/>
      <w:bookmarkStart w:id="80" w:name="_Toc8785176"/>
      <w:bookmarkStart w:id="81" w:name="_Toc117065700"/>
      <w:r>
        <w:rPr>
          <w:bCs/>
          <w:iCs/>
          <w:szCs w:val="28"/>
        </w:rPr>
        <w:lastRenderedPageBreak/>
        <w:t>F</w:t>
      </w:r>
      <w:r w:rsidRPr="00347387">
        <w:rPr>
          <w:bCs/>
          <w:iCs/>
          <w:szCs w:val="28"/>
        </w:rPr>
        <w:t>G</w:t>
      </w:r>
      <w:r w:rsidR="00A20A97">
        <w:rPr>
          <w:bCs/>
          <w:iCs/>
          <w:szCs w:val="28"/>
        </w:rPr>
        <w:t>-</w:t>
      </w:r>
      <w:r w:rsidR="00D130FA">
        <w:rPr>
          <w:bCs/>
          <w:iCs/>
          <w:szCs w:val="28"/>
        </w:rPr>
        <w:t>FINISH</w:t>
      </w:r>
      <w:bookmarkEnd w:id="78"/>
      <w:bookmarkEnd w:id="79"/>
      <w:bookmarkEnd w:id="80"/>
      <w:bookmarkEnd w:id="81"/>
    </w:p>
    <w:p w14:paraId="13AB8C57" w14:textId="77777777" w:rsidR="00C43966" w:rsidRPr="00EE02F9" w:rsidRDefault="00C43966"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733A4B2" w14:textId="77777777" w:rsidR="00C43966" w:rsidRPr="00F30023" w:rsidRDefault="00C43966" w:rsidP="00863721">
      <w:pPr>
        <w:rPr>
          <w:sz w:val="20"/>
        </w:rPr>
      </w:pPr>
    </w:p>
    <w:p w14:paraId="53421841" w14:textId="77777777" w:rsidR="00C43966" w:rsidRDefault="00C43966" w:rsidP="00863721">
      <w:pPr>
        <w:jc w:val="both"/>
        <w:rPr>
          <w:b/>
          <w:u w:val="single"/>
        </w:rPr>
      </w:pPr>
      <w:r>
        <w:rPr>
          <w:b/>
          <w:u w:val="single"/>
        </w:rPr>
        <w:t>DESCRIPTION</w:t>
      </w:r>
    </w:p>
    <w:p w14:paraId="614B3070" w14:textId="70F8D36A" w:rsidR="00C43966" w:rsidRPr="00B60FAD" w:rsidRDefault="008A7E3F" w:rsidP="00B2156D">
      <w:pPr>
        <w:jc w:val="both"/>
        <w:rPr>
          <w:color w:val="FF0000"/>
          <w:sz w:val="20"/>
        </w:rPr>
      </w:pPr>
      <w:r>
        <w:rPr>
          <w:color w:val="FF0000"/>
          <w:sz w:val="20"/>
          <w:u w:val="single"/>
        </w:rPr>
        <w:t xml:space="preserve"> </w:t>
      </w:r>
    </w:p>
    <w:p w14:paraId="0303061D" w14:textId="77777777" w:rsidR="008A7E3F" w:rsidRPr="00FF27C7" w:rsidRDefault="008A7E3F" w:rsidP="008A7E3F">
      <w:pPr>
        <w:jc w:val="both"/>
        <w:rPr>
          <w:b/>
          <w:sz w:val="20"/>
          <w:u w:val="single"/>
        </w:rPr>
      </w:pPr>
      <w:r>
        <w:rPr>
          <w:rFonts w:cs="Arial"/>
          <w:sz w:val="20"/>
        </w:rPr>
        <w:t xml:space="preserve">Three (3) dry filter spray coating booths used to apply stains, varnishes, lacquers, and paints on wood furniture and wood furniture components (kitchen cabinets and parts), associated purge and clean-up operations, and assembly of various wood furniture and wood furniture components.  </w:t>
      </w:r>
    </w:p>
    <w:p w14:paraId="1C8E220A" w14:textId="77777777" w:rsidR="00C43966" w:rsidRPr="00C3424D" w:rsidRDefault="00C43966" w:rsidP="00863721">
      <w:pPr>
        <w:jc w:val="both"/>
        <w:rPr>
          <w:sz w:val="20"/>
        </w:rPr>
      </w:pPr>
    </w:p>
    <w:p w14:paraId="13BC9BF3" w14:textId="2CEB6726" w:rsidR="00C43966" w:rsidRPr="00A86D8D" w:rsidRDefault="00C43966" w:rsidP="00B2156D">
      <w:pPr>
        <w:jc w:val="both"/>
        <w:rPr>
          <w:sz w:val="20"/>
        </w:rPr>
      </w:pPr>
      <w:r w:rsidRPr="00FE0AD0">
        <w:rPr>
          <w:b/>
          <w:sz w:val="20"/>
        </w:rPr>
        <w:t>Emission Unit</w:t>
      </w:r>
      <w:r w:rsidR="00864CD9">
        <w:rPr>
          <w:b/>
          <w:sz w:val="20"/>
        </w:rPr>
        <w:t>s</w:t>
      </w:r>
      <w:r>
        <w:rPr>
          <w:b/>
          <w:sz w:val="20"/>
        </w:rPr>
        <w:t>:</w:t>
      </w:r>
      <w:r>
        <w:rPr>
          <w:sz w:val="20"/>
        </w:rPr>
        <w:t xml:space="preserve"> </w:t>
      </w:r>
      <w:r w:rsidR="00864CD9">
        <w:rPr>
          <w:sz w:val="20"/>
        </w:rPr>
        <w:t xml:space="preserve"> </w:t>
      </w:r>
      <w:r w:rsidR="006771CD">
        <w:rPr>
          <w:rFonts w:cs="Arial"/>
          <w:sz w:val="20"/>
        </w:rPr>
        <w:t>EU-BOOTH1, EU-BOOTH2, EU-BOOTH3, EU-CLEANUP, EU-ASSEMBLY</w:t>
      </w:r>
    </w:p>
    <w:p w14:paraId="45B7633D" w14:textId="77777777" w:rsidR="00C43966" w:rsidRPr="00F30023" w:rsidRDefault="00C43966" w:rsidP="00606D22">
      <w:pPr>
        <w:jc w:val="both"/>
        <w:rPr>
          <w:sz w:val="20"/>
        </w:rPr>
      </w:pPr>
    </w:p>
    <w:p w14:paraId="2766EA36" w14:textId="77777777" w:rsidR="00C43966" w:rsidRDefault="00C43966" w:rsidP="00606D22">
      <w:pPr>
        <w:jc w:val="both"/>
        <w:rPr>
          <w:b/>
          <w:u w:val="single"/>
        </w:rPr>
      </w:pPr>
      <w:r>
        <w:rPr>
          <w:b/>
          <w:u w:val="single"/>
        </w:rPr>
        <w:t>POLLUTION CONTROL EQUIPMENT</w:t>
      </w:r>
    </w:p>
    <w:p w14:paraId="3233E54C" w14:textId="77777777" w:rsidR="00C43966" w:rsidRPr="0074351C" w:rsidRDefault="00C43966" w:rsidP="00606D22">
      <w:pPr>
        <w:jc w:val="both"/>
      </w:pPr>
    </w:p>
    <w:p w14:paraId="3C30CB8B" w14:textId="77777777" w:rsidR="000E7D87" w:rsidRPr="00ED5A0A" w:rsidRDefault="000E7D87" w:rsidP="000E7D87">
      <w:pPr>
        <w:jc w:val="both"/>
        <w:rPr>
          <w:sz w:val="20"/>
        </w:rPr>
      </w:pPr>
      <w:r w:rsidRPr="00ED5A0A">
        <w:rPr>
          <w:rFonts w:cs="Arial"/>
          <w:sz w:val="20"/>
        </w:rPr>
        <w:t>EU-BOOTH1, EU-BOOTH2, and EU-BOOTH3 equipped with dry exhaust filters to control particulate emissions.</w:t>
      </w:r>
    </w:p>
    <w:p w14:paraId="36FD70EF" w14:textId="77777777" w:rsidR="000E7D87" w:rsidRPr="00ED5A0A" w:rsidRDefault="000E7D87" w:rsidP="000E7D87">
      <w:pPr>
        <w:jc w:val="both"/>
        <w:rPr>
          <w:sz w:val="20"/>
        </w:rPr>
      </w:pPr>
    </w:p>
    <w:p w14:paraId="1D7C2E91" w14:textId="77777777" w:rsidR="00C43966" w:rsidRDefault="00C43966" w:rsidP="001A652A">
      <w:pPr>
        <w:jc w:val="both"/>
        <w:rPr>
          <w:b/>
          <w:u w:val="single"/>
        </w:rPr>
      </w:pPr>
      <w:r>
        <w:rPr>
          <w:b/>
        </w:rPr>
        <w:t xml:space="preserve">I.  </w:t>
      </w:r>
      <w:r>
        <w:rPr>
          <w:b/>
          <w:u w:val="single"/>
        </w:rPr>
        <w:t>EMISSION LIMIT(S)</w:t>
      </w:r>
    </w:p>
    <w:p w14:paraId="4013237A" w14:textId="77777777" w:rsidR="00C43966" w:rsidRPr="00FE0AD0" w:rsidRDefault="00C43966"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43966" w14:paraId="4FE054C5" w14:textId="77777777" w:rsidTr="006017D6">
        <w:trPr>
          <w:cantSplit/>
          <w:tblHeader/>
        </w:trPr>
        <w:tc>
          <w:tcPr>
            <w:tcW w:w="1626" w:type="dxa"/>
            <w:tcBorders>
              <w:top w:val="single" w:sz="4" w:space="0" w:color="auto"/>
              <w:left w:val="single" w:sz="4" w:space="0" w:color="auto"/>
              <w:bottom w:val="single" w:sz="4" w:space="0" w:color="auto"/>
              <w:right w:val="single" w:sz="4" w:space="0" w:color="auto"/>
            </w:tcBorders>
          </w:tcPr>
          <w:p w14:paraId="3944DF01" w14:textId="77777777" w:rsidR="00C43966" w:rsidRPr="00BD3DE3" w:rsidRDefault="00C43966"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22C017B" w14:textId="77777777" w:rsidR="00C43966" w:rsidRPr="00BD3DE3" w:rsidRDefault="00C43966" w:rsidP="004F11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D41968A" w14:textId="77777777" w:rsidR="00C43966" w:rsidRDefault="00C43966" w:rsidP="004F11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838F138" w14:textId="77777777" w:rsidR="00C43966" w:rsidRPr="00BD3DE3" w:rsidRDefault="00C43966"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B8AB6F4" w14:textId="77777777" w:rsidR="00C43966" w:rsidRDefault="00C43966" w:rsidP="004F11B6">
            <w:pPr>
              <w:jc w:val="center"/>
              <w:rPr>
                <w:b/>
                <w:sz w:val="20"/>
              </w:rPr>
            </w:pPr>
            <w:r>
              <w:rPr>
                <w:b/>
                <w:sz w:val="20"/>
              </w:rPr>
              <w:t>Monitoring/</w:t>
            </w:r>
          </w:p>
          <w:p w14:paraId="03997EAB" w14:textId="77777777" w:rsidR="00C43966" w:rsidRPr="00BD3DE3" w:rsidRDefault="00C43966"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29D194C" w14:textId="77777777" w:rsidR="00C43966" w:rsidRPr="00BD3DE3" w:rsidRDefault="00C43966" w:rsidP="004F11B6">
            <w:pPr>
              <w:jc w:val="center"/>
              <w:rPr>
                <w:b/>
                <w:sz w:val="20"/>
              </w:rPr>
            </w:pPr>
            <w:r w:rsidRPr="00BD3DE3">
              <w:rPr>
                <w:b/>
                <w:sz w:val="20"/>
              </w:rPr>
              <w:t>Underlying</w:t>
            </w:r>
            <w:r>
              <w:rPr>
                <w:b/>
                <w:sz w:val="20"/>
              </w:rPr>
              <w:t xml:space="preserve"> </w:t>
            </w:r>
            <w:r w:rsidRPr="00BD3DE3">
              <w:rPr>
                <w:b/>
                <w:sz w:val="20"/>
              </w:rPr>
              <w:t>Applicable Requirements</w:t>
            </w:r>
          </w:p>
        </w:tc>
      </w:tr>
      <w:tr w:rsidR="006017D6" w:rsidRPr="00DA1033" w14:paraId="7D58B0A3" w14:textId="77777777" w:rsidTr="006017D6">
        <w:trPr>
          <w:cantSplit/>
        </w:trPr>
        <w:tc>
          <w:tcPr>
            <w:tcW w:w="1626" w:type="dxa"/>
            <w:tcBorders>
              <w:top w:val="single" w:sz="4" w:space="0" w:color="auto"/>
              <w:left w:val="single" w:sz="4" w:space="0" w:color="auto"/>
              <w:bottom w:val="single" w:sz="4" w:space="0" w:color="auto"/>
              <w:right w:val="single" w:sz="4" w:space="0" w:color="auto"/>
            </w:tcBorders>
          </w:tcPr>
          <w:p w14:paraId="15BD947B" w14:textId="77777777" w:rsidR="006017D6" w:rsidRPr="006017D6" w:rsidRDefault="006017D6" w:rsidP="006017D6">
            <w:pPr>
              <w:ind w:left="360" w:hanging="360"/>
              <w:rPr>
                <w:sz w:val="20"/>
              </w:rPr>
            </w:pPr>
            <w:r w:rsidRPr="006017D6">
              <w:rPr>
                <w:sz w:val="20"/>
              </w:rPr>
              <w:t>1.  VOC</w:t>
            </w:r>
          </w:p>
        </w:tc>
        <w:tc>
          <w:tcPr>
            <w:tcW w:w="1440" w:type="dxa"/>
            <w:tcBorders>
              <w:top w:val="single" w:sz="4" w:space="0" w:color="auto"/>
              <w:left w:val="single" w:sz="4" w:space="0" w:color="auto"/>
              <w:bottom w:val="single" w:sz="4" w:space="0" w:color="auto"/>
              <w:right w:val="single" w:sz="4" w:space="0" w:color="auto"/>
            </w:tcBorders>
          </w:tcPr>
          <w:p w14:paraId="24F5FBE4" w14:textId="77777777" w:rsidR="006017D6" w:rsidRPr="006017D6" w:rsidRDefault="006017D6" w:rsidP="0051588B">
            <w:pPr>
              <w:jc w:val="center"/>
              <w:rPr>
                <w:sz w:val="20"/>
              </w:rPr>
            </w:pPr>
            <w:r w:rsidRPr="006017D6">
              <w:rPr>
                <w:sz w:val="20"/>
              </w:rPr>
              <w:t>29.2 tpy</w:t>
            </w:r>
            <w:r w:rsidRPr="006017D6">
              <w:rPr>
                <w:sz w:val="20"/>
                <w:vertAlign w:val="superscript"/>
              </w:rPr>
              <w:t>2</w:t>
            </w:r>
          </w:p>
          <w:p w14:paraId="0BCD1F11" w14:textId="77777777" w:rsidR="006017D6" w:rsidRPr="006017D6" w:rsidRDefault="006017D6" w:rsidP="0051588B">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572D7C5B" w14:textId="77777777" w:rsidR="006017D6" w:rsidRPr="006017D6" w:rsidRDefault="006017D6" w:rsidP="0051588B">
            <w:pPr>
              <w:jc w:val="center"/>
              <w:rPr>
                <w:sz w:val="20"/>
              </w:rPr>
            </w:pPr>
            <w:r w:rsidRPr="006017D6">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7089D35" w14:textId="77777777" w:rsidR="006017D6" w:rsidRPr="006017D6" w:rsidRDefault="006017D6" w:rsidP="0051588B">
            <w:pPr>
              <w:jc w:val="center"/>
              <w:rPr>
                <w:sz w:val="20"/>
              </w:rPr>
            </w:pPr>
            <w:r w:rsidRPr="006017D6">
              <w:rPr>
                <w:sz w:val="20"/>
              </w:rPr>
              <w:t>FG-FINISH</w:t>
            </w:r>
          </w:p>
        </w:tc>
        <w:tc>
          <w:tcPr>
            <w:tcW w:w="1530" w:type="dxa"/>
            <w:tcBorders>
              <w:top w:val="single" w:sz="4" w:space="0" w:color="auto"/>
              <w:left w:val="single" w:sz="4" w:space="0" w:color="auto"/>
              <w:bottom w:val="single" w:sz="4" w:space="0" w:color="auto"/>
              <w:right w:val="single" w:sz="4" w:space="0" w:color="auto"/>
            </w:tcBorders>
          </w:tcPr>
          <w:p w14:paraId="4AB809AA" w14:textId="5DE0DD9E" w:rsidR="006017D6" w:rsidRDefault="006017D6" w:rsidP="0051588B">
            <w:pPr>
              <w:jc w:val="center"/>
              <w:rPr>
                <w:sz w:val="20"/>
              </w:rPr>
            </w:pPr>
            <w:r w:rsidRPr="006017D6">
              <w:rPr>
                <w:sz w:val="20"/>
              </w:rPr>
              <w:t>SC VI.1</w:t>
            </w:r>
          </w:p>
          <w:p w14:paraId="363B0D5F" w14:textId="16A2D4D0" w:rsidR="006017D6" w:rsidRDefault="006017D6" w:rsidP="0051588B">
            <w:pPr>
              <w:jc w:val="center"/>
              <w:rPr>
                <w:sz w:val="20"/>
              </w:rPr>
            </w:pPr>
            <w:r>
              <w:rPr>
                <w:sz w:val="20"/>
              </w:rPr>
              <w:t xml:space="preserve">SC </w:t>
            </w:r>
            <w:r w:rsidRPr="006017D6">
              <w:rPr>
                <w:sz w:val="20"/>
              </w:rPr>
              <w:t xml:space="preserve">VI.2 </w:t>
            </w:r>
          </w:p>
          <w:p w14:paraId="7083AE2D" w14:textId="20DA4693" w:rsidR="006017D6" w:rsidRPr="006017D6" w:rsidRDefault="006017D6" w:rsidP="0051588B">
            <w:pPr>
              <w:jc w:val="center"/>
              <w:rPr>
                <w:sz w:val="20"/>
              </w:rPr>
            </w:pPr>
            <w:r>
              <w:rPr>
                <w:sz w:val="20"/>
              </w:rPr>
              <w:t xml:space="preserve">SC </w:t>
            </w:r>
            <w:r w:rsidRPr="006017D6">
              <w:rPr>
                <w:sz w:val="20"/>
              </w:rPr>
              <w:t>VI.3</w:t>
            </w:r>
          </w:p>
          <w:p w14:paraId="06BDEFD5" w14:textId="77777777" w:rsidR="006017D6" w:rsidRPr="006017D6" w:rsidRDefault="006017D6" w:rsidP="0051588B">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3FA67F0B" w14:textId="7FCADDF1" w:rsidR="006017D6" w:rsidRPr="006017D6" w:rsidRDefault="006017D6" w:rsidP="0051588B">
            <w:pPr>
              <w:jc w:val="center"/>
              <w:rPr>
                <w:b/>
                <w:sz w:val="20"/>
              </w:rPr>
            </w:pPr>
            <w:r w:rsidRPr="006017D6">
              <w:rPr>
                <w:b/>
                <w:sz w:val="20"/>
              </w:rPr>
              <w:t>R 336.1225</w:t>
            </w:r>
          </w:p>
          <w:p w14:paraId="71649977" w14:textId="77777777" w:rsidR="006017D6" w:rsidRPr="006017D6" w:rsidRDefault="006017D6" w:rsidP="0051588B">
            <w:pPr>
              <w:jc w:val="center"/>
              <w:rPr>
                <w:b/>
                <w:sz w:val="20"/>
              </w:rPr>
            </w:pPr>
            <w:r w:rsidRPr="006017D6">
              <w:rPr>
                <w:b/>
                <w:sz w:val="20"/>
              </w:rPr>
              <w:t>R 336.1702(a)</w:t>
            </w:r>
          </w:p>
          <w:p w14:paraId="3B606D95" w14:textId="77777777" w:rsidR="006017D6" w:rsidRPr="006017D6" w:rsidRDefault="006017D6" w:rsidP="0051588B">
            <w:pPr>
              <w:jc w:val="center"/>
              <w:rPr>
                <w:b/>
                <w:sz w:val="20"/>
              </w:rPr>
            </w:pPr>
          </w:p>
        </w:tc>
      </w:tr>
    </w:tbl>
    <w:p w14:paraId="79EA7A7A" w14:textId="77777777" w:rsidR="00C43966" w:rsidRDefault="00C43966" w:rsidP="001A652A">
      <w:pPr>
        <w:jc w:val="both"/>
        <w:rPr>
          <w:sz w:val="20"/>
        </w:rPr>
      </w:pPr>
    </w:p>
    <w:p w14:paraId="10AB8FAE" w14:textId="45EECE19" w:rsidR="00C43966" w:rsidRDefault="00C43966" w:rsidP="001A652A">
      <w:pPr>
        <w:jc w:val="both"/>
        <w:rPr>
          <w:b/>
          <w:u w:val="single"/>
        </w:rPr>
      </w:pPr>
      <w:r>
        <w:rPr>
          <w:b/>
        </w:rPr>
        <w:t xml:space="preserve">II.  </w:t>
      </w:r>
      <w:r>
        <w:rPr>
          <w:b/>
          <w:u w:val="single"/>
        </w:rPr>
        <w:t>MATERIAL LIMIT(S)</w:t>
      </w:r>
    </w:p>
    <w:p w14:paraId="20B3CD2C" w14:textId="77777777" w:rsidR="00C43966" w:rsidRPr="00FE0AD0" w:rsidRDefault="00C43966"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43966" w14:paraId="1CD54355" w14:textId="77777777" w:rsidTr="004C2422">
        <w:trPr>
          <w:cantSplit/>
          <w:tblHeader/>
        </w:trPr>
        <w:tc>
          <w:tcPr>
            <w:tcW w:w="1626" w:type="dxa"/>
            <w:tcBorders>
              <w:top w:val="single" w:sz="4" w:space="0" w:color="auto"/>
              <w:left w:val="single" w:sz="4" w:space="0" w:color="auto"/>
              <w:bottom w:val="single" w:sz="4" w:space="0" w:color="auto"/>
              <w:right w:val="single" w:sz="4" w:space="0" w:color="auto"/>
            </w:tcBorders>
          </w:tcPr>
          <w:p w14:paraId="2CD2C4FC" w14:textId="77777777" w:rsidR="00C43966" w:rsidRPr="00BD3DE3" w:rsidRDefault="00C43966" w:rsidP="004F11B6">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CDBD3A3" w14:textId="77777777" w:rsidR="00C43966" w:rsidRPr="00BD3DE3" w:rsidRDefault="00C43966" w:rsidP="004F11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852D0C3" w14:textId="77777777" w:rsidR="00C43966" w:rsidRDefault="00C43966" w:rsidP="004F11B6">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C1F7352" w14:textId="77777777" w:rsidR="00C43966" w:rsidRPr="00BD3DE3" w:rsidRDefault="00C43966" w:rsidP="004F11B6">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98109F" w14:textId="77777777" w:rsidR="00C43966" w:rsidRDefault="00C43966" w:rsidP="004F11B6">
            <w:pPr>
              <w:jc w:val="center"/>
              <w:rPr>
                <w:b/>
                <w:sz w:val="20"/>
              </w:rPr>
            </w:pPr>
            <w:r>
              <w:rPr>
                <w:b/>
                <w:sz w:val="20"/>
              </w:rPr>
              <w:t>Monitoring/</w:t>
            </w:r>
          </w:p>
          <w:p w14:paraId="1DC252BF" w14:textId="77777777" w:rsidR="00C43966" w:rsidRPr="00BD3DE3" w:rsidRDefault="00C43966" w:rsidP="004F11B6">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2ED1897" w14:textId="77777777" w:rsidR="00C43966" w:rsidRPr="00BD3DE3" w:rsidRDefault="00C43966" w:rsidP="004F11B6">
            <w:pPr>
              <w:jc w:val="center"/>
              <w:rPr>
                <w:b/>
                <w:sz w:val="20"/>
              </w:rPr>
            </w:pPr>
            <w:r w:rsidRPr="00BD3DE3">
              <w:rPr>
                <w:b/>
                <w:sz w:val="20"/>
              </w:rPr>
              <w:t>Underlying</w:t>
            </w:r>
            <w:r>
              <w:rPr>
                <w:b/>
                <w:sz w:val="20"/>
              </w:rPr>
              <w:t xml:space="preserve"> </w:t>
            </w:r>
            <w:r w:rsidRPr="00BD3DE3">
              <w:rPr>
                <w:b/>
                <w:sz w:val="20"/>
              </w:rPr>
              <w:t>Applicable Requirements</w:t>
            </w:r>
          </w:p>
        </w:tc>
      </w:tr>
      <w:tr w:rsidR="004C2422" w:rsidRPr="00DA1033" w14:paraId="6F2082B8" w14:textId="77777777" w:rsidTr="004C2422">
        <w:trPr>
          <w:cantSplit/>
        </w:trPr>
        <w:tc>
          <w:tcPr>
            <w:tcW w:w="1626" w:type="dxa"/>
            <w:tcBorders>
              <w:top w:val="single" w:sz="4" w:space="0" w:color="auto"/>
              <w:left w:val="single" w:sz="4" w:space="0" w:color="auto"/>
              <w:bottom w:val="single" w:sz="4" w:space="0" w:color="auto"/>
              <w:right w:val="single" w:sz="4" w:space="0" w:color="auto"/>
            </w:tcBorders>
          </w:tcPr>
          <w:p w14:paraId="4181114F" w14:textId="77777777" w:rsidR="00864CD9" w:rsidRDefault="004C2422" w:rsidP="004C2422">
            <w:pPr>
              <w:ind w:left="360" w:hanging="360"/>
              <w:rPr>
                <w:sz w:val="20"/>
              </w:rPr>
            </w:pPr>
            <w:r w:rsidRPr="004C2422">
              <w:rPr>
                <w:sz w:val="20"/>
              </w:rPr>
              <w:t xml:space="preserve">1.  VOC content </w:t>
            </w:r>
          </w:p>
          <w:p w14:paraId="5DA82A13" w14:textId="77777777" w:rsidR="00864CD9" w:rsidRDefault="00864CD9" w:rsidP="004C2422">
            <w:pPr>
              <w:ind w:left="360" w:hanging="360"/>
              <w:rPr>
                <w:sz w:val="20"/>
              </w:rPr>
            </w:pPr>
            <w:r>
              <w:rPr>
                <w:sz w:val="20"/>
              </w:rPr>
              <w:t xml:space="preserve">     </w:t>
            </w:r>
            <w:r w:rsidR="004C2422" w:rsidRPr="004C2422">
              <w:rPr>
                <w:sz w:val="20"/>
              </w:rPr>
              <w:t xml:space="preserve">of each </w:t>
            </w:r>
          </w:p>
          <w:p w14:paraId="03635CC8" w14:textId="6C7EB1B3" w:rsidR="004C2422" w:rsidRPr="004C2422" w:rsidRDefault="00864CD9" w:rsidP="004C2422">
            <w:pPr>
              <w:ind w:left="360" w:hanging="360"/>
              <w:rPr>
                <w:sz w:val="20"/>
              </w:rPr>
            </w:pPr>
            <w:r>
              <w:rPr>
                <w:sz w:val="20"/>
              </w:rPr>
              <w:t xml:space="preserve">     </w:t>
            </w:r>
            <w:r w:rsidR="004C2422" w:rsidRPr="004C2422">
              <w:rPr>
                <w:sz w:val="20"/>
              </w:rPr>
              <w:t>coating</w:t>
            </w:r>
          </w:p>
        </w:tc>
        <w:tc>
          <w:tcPr>
            <w:tcW w:w="1440" w:type="dxa"/>
            <w:tcBorders>
              <w:top w:val="single" w:sz="4" w:space="0" w:color="auto"/>
              <w:left w:val="single" w:sz="4" w:space="0" w:color="auto"/>
              <w:bottom w:val="single" w:sz="4" w:space="0" w:color="auto"/>
              <w:right w:val="single" w:sz="4" w:space="0" w:color="auto"/>
            </w:tcBorders>
          </w:tcPr>
          <w:p w14:paraId="15EB0C25" w14:textId="77777777" w:rsidR="004C2422" w:rsidRPr="004C2422" w:rsidRDefault="004C2422" w:rsidP="0051588B">
            <w:pPr>
              <w:jc w:val="center"/>
              <w:rPr>
                <w:sz w:val="20"/>
              </w:rPr>
            </w:pPr>
            <w:r w:rsidRPr="004C2422">
              <w:rPr>
                <w:sz w:val="20"/>
              </w:rPr>
              <w:t>6.7 lb/gal</w:t>
            </w:r>
          </w:p>
          <w:p w14:paraId="753DB6B6" w14:textId="77777777" w:rsidR="004C2422" w:rsidRPr="004C2422" w:rsidRDefault="004C2422" w:rsidP="0051588B">
            <w:pPr>
              <w:jc w:val="center"/>
              <w:rPr>
                <w:sz w:val="20"/>
              </w:rPr>
            </w:pPr>
            <w:r w:rsidRPr="004C2422">
              <w:rPr>
                <w:sz w:val="20"/>
              </w:rPr>
              <w:t>(minus water)</w:t>
            </w:r>
          </w:p>
          <w:p w14:paraId="5B976B10" w14:textId="03EBF718" w:rsidR="004C2422" w:rsidRPr="004C2422" w:rsidRDefault="004C2422" w:rsidP="0051588B">
            <w:pPr>
              <w:jc w:val="center"/>
              <w:rPr>
                <w:sz w:val="20"/>
              </w:rPr>
            </w:pPr>
            <w:r w:rsidRPr="004C2422">
              <w:rPr>
                <w:sz w:val="20"/>
              </w:rPr>
              <w:t>as applied</w:t>
            </w:r>
            <w:r w:rsidR="00B11AB4">
              <w:rPr>
                <w:sz w:val="20"/>
              </w:rPr>
              <w:t xml:space="preserve"> </w:t>
            </w:r>
            <w:r w:rsidRPr="00B11AB4">
              <w:rPr>
                <w:sz w:val="20"/>
                <w:vertAlign w:val="superscript"/>
              </w:rPr>
              <w:t>2,a</w:t>
            </w:r>
          </w:p>
        </w:tc>
        <w:tc>
          <w:tcPr>
            <w:tcW w:w="2245" w:type="dxa"/>
            <w:tcBorders>
              <w:top w:val="single" w:sz="4" w:space="0" w:color="auto"/>
              <w:left w:val="single" w:sz="4" w:space="0" w:color="auto"/>
              <w:bottom w:val="single" w:sz="4" w:space="0" w:color="auto"/>
              <w:right w:val="single" w:sz="4" w:space="0" w:color="auto"/>
            </w:tcBorders>
          </w:tcPr>
          <w:p w14:paraId="5AF323E5" w14:textId="77777777" w:rsidR="004C2422" w:rsidRPr="004C2422" w:rsidRDefault="004C2422" w:rsidP="0051588B">
            <w:pPr>
              <w:jc w:val="center"/>
              <w:rPr>
                <w:sz w:val="20"/>
              </w:rPr>
            </w:pPr>
            <w:r w:rsidRPr="004C2422">
              <w:rPr>
                <w:sz w:val="20"/>
              </w:rPr>
              <w:t>Instantaneous</w:t>
            </w:r>
          </w:p>
          <w:p w14:paraId="3CB4F54A" w14:textId="77777777" w:rsidR="004C2422" w:rsidRPr="004C2422" w:rsidRDefault="004C2422" w:rsidP="0051588B">
            <w:pPr>
              <w:jc w:val="center"/>
              <w:rPr>
                <w:sz w:val="20"/>
              </w:rPr>
            </w:pPr>
          </w:p>
        </w:tc>
        <w:tc>
          <w:tcPr>
            <w:tcW w:w="1889" w:type="dxa"/>
            <w:tcBorders>
              <w:top w:val="single" w:sz="4" w:space="0" w:color="auto"/>
              <w:left w:val="single" w:sz="4" w:space="0" w:color="auto"/>
              <w:bottom w:val="single" w:sz="4" w:space="0" w:color="auto"/>
              <w:right w:val="single" w:sz="4" w:space="0" w:color="auto"/>
            </w:tcBorders>
          </w:tcPr>
          <w:p w14:paraId="0532DD58" w14:textId="77777777" w:rsidR="004C2422" w:rsidRPr="004C2422" w:rsidRDefault="004C2422" w:rsidP="0051588B">
            <w:pPr>
              <w:jc w:val="center"/>
              <w:rPr>
                <w:sz w:val="20"/>
              </w:rPr>
            </w:pPr>
            <w:r w:rsidRPr="004C2422">
              <w:rPr>
                <w:sz w:val="20"/>
              </w:rPr>
              <w:t>FG-FINISH</w:t>
            </w:r>
          </w:p>
        </w:tc>
        <w:tc>
          <w:tcPr>
            <w:tcW w:w="1530" w:type="dxa"/>
            <w:tcBorders>
              <w:top w:val="single" w:sz="4" w:space="0" w:color="auto"/>
              <w:left w:val="single" w:sz="4" w:space="0" w:color="auto"/>
              <w:bottom w:val="single" w:sz="4" w:space="0" w:color="auto"/>
              <w:right w:val="single" w:sz="4" w:space="0" w:color="auto"/>
            </w:tcBorders>
          </w:tcPr>
          <w:p w14:paraId="0B623B0F" w14:textId="53740FF8" w:rsidR="004C2422" w:rsidRPr="004C2422" w:rsidRDefault="004C2422" w:rsidP="0051588B">
            <w:pPr>
              <w:jc w:val="center"/>
              <w:rPr>
                <w:sz w:val="20"/>
              </w:rPr>
            </w:pPr>
            <w:r w:rsidRPr="004C2422">
              <w:rPr>
                <w:sz w:val="20"/>
              </w:rPr>
              <w:t>SC V.1</w:t>
            </w:r>
          </w:p>
          <w:p w14:paraId="7D39F406" w14:textId="77777777" w:rsidR="00864CD9" w:rsidRDefault="004C2422" w:rsidP="0051588B">
            <w:pPr>
              <w:jc w:val="center"/>
              <w:rPr>
                <w:sz w:val="20"/>
              </w:rPr>
            </w:pPr>
            <w:r w:rsidRPr="004C2422">
              <w:rPr>
                <w:sz w:val="20"/>
              </w:rPr>
              <w:t>SC VI.1</w:t>
            </w:r>
          </w:p>
          <w:p w14:paraId="375373AA" w14:textId="77777777" w:rsidR="00864CD9" w:rsidRDefault="00864CD9" w:rsidP="0051588B">
            <w:pPr>
              <w:jc w:val="center"/>
              <w:rPr>
                <w:sz w:val="20"/>
              </w:rPr>
            </w:pPr>
            <w:r>
              <w:rPr>
                <w:sz w:val="20"/>
              </w:rPr>
              <w:t xml:space="preserve">SC </w:t>
            </w:r>
            <w:r w:rsidR="004C2422" w:rsidRPr="004C2422">
              <w:rPr>
                <w:sz w:val="20"/>
              </w:rPr>
              <w:t>VI.2</w:t>
            </w:r>
          </w:p>
          <w:p w14:paraId="528069DE" w14:textId="799F8B89" w:rsidR="004C2422" w:rsidRPr="004C2422" w:rsidRDefault="00864CD9" w:rsidP="0051588B">
            <w:pPr>
              <w:jc w:val="center"/>
              <w:rPr>
                <w:sz w:val="20"/>
              </w:rPr>
            </w:pPr>
            <w:r>
              <w:rPr>
                <w:sz w:val="20"/>
              </w:rPr>
              <w:t xml:space="preserve">SC </w:t>
            </w:r>
            <w:r w:rsidR="004C2422" w:rsidRPr="004C2422">
              <w:rPr>
                <w:sz w:val="20"/>
              </w:rPr>
              <w:t>VI.3</w:t>
            </w:r>
          </w:p>
        </w:tc>
        <w:tc>
          <w:tcPr>
            <w:tcW w:w="1530" w:type="dxa"/>
            <w:tcBorders>
              <w:top w:val="single" w:sz="4" w:space="0" w:color="auto"/>
              <w:left w:val="single" w:sz="4" w:space="0" w:color="auto"/>
              <w:bottom w:val="single" w:sz="4" w:space="0" w:color="auto"/>
              <w:right w:val="single" w:sz="4" w:space="0" w:color="auto"/>
            </w:tcBorders>
          </w:tcPr>
          <w:p w14:paraId="236A4510" w14:textId="77777777" w:rsidR="004C2422" w:rsidRPr="004C2422" w:rsidRDefault="004C2422" w:rsidP="0051588B">
            <w:pPr>
              <w:jc w:val="center"/>
              <w:rPr>
                <w:b/>
                <w:sz w:val="20"/>
              </w:rPr>
            </w:pPr>
            <w:r w:rsidRPr="004C2422">
              <w:rPr>
                <w:b/>
                <w:sz w:val="20"/>
              </w:rPr>
              <w:t>R 336.1702(a)</w:t>
            </w:r>
          </w:p>
          <w:p w14:paraId="3EE8415E" w14:textId="77777777" w:rsidR="004C2422" w:rsidRPr="004C2422" w:rsidRDefault="004C2422" w:rsidP="0051588B">
            <w:pPr>
              <w:jc w:val="center"/>
              <w:rPr>
                <w:b/>
                <w:sz w:val="20"/>
              </w:rPr>
            </w:pPr>
          </w:p>
        </w:tc>
      </w:tr>
      <w:tr w:rsidR="00F1694A" w:rsidRPr="00DA1033" w14:paraId="7A323819" w14:textId="77777777" w:rsidTr="00CE22B2">
        <w:trPr>
          <w:cantSplit/>
        </w:trPr>
        <w:tc>
          <w:tcPr>
            <w:tcW w:w="10260" w:type="dxa"/>
            <w:gridSpan w:val="6"/>
            <w:tcBorders>
              <w:top w:val="single" w:sz="4" w:space="0" w:color="auto"/>
              <w:left w:val="single" w:sz="4" w:space="0" w:color="auto"/>
              <w:bottom w:val="single" w:sz="4" w:space="0" w:color="auto"/>
              <w:right w:val="single" w:sz="4" w:space="0" w:color="auto"/>
            </w:tcBorders>
          </w:tcPr>
          <w:p w14:paraId="0E80B1D0" w14:textId="1AE1269F" w:rsidR="00F1694A" w:rsidRPr="004C2422" w:rsidRDefault="00F1694A" w:rsidP="00F1694A">
            <w:pPr>
              <w:ind w:left="180" w:hanging="180"/>
              <w:jc w:val="both"/>
              <w:rPr>
                <w:b/>
                <w:sz w:val="20"/>
              </w:rPr>
            </w:pPr>
            <w:r>
              <w:rPr>
                <w:rFonts w:cs="Arial"/>
                <w:sz w:val="20"/>
                <w:vertAlign w:val="superscript"/>
              </w:rPr>
              <w:t>a</w:t>
            </w:r>
            <w:r w:rsidRPr="00AC0D39">
              <w:rPr>
                <w:rFonts w:cs="Arial"/>
                <w:sz w:val="20"/>
              </w:rPr>
              <w:t xml:space="preserve"> The phrase “minus water” shall also include compounds which are used as</w:t>
            </w:r>
            <w:r>
              <w:rPr>
                <w:rFonts w:cs="Arial"/>
                <w:sz w:val="20"/>
              </w:rPr>
              <w:t xml:space="preserve"> organic solvents and which are </w:t>
            </w:r>
            <w:r w:rsidRPr="00AC0D39">
              <w:rPr>
                <w:rFonts w:cs="Arial"/>
                <w:sz w:val="20"/>
              </w:rPr>
              <w:t xml:space="preserve">excluded from the definition of volatile organic compound.  </w:t>
            </w:r>
            <w:r w:rsidRPr="00AC0D39">
              <w:rPr>
                <w:rFonts w:cs="Arial"/>
                <w:b/>
                <w:sz w:val="20"/>
              </w:rPr>
              <w:t>(R 336.1602(4))</w:t>
            </w:r>
          </w:p>
        </w:tc>
      </w:tr>
    </w:tbl>
    <w:p w14:paraId="7A7B45BF" w14:textId="7AD8F46D" w:rsidR="00F1694A" w:rsidRPr="00DA1033" w:rsidRDefault="00F1694A" w:rsidP="00F1694A">
      <w:pPr>
        <w:ind w:left="180" w:hanging="180"/>
        <w:jc w:val="both"/>
        <w:rPr>
          <w:color w:val="000000"/>
          <w:sz w:val="20"/>
        </w:rPr>
      </w:pPr>
      <w:r>
        <w:rPr>
          <w:rFonts w:cs="Arial"/>
          <w:sz w:val="20"/>
          <w:vertAlign w:val="superscript"/>
        </w:rPr>
        <w:t xml:space="preserve"> </w:t>
      </w:r>
    </w:p>
    <w:p w14:paraId="04CF143B" w14:textId="77777777" w:rsidR="00864CD9" w:rsidRPr="00864CD9" w:rsidRDefault="00F1694A" w:rsidP="001A652A">
      <w:pPr>
        <w:jc w:val="both"/>
        <w:rPr>
          <w:sz w:val="12"/>
          <w:szCs w:val="12"/>
        </w:rPr>
      </w:pPr>
      <w:r>
        <w:rPr>
          <w:sz w:val="20"/>
        </w:rPr>
        <w:t xml:space="preserve"> </w:t>
      </w:r>
    </w:p>
    <w:p w14:paraId="58E001AA" w14:textId="6C3693C0" w:rsidR="00C43966" w:rsidRDefault="00C43966" w:rsidP="001A652A">
      <w:pPr>
        <w:jc w:val="both"/>
        <w:rPr>
          <w:b/>
          <w:u w:val="single"/>
        </w:rPr>
      </w:pPr>
      <w:r>
        <w:rPr>
          <w:b/>
        </w:rPr>
        <w:t xml:space="preserve">III.  </w:t>
      </w:r>
      <w:r>
        <w:rPr>
          <w:b/>
          <w:u w:val="single"/>
        </w:rPr>
        <w:t>PROCESS/OPERATIONAL RESTRICTION(S)</w:t>
      </w:r>
      <w:r w:rsidDel="001C614B">
        <w:rPr>
          <w:b/>
          <w:u w:val="single"/>
        </w:rPr>
        <w:t xml:space="preserve"> </w:t>
      </w:r>
    </w:p>
    <w:p w14:paraId="24ACBC83" w14:textId="77777777" w:rsidR="00C43966" w:rsidRPr="00FB6071" w:rsidRDefault="00C43966" w:rsidP="001A652A">
      <w:pPr>
        <w:jc w:val="both"/>
        <w:rPr>
          <w:sz w:val="20"/>
        </w:rPr>
      </w:pPr>
    </w:p>
    <w:p w14:paraId="1072C88C" w14:textId="49773312" w:rsidR="00B11AB4" w:rsidRPr="00B65897" w:rsidRDefault="00B11AB4" w:rsidP="006255D5">
      <w:pPr>
        <w:numPr>
          <w:ilvl w:val="0"/>
          <w:numId w:val="34"/>
        </w:numPr>
        <w:jc w:val="both"/>
        <w:rPr>
          <w:rFonts w:cs="Arial"/>
          <w:sz w:val="20"/>
        </w:rPr>
      </w:pPr>
      <w:r w:rsidRPr="00B65897">
        <w:rPr>
          <w:rFonts w:cs="Arial"/>
          <w:sz w:val="20"/>
        </w:rPr>
        <w:t xml:space="preserve">The permittee shall capture all waste stains, varnishes, lacquers, paints, purge/cleanup solvents, </w:t>
      </w:r>
      <w:r w:rsidRPr="00ED5A0A">
        <w:rPr>
          <w:rFonts w:cs="Arial"/>
          <w:i/>
          <w:sz w:val="20"/>
        </w:rPr>
        <w:t>etc</w:t>
      </w:r>
      <w:r w:rsidRPr="00ED5A0A">
        <w:rPr>
          <w:rFonts w:cs="Arial"/>
          <w:sz w:val="20"/>
        </w:rPr>
        <w:t>.</w:t>
      </w:r>
      <w:r w:rsidRPr="00B65897">
        <w:rPr>
          <w:rFonts w:cs="Arial"/>
          <w:i/>
          <w:sz w:val="20"/>
        </w:rPr>
        <w:t xml:space="preserve"> </w:t>
      </w:r>
      <w:r w:rsidRPr="00B65897">
        <w:rPr>
          <w:rFonts w:cs="Arial"/>
          <w:sz w:val="20"/>
        </w:rPr>
        <w:t>(materials) and shall store them in closed containers.  The permittee shall dispose of all waste materials in an acceptable manner in compliance with all applicable state rules and federal regulations.</w:t>
      </w:r>
      <w:r w:rsidR="00A1637F" w:rsidRPr="00ED2485">
        <w:rPr>
          <w:sz w:val="20"/>
          <w:vertAlign w:val="superscript"/>
        </w:rPr>
        <w:t>2</w:t>
      </w:r>
      <w:r w:rsidR="00A1637F" w:rsidRPr="00B65897">
        <w:rPr>
          <w:rFonts w:cs="Arial"/>
          <w:sz w:val="20"/>
        </w:rPr>
        <w:t xml:space="preserve"> </w:t>
      </w:r>
      <w:r w:rsidR="00864CD9">
        <w:rPr>
          <w:rFonts w:cs="Arial"/>
          <w:sz w:val="20"/>
        </w:rPr>
        <w:t xml:space="preserve"> </w:t>
      </w:r>
      <w:r w:rsidR="00A1637F" w:rsidRPr="00B65897">
        <w:rPr>
          <w:rFonts w:cs="Arial"/>
          <w:sz w:val="20"/>
        </w:rPr>
        <w:t>(</w:t>
      </w:r>
      <w:r w:rsidRPr="00B65897">
        <w:rPr>
          <w:rFonts w:cs="Arial"/>
          <w:b/>
          <w:sz w:val="20"/>
        </w:rPr>
        <w:t xml:space="preserve">R 336.1225, </w:t>
      </w:r>
      <w:r w:rsidRPr="00B65897">
        <w:rPr>
          <w:rFonts w:cs="Arial"/>
          <w:b/>
          <w:spacing w:val="-2"/>
          <w:sz w:val="20"/>
        </w:rPr>
        <w:t xml:space="preserve">R 336.1299, </w:t>
      </w:r>
      <w:r w:rsidRPr="00B65897">
        <w:rPr>
          <w:rFonts w:cs="Arial"/>
          <w:b/>
          <w:sz w:val="20"/>
        </w:rPr>
        <w:t>R 336.1702(a))</w:t>
      </w:r>
    </w:p>
    <w:p w14:paraId="1E846F4A" w14:textId="77777777" w:rsidR="00B11AB4" w:rsidRPr="00B65897" w:rsidRDefault="00B11AB4" w:rsidP="00B11AB4">
      <w:pPr>
        <w:tabs>
          <w:tab w:val="left" w:pos="540"/>
        </w:tabs>
        <w:ind w:left="360" w:hanging="360"/>
        <w:jc w:val="both"/>
        <w:rPr>
          <w:rFonts w:cs="Arial"/>
          <w:sz w:val="20"/>
        </w:rPr>
      </w:pPr>
    </w:p>
    <w:p w14:paraId="59AE27D9" w14:textId="7CEF0464" w:rsidR="00B11AB4" w:rsidRPr="00B65897" w:rsidRDefault="00B11AB4" w:rsidP="006255D5">
      <w:pPr>
        <w:numPr>
          <w:ilvl w:val="0"/>
          <w:numId w:val="34"/>
        </w:numPr>
        <w:jc w:val="both"/>
        <w:rPr>
          <w:rFonts w:cs="Arial"/>
          <w:sz w:val="20"/>
        </w:rPr>
      </w:pPr>
      <w:r w:rsidRPr="00B65897">
        <w:rPr>
          <w:rFonts w:cs="Arial"/>
          <w:spacing w:val="-2"/>
          <w:sz w:val="20"/>
        </w:rPr>
        <w:t>The permittee shall dispose of spent filters in a manner which minimizes the introduction of air contaminants to the outer air.</w:t>
      </w:r>
      <w:r w:rsidR="001464D3" w:rsidRPr="00ED2485">
        <w:rPr>
          <w:sz w:val="20"/>
          <w:vertAlign w:val="superscript"/>
        </w:rPr>
        <w:t>2</w:t>
      </w:r>
      <w:r w:rsidR="001464D3" w:rsidRPr="00B65897">
        <w:rPr>
          <w:rFonts w:cs="Arial"/>
          <w:spacing w:val="-2"/>
          <w:sz w:val="20"/>
        </w:rPr>
        <w:t xml:space="preserve"> </w:t>
      </w:r>
      <w:r w:rsidR="00864CD9">
        <w:rPr>
          <w:rFonts w:cs="Arial"/>
          <w:spacing w:val="-2"/>
          <w:sz w:val="20"/>
        </w:rPr>
        <w:t xml:space="preserve"> </w:t>
      </w:r>
      <w:r w:rsidR="001464D3" w:rsidRPr="00B65897">
        <w:rPr>
          <w:rFonts w:cs="Arial"/>
          <w:spacing w:val="-2"/>
          <w:sz w:val="20"/>
        </w:rPr>
        <w:t>(</w:t>
      </w:r>
      <w:r w:rsidRPr="00B65897">
        <w:rPr>
          <w:rFonts w:cs="Arial"/>
          <w:b/>
          <w:spacing w:val="-2"/>
          <w:sz w:val="20"/>
        </w:rPr>
        <w:t>R 336.1224, R 336.1370)</w:t>
      </w:r>
    </w:p>
    <w:p w14:paraId="093B91FE" w14:textId="77777777" w:rsidR="00B11AB4" w:rsidRPr="00B65897" w:rsidRDefault="00B11AB4" w:rsidP="00B11AB4">
      <w:pPr>
        <w:tabs>
          <w:tab w:val="left" w:pos="540"/>
        </w:tabs>
        <w:ind w:left="360" w:hanging="360"/>
        <w:jc w:val="both"/>
        <w:rPr>
          <w:rFonts w:cs="Arial"/>
          <w:sz w:val="20"/>
        </w:rPr>
      </w:pPr>
    </w:p>
    <w:p w14:paraId="4D5C6ECD" w14:textId="2235A70E" w:rsidR="00B11AB4" w:rsidRPr="00B65897" w:rsidRDefault="00B11AB4" w:rsidP="006255D5">
      <w:pPr>
        <w:numPr>
          <w:ilvl w:val="0"/>
          <w:numId w:val="34"/>
        </w:numPr>
        <w:jc w:val="both"/>
        <w:rPr>
          <w:sz w:val="20"/>
        </w:rPr>
      </w:pPr>
      <w:r w:rsidRPr="00B65897">
        <w:rPr>
          <w:rFonts w:cs="Arial"/>
          <w:sz w:val="20"/>
        </w:rPr>
        <w:t>The permittee shall handle all VOC and/or HAP containing materials, in a manner to minimize the generation of fugitive emissions.  The permittee shall keep containers covered at all times except when operator access is necessary.</w:t>
      </w:r>
      <w:r w:rsidR="001464D3" w:rsidRPr="00ED2485">
        <w:rPr>
          <w:sz w:val="20"/>
          <w:vertAlign w:val="superscript"/>
        </w:rPr>
        <w:t>2</w:t>
      </w:r>
      <w:r w:rsidR="001464D3" w:rsidRPr="00B65897">
        <w:rPr>
          <w:sz w:val="20"/>
        </w:rPr>
        <w:t xml:space="preserve"> </w:t>
      </w:r>
      <w:r w:rsidR="00864CD9">
        <w:rPr>
          <w:sz w:val="20"/>
        </w:rPr>
        <w:t xml:space="preserve"> </w:t>
      </w:r>
      <w:r w:rsidRPr="00B65897">
        <w:rPr>
          <w:rFonts w:cs="Arial"/>
          <w:b/>
          <w:sz w:val="20"/>
        </w:rPr>
        <w:t xml:space="preserve">1225, </w:t>
      </w:r>
      <w:r w:rsidRPr="00B65897">
        <w:rPr>
          <w:rFonts w:cs="Arial"/>
          <w:b/>
          <w:spacing w:val="-2"/>
          <w:sz w:val="20"/>
        </w:rPr>
        <w:t xml:space="preserve">R 336.1299, </w:t>
      </w:r>
      <w:r>
        <w:rPr>
          <w:rFonts w:cs="Arial"/>
          <w:b/>
          <w:sz w:val="20"/>
        </w:rPr>
        <w:t>R 336.1702(a)</w:t>
      </w:r>
      <w:r w:rsidRPr="00B65897">
        <w:rPr>
          <w:rFonts w:cs="Arial"/>
          <w:b/>
          <w:sz w:val="20"/>
        </w:rPr>
        <w:t>)</w:t>
      </w:r>
    </w:p>
    <w:p w14:paraId="11C8BAB2" w14:textId="77777777" w:rsidR="00C43966" w:rsidRPr="00C0388E" w:rsidRDefault="00C43966" w:rsidP="00B11AB4">
      <w:pPr>
        <w:ind w:left="360"/>
        <w:jc w:val="both"/>
        <w:rPr>
          <w:sz w:val="20"/>
        </w:rPr>
      </w:pPr>
    </w:p>
    <w:p w14:paraId="5CAEEE9E" w14:textId="0EAAC7DA" w:rsidR="00864CD9" w:rsidRDefault="00864CD9">
      <w:pPr>
        <w:rPr>
          <w:sz w:val="20"/>
        </w:rPr>
      </w:pPr>
      <w:r>
        <w:rPr>
          <w:sz w:val="20"/>
        </w:rPr>
        <w:br w:type="page"/>
      </w:r>
    </w:p>
    <w:p w14:paraId="3E0506D4" w14:textId="77777777" w:rsidR="00C43966" w:rsidRDefault="00C43966" w:rsidP="001A652A">
      <w:pPr>
        <w:jc w:val="both"/>
        <w:rPr>
          <w:b/>
          <w:u w:val="single"/>
        </w:rPr>
      </w:pPr>
      <w:r w:rsidRPr="00FB6071">
        <w:rPr>
          <w:b/>
        </w:rPr>
        <w:lastRenderedPageBreak/>
        <w:t xml:space="preserve">IV.  </w:t>
      </w:r>
      <w:r w:rsidRPr="00FB6071">
        <w:rPr>
          <w:b/>
          <w:u w:val="single"/>
        </w:rPr>
        <w:t>DESIGN</w:t>
      </w:r>
      <w:r>
        <w:rPr>
          <w:b/>
          <w:u w:val="single"/>
        </w:rPr>
        <w:t>/EQUIPMENT PARAMETER(S)</w:t>
      </w:r>
    </w:p>
    <w:p w14:paraId="61E3CE47" w14:textId="77777777" w:rsidR="00C43966" w:rsidRPr="00C3424D" w:rsidRDefault="00C43966" w:rsidP="001A652A">
      <w:pPr>
        <w:jc w:val="both"/>
        <w:rPr>
          <w:sz w:val="20"/>
        </w:rPr>
      </w:pPr>
    </w:p>
    <w:p w14:paraId="7087B5E6" w14:textId="12A7A034" w:rsidR="00A11FFE" w:rsidRPr="00B65897" w:rsidRDefault="00A11FFE" w:rsidP="006255D5">
      <w:pPr>
        <w:numPr>
          <w:ilvl w:val="0"/>
          <w:numId w:val="35"/>
        </w:numPr>
        <w:jc w:val="both"/>
        <w:rPr>
          <w:rFonts w:cs="Arial"/>
          <w:sz w:val="20"/>
        </w:rPr>
      </w:pPr>
      <w:r w:rsidRPr="00B65897">
        <w:rPr>
          <w:rFonts w:cs="Arial"/>
          <w:sz w:val="20"/>
        </w:rPr>
        <w:t xml:space="preserve">The permittee shall not operate EU-BOOTH1, EU-BOOTH2, and EU-BOOTH3 unless all respective exhaust filters are installed, </w:t>
      </w:r>
      <w:r w:rsidR="0069517A" w:rsidRPr="00B65897">
        <w:rPr>
          <w:rFonts w:cs="Arial"/>
          <w:sz w:val="20"/>
        </w:rPr>
        <w:t>maintained,</w:t>
      </w:r>
      <w:r w:rsidRPr="00B65897">
        <w:rPr>
          <w:rFonts w:cs="Arial"/>
          <w:sz w:val="20"/>
        </w:rPr>
        <w:t xml:space="preserve"> and operated in a satisfactory manner.</w:t>
      </w:r>
      <w:r w:rsidR="00175550" w:rsidRPr="00ED2485">
        <w:rPr>
          <w:sz w:val="20"/>
          <w:vertAlign w:val="superscript"/>
        </w:rPr>
        <w:t>2</w:t>
      </w:r>
      <w:r w:rsidR="00175550" w:rsidRPr="00B65897">
        <w:rPr>
          <w:rFonts w:cs="Arial"/>
          <w:sz w:val="20"/>
        </w:rPr>
        <w:t xml:space="preserve"> </w:t>
      </w:r>
      <w:r w:rsidR="00864CD9">
        <w:rPr>
          <w:rFonts w:cs="Arial"/>
          <w:sz w:val="20"/>
        </w:rPr>
        <w:t xml:space="preserve"> </w:t>
      </w:r>
      <w:r w:rsidR="00175550" w:rsidRPr="00B65897">
        <w:rPr>
          <w:rFonts w:cs="Arial"/>
          <w:sz w:val="20"/>
        </w:rPr>
        <w:t>(</w:t>
      </w:r>
      <w:r w:rsidRPr="00B65897">
        <w:rPr>
          <w:rFonts w:cs="Arial"/>
          <w:b/>
          <w:sz w:val="20"/>
        </w:rPr>
        <w:t>R 336.1224, R 336.1301, R 336.1910)</w:t>
      </w:r>
    </w:p>
    <w:p w14:paraId="215A280D" w14:textId="77777777" w:rsidR="00A11FFE" w:rsidRPr="00FD5F58" w:rsidRDefault="00A11FFE" w:rsidP="00A11FFE">
      <w:pPr>
        <w:tabs>
          <w:tab w:val="left" w:pos="540"/>
        </w:tabs>
        <w:ind w:left="360" w:hanging="360"/>
        <w:jc w:val="both"/>
        <w:rPr>
          <w:rFonts w:cs="Arial"/>
          <w:spacing w:val="-2"/>
          <w:sz w:val="18"/>
          <w:szCs w:val="18"/>
        </w:rPr>
      </w:pPr>
    </w:p>
    <w:p w14:paraId="1ABF38FE" w14:textId="7F567BC1" w:rsidR="00A11FFE" w:rsidRPr="00B65897" w:rsidRDefault="00A11FFE" w:rsidP="00A11FFE">
      <w:pPr>
        <w:tabs>
          <w:tab w:val="left" w:pos="540"/>
        </w:tabs>
        <w:ind w:left="360" w:hanging="360"/>
        <w:jc w:val="both"/>
        <w:rPr>
          <w:rFonts w:cs="Arial"/>
          <w:spacing w:val="-2"/>
          <w:sz w:val="20"/>
        </w:rPr>
      </w:pPr>
      <w:r>
        <w:rPr>
          <w:rFonts w:cs="Arial"/>
          <w:spacing w:val="-2"/>
          <w:sz w:val="20"/>
        </w:rPr>
        <w:t>2</w:t>
      </w:r>
      <w:r w:rsidRPr="00B65897">
        <w:rPr>
          <w:rFonts w:cs="Arial"/>
          <w:spacing w:val="-2"/>
          <w:sz w:val="20"/>
        </w:rPr>
        <w:t>.</w:t>
      </w:r>
      <w:r w:rsidRPr="00B65897">
        <w:rPr>
          <w:rFonts w:cs="Arial"/>
          <w:spacing w:val="-2"/>
          <w:sz w:val="20"/>
        </w:rPr>
        <w:tab/>
        <w:t xml:space="preserve">The permittee shall equip and maintain </w:t>
      </w:r>
      <w:r w:rsidRPr="00B65897">
        <w:rPr>
          <w:rFonts w:cs="Arial"/>
          <w:sz w:val="20"/>
        </w:rPr>
        <w:t xml:space="preserve">EU-BOOTH1, EU-BOOTH2, and EU-BOOTH3 </w:t>
      </w:r>
      <w:r w:rsidRPr="00B65897">
        <w:rPr>
          <w:rFonts w:cs="Arial"/>
          <w:spacing w:val="-2"/>
          <w:sz w:val="20"/>
        </w:rPr>
        <w:t>with manual HVLP</w:t>
      </w:r>
      <w:r>
        <w:rPr>
          <w:rFonts w:cs="Arial"/>
          <w:spacing w:val="-2"/>
          <w:sz w:val="20"/>
        </w:rPr>
        <w:t xml:space="preserve"> applicators</w:t>
      </w:r>
      <w:r w:rsidRPr="00B65897">
        <w:rPr>
          <w:rFonts w:cs="Arial"/>
          <w:spacing w:val="-2"/>
          <w:sz w:val="20"/>
        </w:rPr>
        <w:t xml:space="preserve"> or comparable technology with equivalent transfer efficiency.  For HVLP applicators, the permittee shall keep test caps available for pressure testing.</w:t>
      </w:r>
      <w:r w:rsidR="00175550" w:rsidRPr="00ED2485">
        <w:rPr>
          <w:rFonts w:cs="Arial"/>
          <w:spacing w:val="-2"/>
          <w:sz w:val="20"/>
          <w:vertAlign w:val="superscript"/>
        </w:rPr>
        <w:t>2</w:t>
      </w:r>
      <w:r w:rsidR="00175550" w:rsidRPr="00B65897">
        <w:rPr>
          <w:rFonts w:cs="Arial"/>
          <w:b/>
          <w:spacing w:val="-2"/>
          <w:sz w:val="20"/>
        </w:rPr>
        <w:t xml:space="preserve"> </w:t>
      </w:r>
      <w:r w:rsidR="00864CD9">
        <w:rPr>
          <w:rFonts w:cs="Arial"/>
          <w:b/>
          <w:spacing w:val="-2"/>
          <w:sz w:val="20"/>
        </w:rPr>
        <w:t xml:space="preserve"> </w:t>
      </w:r>
      <w:r w:rsidR="00175550" w:rsidRPr="00B65897">
        <w:rPr>
          <w:rFonts w:cs="Arial"/>
          <w:b/>
          <w:spacing w:val="-2"/>
          <w:sz w:val="20"/>
        </w:rPr>
        <w:t>(</w:t>
      </w:r>
      <w:r w:rsidRPr="00B65897">
        <w:rPr>
          <w:rFonts w:cs="Arial"/>
          <w:b/>
          <w:sz w:val="20"/>
        </w:rPr>
        <w:t>R 336.1702(a))</w:t>
      </w:r>
    </w:p>
    <w:p w14:paraId="2D8CEFBF" w14:textId="77777777" w:rsidR="00C43966" w:rsidRPr="00FE0AD0" w:rsidRDefault="00C43966" w:rsidP="001A652A">
      <w:pPr>
        <w:jc w:val="both"/>
        <w:rPr>
          <w:sz w:val="20"/>
        </w:rPr>
      </w:pPr>
    </w:p>
    <w:p w14:paraId="12D647BC" w14:textId="77777777" w:rsidR="00C43966" w:rsidRDefault="00C43966" w:rsidP="001A652A">
      <w:pPr>
        <w:jc w:val="both"/>
        <w:rPr>
          <w:b/>
          <w:u w:val="single"/>
        </w:rPr>
      </w:pPr>
      <w:r>
        <w:rPr>
          <w:b/>
        </w:rPr>
        <w:t xml:space="preserve">V.  </w:t>
      </w:r>
      <w:r>
        <w:rPr>
          <w:b/>
          <w:u w:val="single"/>
        </w:rPr>
        <w:t>TESTING/SAMPLING</w:t>
      </w:r>
    </w:p>
    <w:p w14:paraId="418AA680" w14:textId="77777777" w:rsidR="00C43966" w:rsidRPr="00FE0AD0" w:rsidRDefault="00C4396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569D59" w14:textId="3E652D8E" w:rsidR="00C43966" w:rsidRPr="00FE0AD0" w:rsidRDefault="002F71C6" w:rsidP="001A652A">
      <w:pPr>
        <w:jc w:val="both"/>
        <w:rPr>
          <w:sz w:val="20"/>
        </w:rPr>
      </w:pPr>
      <w:r>
        <w:rPr>
          <w:sz w:val="20"/>
        </w:rPr>
        <w:t xml:space="preserve"> </w:t>
      </w:r>
    </w:p>
    <w:p w14:paraId="4B47A144" w14:textId="77777777" w:rsidR="002F71C6" w:rsidRPr="00B93CA4" w:rsidRDefault="002F71C6" w:rsidP="006255D5">
      <w:pPr>
        <w:pStyle w:val="ListParagraph"/>
        <w:numPr>
          <w:ilvl w:val="0"/>
          <w:numId w:val="36"/>
        </w:numPr>
        <w:tabs>
          <w:tab w:val="left" w:pos="360"/>
        </w:tabs>
        <w:jc w:val="both"/>
        <w:rPr>
          <w:rFonts w:cs="Arial"/>
          <w:spacing w:val="-2"/>
          <w:sz w:val="20"/>
        </w:rPr>
      </w:pPr>
      <w:r w:rsidRPr="00B93CA4">
        <w:rPr>
          <w:rFonts w:cs="Arial"/>
          <w:sz w:val="20"/>
        </w:rPr>
        <w:t>The permittee shall determine the VOC content, water content and density of any coatings (stains, varnishes, lacquers, and paints),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203603">
        <w:rPr>
          <w:rFonts w:cs="Arial"/>
          <w:sz w:val="20"/>
          <w:vertAlign w:val="superscript"/>
        </w:rPr>
        <w:t>2</w:t>
      </w:r>
      <w:r w:rsidRPr="00B93CA4">
        <w:rPr>
          <w:rFonts w:cs="Arial"/>
          <w:b/>
          <w:sz w:val="20"/>
          <w:vertAlign w:val="superscript"/>
        </w:rPr>
        <w:t xml:space="preserve">  </w:t>
      </w:r>
      <w:r w:rsidRPr="00B93CA4">
        <w:rPr>
          <w:rFonts w:cs="Arial"/>
          <w:b/>
          <w:spacing w:val="-2"/>
          <w:sz w:val="20"/>
        </w:rPr>
        <w:t xml:space="preserve">(R 336.1702(a), </w:t>
      </w:r>
      <w:r w:rsidRPr="00B93CA4">
        <w:rPr>
          <w:rFonts w:cs="Arial"/>
          <w:b/>
          <w:sz w:val="20"/>
        </w:rPr>
        <w:t>R 336.2001, R 336.2003, R 336.2004, R 336.2040(5)</w:t>
      </w:r>
      <w:r w:rsidRPr="00B93CA4">
        <w:rPr>
          <w:rFonts w:cs="Arial"/>
          <w:b/>
          <w:spacing w:val="-2"/>
          <w:sz w:val="20"/>
        </w:rPr>
        <w:t>)</w:t>
      </w:r>
    </w:p>
    <w:p w14:paraId="6FAFD507" w14:textId="77777777" w:rsidR="00C43966" w:rsidRPr="00FD5F58" w:rsidRDefault="00C43966" w:rsidP="001A652A">
      <w:pPr>
        <w:jc w:val="both"/>
        <w:rPr>
          <w:sz w:val="18"/>
          <w:szCs w:val="18"/>
        </w:rPr>
      </w:pPr>
    </w:p>
    <w:p w14:paraId="478C5D56" w14:textId="77777777" w:rsidR="00C43966" w:rsidRDefault="00C43966" w:rsidP="001A652A">
      <w:pPr>
        <w:jc w:val="both"/>
      </w:pPr>
      <w:r>
        <w:rPr>
          <w:b/>
        </w:rPr>
        <w:t xml:space="preserve">VI.  </w:t>
      </w:r>
      <w:r>
        <w:rPr>
          <w:b/>
          <w:u w:val="single"/>
        </w:rPr>
        <w:t>MONITORING/RECORDKEEPING</w:t>
      </w:r>
    </w:p>
    <w:p w14:paraId="6EE58661" w14:textId="77777777" w:rsidR="00C43966" w:rsidRPr="00FE0AD0" w:rsidRDefault="00C4396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6124C8" w14:textId="77777777" w:rsidR="00C43966" w:rsidRPr="00FD5F58" w:rsidRDefault="00C43966" w:rsidP="001A652A">
      <w:pPr>
        <w:jc w:val="both"/>
        <w:rPr>
          <w:sz w:val="18"/>
          <w:szCs w:val="18"/>
        </w:rPr>
      </w:pPr>
    </w:p>
    <w:p w14:paraId="28E98008" w14:textId="4AD4E6F7" w:rsidR="00EA1281" w:rsidRPr="00B65897" w:rsidRDefault="00EA1281" w:rsidP="006255D5">
      <w:pPr>
        <w:numPr>
          <w:ilvl w:val="0"/>
          <w:numId w:val="37"/>
        </w:numPr>
        <w:jc w:val="both"/>
        <w:rPr>
          <w:rFonts w:cs="Arial"/>
          <w:spacing w:val="-2"/>
          <w:sz w:val="20"/>
        </w:rPr>
      </w:pPr>
      <w:r w:rsidRPr="00B65897">
        <w:rPr>
          <w:rFonts w:cs="Arial"/>
          <w:sz w:val="20"/>
        </w:rPr>
        <w:t>The permittee shall complete all required calculations in a format acceptable to the AQD District Supervisor by the 15</w:t>
      </w:r>
      <w:r w:rsidRPr="00674D72">
        <w:rPr>
          <w:rFonts w:cs="Arial"/>
          <w:sz w:val="20"/>
          <w:vertAlign w:val="superscript"/>
        </w:rPr>
        <w:t>th</w:t>
      </w:r>
      <w:r w:rsidRPr="00B65897">
        <w:rPr>
          <w:rFonts w:cs="Arial"/>
          <w:sz w:val="20"/>
        </w:rPr>
        <w:t xml:space="preserve"> day of the calendar month, for the previous calendar month, unless otherwise specified in any monitoring/recordkeeping special condition.</w:t>
      </w:r>
      <w:r w:rsidR="00D84925" w:rsidRPr="00203603">
        <w:rPr>
          <w:sz w:val="20"/>
          <w:vertAlign w:val="superscript"/>
        </w:rPr>
        <w:t>2</w:t>
      </w:r>
      <w:r w:rsidR="00D84925" w:rsidRPr="00B65897">
        <w:rPr>
          <w:rFonts w:cs="Arial"/>
          <w:sz w:val="20"/>
        </w:rPr>
        <w:t xml:space="preserve"> </w:t>
      </w:r>
      <w:r w:rsidR="00864CD9">
        <w:rPr>
          <w:rFonts w:cs="Arial"/>
          <w:sz w:val="20"/>
        </w:rPr>
        <w:t xml:space="preserve"> </w:t>
      </w:r>
      <w:r w:rsidR="00D84925" w:rsidRPr="00B65897">
        <w:rPr>
          <w:rFonts w:cs="Arial"/>
          <w:sz w:val="20"/>
        </w:rPr>
        <w:t>(</w:t>
      </w:r>
      <w:r>
        <w:rPr>
          <w:rFonts w:cs="Arial"/>
          <w:b/>
          <w:spacing w:val="-2"/>
          <w:sz w:val="20"/>
        </w:rPr>
        <w:t>R 336.1225, R 336.1702(a)</w:t>
      </w:r>
      <w:r w:rsidRPr="00B65897">
        <w:rPr>
          <w:rFonts w:cs="Arial"/>
          <w:b/>
          <w:spacing w:val="-2"/>
          <w:sz w:val="20"/>
        </w:rPr>
        <w:t>)</w:t>
      </w:r>
    </w:p>
    <w:p w14:paraId="20E18089" w14:textId="77777777" w:rsidR="00EA1281" w:rsidRPr="00FD5F58" w:rsidRDefault="00EA1281" w:rsidP="00EA1281">
      <w:pPr>
        <w:ind w:left="360" w:hanging="360"/>
        <w:jc w:val="both"/>
        <w:rPr>
          <w:rFonts w:cs="Arial"/>
          <w:sz w:val="18"/>
          <w:szCs w:val="18"/>
        </w:rPr>
      </w:pPr>
    </w:p>
    <w:p w14:paraId="060CC224" w14:textId="64AD5C82" w:rsidR="00EA1281" w:rsidRPr="00B65897" w:rsidRDefault="00EA1281" w:rsidP="006255D5">
      <w:pPr>
        <w:pStyle w:val="ListParagraph"/>
        <w:numPr>
          <w:ilvl w:val="0"/>
          <w:numId w:val="37"/>
        </w:numPr>
        <w:tabs>
          <w:tab w:val="left" w:pos="540"/>
        </w:tabs>
        <w:contextualSpacing/>
        <w:jc w:val="both"/>
        <w:rPr>
          <w:rFonts w:cs="Arial"/>
          <w:spacing w:val="-2"/>
          <w:sz w:val="20"/>
        </w:rPr>
      </w:pPr>
      <w:r w:rsidRPr="00B65897">
        <w:rPr>
          <w:rFonts w:cs="Arial"/>
          <w:spacing w:val="-2"/>
          <w:sz w:val="20"/>
        </w:rPr>
        <w:t xml:space="preserve">The permittee shall maintain a current listing from the manufacturer of the chemical composition of each </w:t>
      </w:r>
      <w:r w:rsidRPr="00B65897">
        <w:rPr>
          <w:rFonts w:cs="Arial"/>
          <w:sz w:val="20"/>
        </w:rPr>
        <w:t>material</w:t>
      </w:r>
      <w:r w:rsidRPr="00B65897">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372A16" w:rsidRPr="00203603">
        <w:rPr>
          <w:rFonts w:cs="Arial"/>
          <w:spacing w:val="-2"/>
          <w:sz w:val="20"/>
          <w:vertAlign w:val="superscript"/>
        </w:rPr>
        <w:t>2</w:t>
      </w:r>
      <w:r w:rsidR="00372A16" w:rsidRPr="00B65897">
        <w:rPr>
          <w:rFonts w:cs="Arial"/>
          <w:spacing w:val="-2"/>
          <w:sz w:val="20"/>
        </w:rPr>
        <w:t xml:space="preserve"> </w:t>
      </w:r>
      <w:r w:rsidR="00864CD9">
        <w:rPr>
          <w:rFonts w:cs="Arial"/>
          <w:spacing w:val="-2"/>
          <w:sz w:val="20"/>
        </w:rPr>
        <w:t xml:space="preserve"> </w:t>
      </w:r>
      <w:r w:rsidR="00372A16" w:rsidRPr="00B65897">
        <w:rPr>
          <w:rFonts w:cs="Arial"/>
          <w:spacing w:val="-2"/>
          <w:sz w:val="20"/>
        </w:rPr>
        <w:t>(</w:t>
      </w:r>
      <w:r w:rsidRPr="00B65897">
        <w:rPr>
          <w:rFonts w:cs="Arial"/>
          <w:b/>
          <w:spacing w:val="-2"/>
          <w:sz w:val="20"/>
        </w:rPr>
        <w:t>R 336.1225, R 336.1299, R 336.1702(a))</w:t>
      </w:r>
      <w:r w:rsidRPr="00B65897">
        <w:rPr>
          <w:rFonts w:cs="Arial"/>
          <w:spacing w:val="-2"/>
          <w:sz w:val="20"/>
        </w:rPr>
        <w:t xml:space="preserve">  </w:t>
      </w:r>
    </w:p>
    <w:p w14:paraId="3280A5A9" w14:textId="77777777" w:rsidR="00EA1281" w:rsidRPr="00FD5F58" w:rsidRDefault="00EA1281" w:rsidP="00EA1281">
      <w:pPr>
        <w:pStyle w:val="ListParagraph"/>
        <w:jc w:val="both"/>
        <w:rPr>
          <w:rFonts w:cs="Arial"/>
          <w:spacing w:val="-2"/>
          <w:sz w:val="18"/>
          <w:szCs w:val="18"/>
        </w:rPr>
      </w:pPr>
    </w:p>
    <w:p w14:paraId="0C602248" w14:textId="77777777" w:rsidR="00EA1281" w:rsidRPr="00B65897" w:rsidRDefault="00EA1281" w:rsidP="00EA1281">
      <w:pPr>
        <w:tabs>
          <w:tab w:val="left" w:pos="540"/>
        </w:tabs>
        <w:ind w:left="360" w:hanging="360"/>
        <w:jc w:val="both"/>
        <w:rPr>
          <w:rFonts w:cs="Arial"/>
          <w:spacing w:val="-2"/>
          <w:sz w:val="20"/>
        </w:rPr>
      </w:pPr>
      <w:r w:rsidRPr="00B65897">
        <w:rPr>
          <w:rFonts w:cs="Arial"/>
          <w:spacing w:val="-2"/>
          <w:sz w:val="20"/>
        </w:rPr>
        <w:t>3.</w:t>
      </w:r>
      <w:r w:rsidRPr="00B65897">
        <w:rPr>
          <w:rFonts w:cs="Arial"/>
          <w:spacing w:val="-2"/>
          <w:sz w:val="20"/>
        </w:rPr>
        <w:tab/>
        <w:t xml:space="preserve">The permittee shall keep the following information on a calendar month basis for </w:t>
      </w:r>
      <w:r w:rsidRPr="00B65897">
        <w:rPr>
          <w:rFonts w:cs="Arial"/>
          <w:sz w:val="20"/>
        </w:rPr>
        <w:t>FG-FINISH</w:t>
      </w:r>
      <w:r w:rsidRPr="00B65897">
        <w:rPr>
          <w:rFonts w:cs="Arial"/>
          <w:spacing w:val="-2"/>
          <w:sz w:val="20"/>
        </w:rPr>
        <w:t xml:space="preserve">: </w:t>
      </w:r>
    </w:p>
    <w:p w14:paraId="5F0FEE7C" w14:textId="77777777" w:rsidR="00EA1281" w:rsidRPr="00B65897" w:rsidRDefault="00EA1281" w:rsidP="00EA1281">
      <w:pPr>
        <w:ind w:left="720" w:hanging="360"/>
        <w:jc w:val="both"/>
        <w:rPr>
          <w:rFonts w:cs="Arial"/>
          <w:sz w:val="20"/>
        </w:rPr>
      </w:pPr>
      <w:r w:rsidRPr="00B65897">
        <w:rPr>
          <w:rFonts w:cs="Arial"/>
          <w:sz w:val="20"/>
        </w:rPr>
        <w:t>a.</w:t>
      </w:r>
      <w:r w:rsidRPr="00B65897">
        <w:rPr>
          <w:rFonts w:cs="Arial"/>
          <w:sz w:val="20"/>
        </w:rPr>
        <w:tab/>
        <w:t xml:space="preserve">Gallons (with water) of each stain, varnish, lacquer, paint, purge/cleanup solvents, </w:t>
      </w:r>
      <w:r w:rsidRPr="00B65897">
        <w:rPr>
          <w:rFonts w:cs="Arial"/>
          <w:i/>
          <w:sz w:val="20"/>
        </w:rPr>
        <w:t xml:space="preserve">etc. </w:t>
      </w:r>
      <w:r w:rsidRPr="00B65897">
        <w:rPr>
          <w:rFonts w:cs="Arial"/>
          <w:sz w:val="20"/>
        </w:rPr>
        <w:t>(material) used and reclaimed.</w:t>
      </w:r>
    </w:p>
    <w:p w14:paraId="013CEC15" w14:textId="77777777" w:rsidR="00EA1281" w:rsidRPr="00B65897" w:rsidRDefault="00EA1281" w:rsidP="00EA1281">
      <w:pPr>
        <w:ind w:left="720" w:hanging="360"/>
        <w:jc w:val="both"/>
        <w:rPr>
          <w:rFonts w:cs="Arial"/>
          <w:sz w:val="20"/>
        </w:rPr>
      </w:pPr>
      <w:r w:rsidRPr="00B65897">
        <w:rPr>
          <w:rFonts w:cs="Arial"/>
          <w:sz w:val="20"/>
        </w:rPr>
        <w:t>b.</w:t>
      </w:r>
      <w:r w:rsidRPr="00B65897">
        <w:rPr>
          <w:rFonts w:cs="Arial"/>
          <w:sz w:val="20"/>
        </w:rPr>
        <w:tab/>
        <w:t xml:space="preserve">VOC content (minus water and with water) of each material as applied. </w:t>
      </w:r>
    </w:p>
    <w:p w14:paraId="19399DB9" w14:textId="77777777" w:rsidR="00EA1281" w:rsidRPr="00B65897" w:rsidRDefault="00EA1281" w:rsidP="00EA1281">
      <w:pPr>
        <w:ind w:left="720" w:hanging="360"/>
        <w:jc w:val="both"/>
        <w:rPr>
          <w:rFonts w:cs="Arial"/>
          <w:sz w:val="20"/>
        </w:rPr>
      </w:pPr>
      <w:r w:rsidRPr="00B65897">
        <w:rPr>
          <w:rFonts w:cs="Arial"/>
          <w:sz w:val="20"/>
        </w:rPr>
        <w:t>c.</w:t>
      </w:r>
      <w:r w:rsidRPr="00B65897">
        <w:rPr>
          <w:rFonts w:cs="Arial"/>
          <w:sz w:val="20"/>
        </w:rPr>
        <w:tab/>
        <w:t xml:space="preserve">VOC mass emission calculations determining the monthly emission rate in tons per calendar month.  </w:t>
      </w:r>
    </w:p>
    <w:p w14:paraId="52648F9C" w14:textId="77777777" w:rsidR="00EA1281" w:rsidRPr="00B65897" w:rsidRDefault="00EA1281" w:rsidP="00EA1281">
      <w:pPr>
        <w:ind w:left="720" w:hanging="360"/>
        <w:jc w:val="both"/>
        <w:rPr>
          <w:rFonts w:cs="Arial"/>
          <w:spacing w:val="-2"/>
          <w:sz w:val="20"/>
        </w:rPr>
      </w:pPr>
      <w:r w:rsidRPr="00B65897">
        <w:rPr>
          <w:rFonts w:cs="Arial"/>
          <w:sz w:val="20"/>
        </w:rPr>
        <w:t>d.</w:t>
      </w:r>
      <w:r w:rsidRPr="00B65897">
        <w:rPr>
          <w:rFonts w:cs="Arial"/>
          <w:sz w:val="20"/>
        </w:rPr>
        <w:tab/>
        <w:t>VOC mass emission calculations determining the annual emission rate in tons per 12-month rolling time period as determined at the end of each calendar month.</w:t>
      </w:r>
    </w:p>
    <w:p w14:paraId="76E62AFF" w14:textId="77777777" w:rsidR="00EA1281" w:rsidRPr="00FD5F58" w:rsidRDefault="00EA1281" w:rsidP="00EA1281">
      <w:pPr>
        <w:ind w:left="360"/>
        <w:jc w:val="both"/>
        <w:rPr>
          <w:rFonts w:cs="Arial"/>
          <w:spacing w:val="-2"/>
          <w:sz w:val="18"/>
          <w:szCs w:val="18"/>
        </w:rPr>
      </w:pPr>
    </w:p>
    <w:p w14:paraId="770C808E" w14:textId="69C2CBB4" w:rsidR="00EA1281" w:rsidRPr="00B65897" w:rsidRDefault="00EA1281" w:rsidP="00EA1281">
      <w:pPr>
        <w:ind w:left="360"/>
        <w:jc w:val="both"/>
        <w:rPr>
          <w:rFonts w:cs="Arial"/>
          <w:spacing w:val="-2"/>
          <w:sz w:val="20"/>
        </w:rPr>
      </w:pPr>
      <w:r w:rsidRPr="00B65897">
        <w:rPr>
          <w:rFonts w:cs="Arial"/>
          <w:spacing w:val="-2"/>
          <w:sz w:val="20"/>
        </w:rPr>
        <w:t>The permittee shall keep the records in a format acceptable to the AQD District Supervisor.  The permittee shall keep all records on file and make them available to the Department upon request.</w:t>
      </w:r>
      <w:r w:rsidRPr="00210A10">
        <w:rPr>
          <w:rFonts w:cs="Arial"/>
          <w:spacing w:val="-2"/>
          <w:sz w:val="20"/>
          <w:vertAlign w:val="superscript"/>
        </w:rPr>
        <w:t>2</w:t>
      </w:r>
      <w:r w:rsidRPr="00B65897">
        <w:rPr>
          <w:rFonts w:cs="Arial"/>
          <w:spacing w:val="-2"/>
          <w:sz w:val="20"/>
        </w:rPr>
        <w:t xml:space="preserve"> </w:t>
      </w:r>
      <w:r w:rsidR="00864CD9">
        <w:rPr>
          <w:rFonts w:cs="Arial"/>
          <w:spacing w:val="-2"/>
          <w:sz w:val="20"/>
        </w:rPr>
        <w:t xml:space="preserve"> </w:t>
      </w:r>
      <w:r w:rsidRPr="00B65897">
        <w:rPr>
          <w:rFonts w:cs="Arial"/>
          <w:b/>
          <w:spacing w:val="-2"/>
          <w:sz w:val="20"/>
        </w:rPr>
        <w:t>(R 336.1225, R 336.1299, R 336.1702)</w:t>
      </w:r>
    </w:p>
    <w:p w14:paraId="3EDC49F9" w14:textId="38903F24" w:rsidR="00C43966" w:rsidRPr="00FD5F58" w:rsidRDefault="00C43966" w:rsidP="001A652A">
      <w:pPr>
        <w:jc w:val="both"/>
        <w:rPr>
          <w:b/>
          <w:color w:val="FF0000"/>
          <w:sz w:val="18"/>
          <w:szCs w:val="18"/>
        </w:rPr>
      </w:pPr>
    </w:p>
    <w:p w14:paraId="5EF82FDA" w14:textId="77777777" w:rsidR="00C43966" w:rsidRDefault="00C43966" w:rsidP="001A652A">
      <w:pPr>
        <w:jc w:val="both"/>
        <w:rPr>
          <w:b/>
          <w:u w:val="single"/>
        </w:rPr>
      </w:pPr>
      <w:r>
        <w:rPr>
          <w:b/>
        </w:rPr>
        <w:t xml:space="preserve">VII.  </w:t>
      </w:r>
      <w:r>
        <w:rPr>
          <w:b/>
          <w:u w:val="single"/>
        </w:rPr>
        <w:t>REPORTING</w:t>
      </w:r>
    </w:p>
    <w:p w14:paraId="7250B900" w14:textId="77777777" w:rsidR="00C43966" w:rsidRPr="00FD5F58" w:rsidRDefault="00C43966" w:rsidP="001A652A">
      <w:pPr>
        <w:jc w:val="both"/>
        <w:rPr>
          <w:sz w:val="18"/>
          <w:szCs w:val="18"/>
        </w:rPr>
      </w:pPr>
    </w:p>
    <w:p w14:paraId="1DD62A0A" w14:textId="77777777" w:rsidR="00C43966" w:rsidRDefault="00C43966"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C1790FC" w14:textId="77777777" w:rsidR="00C43966" w:rsidRPr="00FD5F58" w:rsidRDefault="00C43966" w:rsidP="00F30023">
      <w:pPr>
        <w:ind w:left="360" w:hanging="360"/>
        <w:jc w:val="both"/>
        <w:rPr>
          <w:sz w:val="18"/>
          <w:szCs w:val="18"/>
        </w:rPr>
      </w:pPr>
    </w:p>
    <w:p w14:paraId="6F21D4BB" w14:textId="77777777" w:rsidR="00C43966" w:rsidRDefault="00C43966"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FEB0B2E" w14:textId="77777777" w:rsidR="00C43966" w:rsidRPr="00FD5F58" w:rsidRDefault="00C43966" w:rsidP="00F30023">
      <w:pPr>
        <w:ind w:left="360" w:hanging="360"/>
        <w:jc w:val="both"/>
        <w:rPr>
          <w:sz w:val="18"/>
          <w:szCs w:val="18"/>
        </w:rPr>
      </w:pPr>
    </w:p>
    <w:p w14:paraId="7718F0A6" w14:textId="77777777" w:rsidR="00C43966" w:rsidRPr="00C0388E" w:rsidRDefault="00C43966"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2D503C6" w14:textId="77777777" w:rsidR="00C43966" w:rsidRPr="00FD5F58" w:rsidRDefault="00C43966" w:rsidP="000D28AE">
      <w:pPr>
        <w:ind w:right="72"/>
        <w:jc w:val="both"/>
        <w:rPr>
          <w:rFonts w:cs="Arial"/>
          <w:sz w:val="18"/>
          <w:szCs w:val="18"/>
        </w:rPr>
      </w:pPr>
    </w:p>
    <w:p w14:paraId="57A8624E" w14:textId="77777777" w:rsidR="00C43966" w:rsidRPr="00FE0AD0" w:rsidRDefault="00C43966" w:rsidP="001A652A">
      <w:pPr>
        <w:jc w:val="both"/>
        <w:rPr>
          <w:rFonts w:cs="Arial"/>
          <w:b/>
          <w:sz w:val="20"/>
        </w:rPr>
      </w:pPr>
      <w:r w:rsidRPr="00FE0AD0">
        <w:rPr>
          <w:rFonts w:cs="Arial"/>
          <w:b/>
          <w:sz w:val="20"/>
        </w:rPr>
        <w:t>See Appendix 8</w:t>
      </w:r>
    </w:p>
    <w:p w14:paraId="71D01EA1" w14:textId="77777777" w:rsidR="00C43966" w:rsidRPr="00E111A8" w:rsidRDefault="00C43966" w:rsidP="001A652A">
      <w:pPr>
        <w:jc w:val="both"/>
        <w:rPr>
          <w:rFonts w:cs="Arial"/>
          <w:sz w:val="20"/>
        </w:rPr>
      </w:pPr>
    </w:p>
    <w:p w14:paraId="5833ED97" w14:textId="77777777" w:rsidR="00C43966" w:rsidRDefault="00C43966" w:rsidP="001A652A">
      <w:pPr>
        <w:jc w:val="both"/>
      </w:pPr>
      <w:r>
        <w:rPr>
          <w:b/>
        </w:rPr>
        <w:lastRenderedPageBreak/>
        <w:t xml:space="preserve">VIII.  </w:t>
      </w:r>
      <w:r>
        <w:rPr>
          <w:b/>
          <w:u w:val="single"/>
        </w:rPr>
        <w:t>STACK/VENT RESTRICTION(S)</w:t>
      </w:r>
    </w:p>
    <w:p w14:paraId="5B2E914C" w14:textId="77777777" w:rsidR="00C43966" w:rsidRDefault="00C43966" w:rsidP="001A652A">
      <w:pPr>
        <w:jc w:val="both"/>
        <w:rPr>
          <w:sz w:val="20"/>
        </w:rPr>
      </w:pPr>
    </w:p>
    <w:p w14:paraId="2488E97A" w14:textId="77777777" w:rsidR="00C43966" w:rsidRPr="00FE0AD0" w:rsidRDefault="00C43966" w:rsidP="001A652A">
      <w:pPr>
        <w:jc w:val="both"/>
        <w:rPr>
          <w:sz w:val="20"/>
        </w:rPr>
      </w:pPr>
      <w:r w:rsidRPr="00FE0AD0">
        <w:rPr>
          <w:sz w:val="20"/>
        </w:rPr>
        <w:t>The exhaust gases from the stacks listed in the table below shall be discharged unobstructed vertically upwards to the ambient air unless otherwise noted:</w:t>
      </w:r>
    </w:p>
    <w:p w14:paraId="3371B122" w14:textId="77777777" w:rsidR="00C43966" w:rsidRDefault="00C43966" w:rsidP="001A652A">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520"/>
        <w:gridCol w:w="2340"/>
        <w:gridCol w:w="2520"/>
      </w:tblGrid>
      <w:tr w:rsidR="00C43966" w14:paraId="26D333C9" w14:textId="77777777" w:rsidTr="00D7345C">
        <w:trPr>
          <w:cantSplit/>
          <w:tblHeader/>
        </w:trPr>
        <w:tc>
          <w:tcPr>
            <w:tcW w:w="2903" w:type="dxa"/>
            <w:tcBorders>
              <w:bottom w:val="single" w:sz="4" w:space="0" w:color="auto"/>
            </w:tcBorders>
          </w:tcPr>
          <w:p w14:paraId="2BA52797" w14:textId="77777777" w:rsidR="00C43966" w:rsidRPr="00BD3DE3" w:rsidRDefault="00C43966" w:rsidP="001A652A">
            <w:pPr>
              <w:jc w:val="center"/>
              <w:rPr>
                <w:b/>
                <w:sz w:val="20"/>
              </w:rPr>
            </w:pPr>
            <w:r w:rsidRPr="00BD3DE3">
              <w:rPr>
                <w:b/>
                <w:sz w:val="20"/>
              </w:rPr>
              <w:t>Stack &amp; Vent ID</w:t>
            </w:r>
          </w:p>
        </w:tc>
        <w:tc>
          <w:tcPr>
            <w:tcW w:w="2520" w:type="dxa"/>
            <w:tcBorders>
              <w:bottom w:val="single" w:sz="4" w:space="0" w:color="auto"/>
            </w:tcBorders>
          </w:tcPr>
          <w:p w14:paraId="79EC9535" w14:textId="77777777" w:rsidR="00C43966" w:rsidRPr="00BD3DE3" w:rsidRDefault="00C43966" w:rsidP="001A652A">
            <w:pPr>
              <w:jc w:val="center"/>
              <w:rPr>
                <w:b/>
                <w:sz w:val="20"/>
              </w:rPr>
            </w:pPr>
            <w:r w:rsidRPr="00BD3DE3">
              <w:rPr>
                <w:b/>
                <w:sz w:val="20"/>
              </w:rPr>
              <w:t xml:space="preserve">Maximum </w:t>
            </w:r>
            <w:r>
              <w:rPr>
                <w:b/>
                <w:sz w:val="20"/>
              </w:rPr>
              <w:t>Exhaust Diameter / Dimensions</w:t>
            </w:r>
          </w:p>
          <w:p w14:paraId="04250BCB" w14:textId="77777777" w:rsidR="00C43966" w:rsidRPr="00BD3DE3" w:rsidRDefault="00C43966" w:rsidP="001A652A">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C420FD7" w14:textId="77777777" w:rsidR="00C43966" w:rsidRPr="00BD3DE3" w:rsidRDefault="00C43966" w:rsidP="001A652A">
            <w:pPr>
              <w:jc w:val="center"/>
              <w:rPr>
                <w:b/>
                <w:sz w:val="20"/>
              </w:rPr>
            </w:pPr>
            <w:r w:rsidRPr="00BD3DE3">
              <w:rPr>
                <w:b/>
                <w:sz w:val="20"/>
              </w:rPr>
              <w:t>M</w:t>
            </w:r>
            <w:r>
              <w:rPr>
                <w:b/>
                <w:sz w:val="20"/>
              </w:rPr>
              <w:t>inimum Height Above Ground</w:t>
            </w:r>
          </w:p>
          <w:p w14:paraId="2D665B36" w14:textId="77777777" w:rsidR="00C43966" w:rsidRPr="00BD3DE3" w:rsidRDefault="00C43966" w:rsidP="001A652A">
            <w:pPr>
              <w:jc w:val="center"/>
              <w:rPr>
                <w:b/>
                <w:sz w:val="20"/>
              </w:rPr>
            </w:pPr>
            <w:r w:rsidRPr="00BD3DE3">
              <w:rPr>
                <w:b/>
                <w:sz w:val="20"/>
              </w:rPr>
              <w:t>(feet)</w:t>
            </w:r>
          </w:p>
        </w:tc>
        <w:tc>
          <w:tcPr>
            <w:tcW w:w="2520" w:type="dxa"/>
            <w:tcBorders>
              <w:bottom w:val="single" w:sz="4" w:space="0" w:color="auto"/>
            </w:tcBorders>
          </w:tcPr>
          <w:p w14:paraId="4AC5F19F" w14:textId="77777777" w:rsidR="00C43966" w:rsidRPr="00BD3DE3" w:rsidRDefault="00C43966" w:rsidP="00EF7944">
            <w:pPr>
              <w:jc w:val="center"/>
              <w:rPr>
                <w:b/>
                <w:sz w:val="20"/>
              </w:rPr>
            </w:pPr>
            <w:r w:rsidRPr="00BD3DE3">
              <w:rPr>
                <w:b/>
                <w:sz w:val="20"/>
              </w:rPr>
              <w:t>Underlying Applicable Requirements</w:t>
            </w:r>
          </w:p>
        </w:tc>
      </w:tr>
      <w:tr w:rsidR="00CC6551" w:rsidRPr="00210A10" w14:paraId="31829E63" w14:textId="77777777" w:rsidTr="00D7345C">
        <w:trPr>
          <w:cantSplit/>
        </w:trPr>
        <w:tc>
          <w:tcPr>
            <w:tcW w:w="2903" w:type="dxa"/>
            <w:tcBorders>
              <w:top w:val="single" w:sz="4" w:space="0" w:color="auto"/>
              <w:left w:val="single" w:sz="4" w:space="0" w:color="auto"/>
              <w:bottom w:val="single" w:sz="4" w:space="0" w:color="auto"/>
              <w:right w:val="single" w:sz="4" w:space="0" w:color="auto"/>
            </w:tcBorders>
          </w:tcPr>
          <w:p w14:paraId="299B3C6E" w14:textId="2CAEFD8F" w:rsidR="00CC6551" w:rsidRDefault="00CC6551" w:rsidP="00CC6551">
            <w:pPr>
              <w:ind w:left="342" w:hanging="342"/>
              <w:rPr>
                <w:sz w:val="20"/>
              </w:rPr>
            </w:pPr>
            <w:r>
              <w:rPr>
                <w:sz w:val="20"/>
              </w:rPr>
              <w:t xml:space="preserve">1. </w:t>
            </w:r>
            <w:r w:rsidR="00FD5F58">
              <w:rPr>
                <w:sz w:val="20"/>
              </w:rPr>
              <w:t xml:space="preserve"> </w:t>
            </w:r>
            <w:r>
              <w:rPr>
                <w:sz w:val="20"/>
              </w:rPr>
              <w:t>SV-BOOTH1</w:t>
            </w:r>
          </w:p>
        </w:tc>
        <w:tc>
          <w:tcPr>
            <w:tcW w:w="2520" w:type="dxa"/>
            <w:tcBorders>
              <w:top w:val="single" w:sz="4" w:space="0" w:color="auto"/>
              <w:left w:val="single" w:sz="4" w:space="0" w:color="auto"/>
              <w:bottom w:val="single" w:sz="4" w:space="0" w:color="auto"/>
              <w:right w:val="single" w:sz="4" w:space="0" w:color="auto"/>
            </w:tcBorders>
          </w:tcPr>
          <w:p w14:paraId="436A18E2" w14:textId="77777777" w:rsidR="00CC6551" w:rsidRPr="00A52A7A" w:rsidRDefault="00CC6551" w:rsidP="0051588B">
            <w:pPr>
              <w:jc w:val="center"/>
              <w:rPr>
                <w:sz w:val="20"/>
              </w:rPr>
            </w:pPr>
            <w:r>
              <w:rPr>
                <w:sz w:val="20"/>
              </w:rPr>
              <w:t>34</w:t>
            </w:r>
            <w:r w:rsidRPr="00F825F1">
              <w:rPr>
                <w:sz w:val="20"/>
                <w:vertAlign w:val="superscript"/>
              </w:rPr>
              <w:t>2</w:t>
            </w:r>
          </w:p>
          <w:p w14:paraId="58497688" w14:textId="77777777" w:rsidR="00CC6551" w:rsidRDefault="00CC6551" w:rsidP="0051588B">
            <w:pPr>
              <w:jc w:val="center"/>
              <w:rPr>
                <w:sz w:val="20"/>
              </w:rPr>
            </w:pPr>
          </w:p>
        </w:tc>
        <w:tc>
          <w:tcPr>
            <w:tcW w:w="2340" w:type="dxa"/>
            <w:tcBorders>
              <w:top w:val="single" w:sz="4" w:space="0" w:color="auto"/>
              <w:left w:val="single" w:sz="4" w:space="0" w:color="auto"/>
              <w:bottom w:val="single" w:sz="4" w:space="0" w:color="auto"/>
              <w:right w:val="single" w:sz="4" w:space="0" w:color="auto"/>
            </w:tcBorders>
          </w:tcPr>
          <w:p w14:paraId="155536D8" w14:textId="77777777" w:rsidR="00CC6551" w:rsidRPr="00A52A7A" w:rsidRDefault="00CC6551" w:rsidP="0051588B">
            <w:pPr>
              <w:jc w:val="center"/>
              <w:rPr>
                <w:sz w:val="20"/>
              </w:rPr>
            </w:pPr>
            <w:r>
              <w:rPr>
                <w:sz w:val="20"/>
              </w:rPr>
              <w:t>40</w:t>
            </w:r>
            <w:r w:rsidRPr="00F825F1">
              <w:rPr>
                <w:sz w:val="20"/>
                <w:vertAlign w:val="superscript"/>
              </w:rPr>
              <w:t>2</w:t>
            </w:r>
          </w:p>
          <w:p w14:paraId="0125C47B" w14:textId="77777777" w:rsidR="00CC6551" w:rsidRDefault="00CC6551" w:rsidP="0051588B">
            <w:pPr>
              <w:jc w:val="center"/>
              <w:rPr>
                <w:sz w:val="20"/>
              </w:rPr>
            </w:pPr>
          </w:p>
        </w:tc>
        <w:tc>
          <w:tcPr>
            <w:tcW w:w="2520" w:type="dxa"/>
            <w:tcBorders>
              <w:top w:val="single" w:sz="4" w:space="0" w:color="auto"/>
              <w:left w:val="single" w:sz="4" w:space="0" w:color="auto"/>
              <w:bottom w:val="single" w:sz="4" w:space="0" w:color="auto"/>
              <w:right w:val="single" w:sz="4" w:space="0" w:color="auto"/>
            </w:tcBorders>
          </w:tcPr>
          <w:p w14:paraId="20EF4527" w14:textId="1474E2B7" w:rsidR="00CC6551" w:rsidRPr="00CC6551" w:rsidRDefault="00CC6551" w:rsidP="0051588B">
            <w:pPr>
              <w:jc w:val="center"/>
              <w:rPr>
                <w:b/>
                <w:sz w:val="20"/>
              </w:rPr>
            </w:pPr>
            <w:r w:rsidRPr="00CC6551">
              <w:rPr>
                <w:b/>
                <w:sz w:val="20"/>
              </w:rPr>
              <w:t>R 336.1225</w:t>
            </w:r>
          </w:p>
          <w:p w14:paraId="163CB1ED" w14:textId="77777777" w:rsidR="00CC6551" w:rsidRPr="00210A10" w:rsidRDefault="00CC6551" w:rsidP="0051588B">
            <w:pPr>
              <w:jc w:val="center"/>
              <w:rPr>
                <w:b/>
                <w:sz w:val="20"/>
              </w:rPr>
            </w:pPr>
            <w:r w:rsidRPr="00CC6551">
              <w:rPr>
                <w:b/>
                <w:sz w:val="20"/>
              </w:rPr>
              <w:t>40 CFR 52.21(c) &amp; (d)</w:t>
            </w:r>
          </w:p>
        </w:tc>
      </w:tr>
      <w:tr w:rsidR="00CC6551" w:rsidRPr="00210A10" w14:paraId="024D8BC2" w14:textId="77777777" w:rsidTr="00D7345C">
        <w:trPr>
          <w:cantSplit/>
        </w:trPr>
        <w:tc>
          <w:tcPr>
            <w:tcW w:w="2903" w:type="dxa"/>
            <w:tcBorders>
              <w:top w:val="single" w:sz="4" w:space="0" w:color="auto"/>
              <w:left w:val="single" w:sz="4" w:space="0" w:color="auto"/>
              <w:bottom w:val="single" w:sz="4" w:space="0" w:color="auto"/>
              <w:right w:val="single" w:sz="4" w:space="0" w:color="auto"/>
            </w:tcBorders>
          </w:tcPr>
          <w:p w14:paraId="7B031085" w14:textId="50423150" w:rsidR="00CC6551" w:rsidRDefault="00CC6551" w:rsidP="00CC6551">
            <w:pPr>
              <w:ind w:left="342" w:hanging="342"/>
              <w:rPr>
                <w:sz w:val="20"/>
              </w:rPr>
            </w:pPr>
            <w:r>
              <w:rPr>
                <w:sz w:val="20"/>
              </w:rPr>
              <w:t xml:space="preserve">2. </w:t>
            </w:r>
            <w:r w:rsidR="00FD5F58">
              <w:rPr>
                <w:sz w:val="20"/>
              </w:rPr>
              <w:t xml:space="preserve"> </w:t>
            </w:r>
            <w:r>
              <w:rPr>
                <w:sz w:val="20"/>
              </w:rPr>
              <w:t>SV-BOOTH2</w:t>
            </w:r>
          </w:p>
        </w:tc>
        <w:tc>
          <w:tcPr>
            <w:tcW w:w="2520" w:type="dxa"/>
            <w:tcBorders>
              <w:top w:val="single" w:sz="4" w:space="0" w:color="auto"/>
              <w:left w:val="single" w:sz="4" w:space="0" w:color="auto"/>
              <w:bottom w:val="single" w:sz="4" w:space="0" w:color="auto"/>
              <w:right w:val="single" w:sz="4" w:space="0" w:color="auto"/>
            </w:tcBorders>
          </w:tcPr>
          <w:p w14:paraId="3F9DAAA0" w14:textId="77777777" w:rsidR="00CC6551" w:rsidRPr="00A52A7A" w:rsidRDefault="00CC6551" w:rsidP="0051588B">
            <w:pPr>
              <w:jc w:val="center"/>
              <w:rPr>
                <w:sz w:val="20"/>
              </w:rPr>
            </w:pPr>
            <w:r>
              <w:rPr>
                <w:sz w:val="20"/>
              </w:rPr>
              <w:t>34</w:t>
            </w:r>
            <w:r w:rsidRPr="00F825F1">
              <w:rPr>
                <w:sz w:val="20"/>
                <w:vertAlign w:val="superscript"/>
              </w:rPr>
              <w:t>2</w:t>
            </w:r>
          </w:p>
          <w:p w14:paraId="1EA7985D" w14:textId="77777777" w:rsidR="00CC6551" w:rsidRDefault="00CC6551" w:rsidP="0051588B">
            <w:pPr>
              <w:jc w:val="center"/>
              <w:rPr>
                <w:sz w:val="20"/>
              </w:rPr>
            </w:pPr>
          </w:p>
        </w:tc>
        <w:tc>
          <w:tcPr>
            <w:tcW w:w="2340" w:type="dxa"/>
            <w:tcBorders>
              <w:top w:val="single" w:sz="4" w:space="0" w:color="auto"/>
              <w:left w:val="single" w:sz="4" w:space="0" w:color="auto"/>
              <w:bottom w:val="single" w:sz="4" w:space="0" w:color="auto"/>
              <w:right w:val="single" w:sz="4" w:space="0" w:color="auto"/>
            </w:tcBorders>
          </w:tcPr>
          <w:p w14:paraId="1E8CF244" w14:textId="77777777" w:rsidR="00CC6551" w:rsidRPr="00A52A7A" w:rsidRDefault="00CC6551" w:rsidP="0051588B">
            <w:pPr>
              <w:jc w:val="center"/>
              <w:rPr>
                <w:sz w:val="20"/>
              </w:rPr>
            </w:pPr>
            <w:r>
              <w:rPr>
                <w:sz w:val="20"/>
              </w:rPr>
              <w:t>40</w:t>
            </w:r>
            <w:r w:rsidRPr="00F825F1">
              <w:rPr>
                <w:sz w:val="20"/>
                <w:vertAlign w:val="superscript"/>
              </w:rPr>
              <w:t>2</w:t>
            </w:r>
          </w:p>
          <w:p w14:paraId="2036E350" w14:textId="77777777" w:rsidR="00CC6551" w:rsidRDefault="00CC6551" w:rsidP="0051588B">
            <w:pPr>
              <w:jc w:val="center"/>
              <w:rPr>
                <w:sz w:val="20"/>
              </w:rPr>
            </w:pPr>
          </w:p>
        </w:tc>
        <w:tc>
          <w:tcPr>
            <w:tcW w:w="2520" w:type="dxa"/>
            <w:tcBorders>
              <w:top w:val="single" w:sz="4" w:space="0" w:color="auto"/>
              <w:left w:val="single" w:sz="4" w:space="0" w:color="auto"/>
              <w:bottom w:val="single" w:sz="4" w:space="0" w:color="auto"/>
              <w:right w:val="single" w:sz="4" w:space="0" w:color="auto"/>
            </w:tcBorders>
          </w:tcPr>
          <w:p w14:paraId="74BB27E9" w14:textId="632A30F7" w:rsidR="00CC6551" w:rsidRPr="00CC6551" w:rsidRDefault="00CC6551" w:rsidP="0051588B">
            <w:pPr>
              <w:jc w:val="center"/>
              <w:rPr>
                <w:b/>
                <w:sz w:val="20"/>
              </w:rPr>
            </w:pPr>
            <w:r w:rsidRPr="00CC6551">
              <w:rPr>
                <w:b/>
                <w:sz w:val="20"/>
              </w:rPr>
              <w:t>R 336.1225</w:t>
            </w:r>
          </w:p>
          <w:p w14:paraId="4AF70A28" w14:textId="77777777" w:rsidR="00CC6551" w:rsidRPr="00210A10" w:rsidRDefault="00CC6551" w:rsidP="0051588B">
            <w:pPr>
              <w:jc w:val="center"/>
              <w:rPr>
                <w:b/>
                <w:sz w:val="20"/>
              </w:rPr>
            </w:pPr>
            <w:r w:rsidRPr="00CC6551">
              <w:rPr>
                <w:b/>
                <w:sz w:val="20"/>
              </w:rPr>
              <w:t>40 CFR 52.21(c) &amp; (d)</w:t>
            </w:r>
          </w:p>
        </w:tc>
      </w:tr>
      <w:tr w:rsidR="00CC6551" w:rsidRPr="00210A10" w14:paraId="397F36EA" w14:textId="77777777" w:rsidTr="00D7345C">
        <w:trPr>
          <w:cantSplit/>
        </w:trPr>
        <w:tc>
          <w:tcPr>
            <w:tcW w:w="2903" w:type="dxa"/>
            <w:tcBorders>
              <w:top w:val="single" w:sz="4" w:space="0" w:color="auto"/>
              <w:left w:val="single" w:sz="4" w:space="0" w:color="auto"/>
              <w:bottom w:val="single" w:sz="4" w:space="0" w:color="auto"/>
              <w:right w:val="single" w:sz="4" w:space="0" w:color="auto"/>
            </w:tcBorders>
          </w:tcPr>
          <w:p w14:paraId="73F7422D" w14:textId="166AA627" w:rsidR="00CC6551" w:rsidRDefault="00CC6551" w:rsidP="00CC6551">
            <w:pPr>
              <w:ind w:left="342" w:hanging="342"/>
              <w:rPr>
                <w:sz w:val="20"/>
              </w:rPr>
            </w:pPr>
            <w:r>
              <w:rPr>
                <w:sz w:val="20"/>
              </w:rPr>
              <w:t xml:space="preserve">3. </w:t>
            </w:r>
            <w:r w:rsidR="00FD5F58">
              <w:rPr>
                <w:sz w:val="20"/>
              </w:rPr>
              <w:t xml:space="preserve"> </w:t>
            </w:r>
            <w:r>
              <w:rPr>
                <w:sz w:val="20"/>
              </w:rPr>
              <w:t>SV-BOOTH3</w:t>
            </w:r>
          </w:p>
        </w:tc>
        <w:tc>
          <w:tcPr>
            <w:tcW w:w="2520" w:type="dxa"/>
            <w:tcBorders>
              <w:top w:val="single" w:sz="4" w:space="0" w:color="auto"/>
              <w:left w:val="single" w:sz="4" w:space="0" w:color="auto"/>
              <w:bottom w:val="single" w:sz="4" w:space="0" w:color="auto"/>
              <w:right w:val="single" w:sz="4" w:space="0" w:color="auto"/>
            </w:tcBorders>
          </w:tcPr>
          <w:p w14:paraId="6FB2BB19" w14:textId="77777777" w:rsidR="00CC6551" w:rsidRPr="00A52A7A" w:rsidRDefault="00CC6551" w:rsidP="0051588B">
            <w:pPr>
              <w:jc w:val="center"/>
              <w:rPr>
                <w:sz w:val="20"/>
              </w:rPr>
            </w:pPr>
            <w:r>
              <w:rPr>
                <w:sz w:val="20"/>
              </w:rPr>
              <w:t>24</w:t>
            </w:r>
            <w:r w:rsidRPr="00F825F1">
              <w:rPr>
                <w:sz w:val="20"/>
                <w:vertAlign w:val="superscript"/>
              </w:rPr>
              <w:t>2</w:t>
            </w:r>
          </w:p>
          <w:p w14:paraId="36C09D80" w14:textId="77777777" w:rsidR="00CC6551" w:rsidRDefault="00CC6551" w:rsidP="0051588B">
            <w:pPr>
              <w:jc w:val="center"/>
              <w:rPr>
                <w:sz w:val="20"/>
              </w:rPr>
            </w:pPr>
          </w:p>
        </w:tc>
        <w:tc>
          <w:tcPr>
            <w:tcW w:w="2340" w:type="dxa"/>
            <w:tcBorders>
              <w:top w:val="single" w:sz="4" w:space="0" w:color="auto"/>
              <w:left w:val="single" w:sz="4" w:space="0" w:color="auto"/>
              <w:bottom w:val="single" w:sz="4" w:space="0" w:color="auto"/>
              <w:right w:val="single" w:sz="4" w:space="0" w:color="auto"/>
            </w:tcBorders>
          </w:tcPr>
          <w:p w14:paraId="1667153D" w14:textId="77777777" w:rsidR="00CC6551" w:rsidRPr="00CC6551" w:rsidRDefault="00CC6551" w:rsidP="0051588B">
            <w:pPr>
              <w:jc w:val="center"/>
              <w:rPr>
                <w:sz w:val="20"/>
              </w:rPr>
            </w:pPr>
            <w:r>
              <w:rPr>
                <w:sz w:val="20"/>
              </w:rPr>
              <w:t>28</w:t>
            </w:r>
            <w:r w:rsidRPr="00F825F1">
              <w:rPr>
                <w:sz w:val="20"/>
                <w:vertAlign w:val="superscript"/>
              </w:rPr>
              <w:t>2</w:t>
            </w:r>
          </w:p>
          <w:p w14:paraId="0BA6818E" w14:textId="77777777" w:rsidR="00CC6551" w:rsidRDefault="00CC6551" w:rsidP="0051588B">
            <w:pPr>
              <w:jc w:val="center"/>
              <w:rPr>
                <w:sz w:val="20"/>
              </w:rPr>
            </w:pPr>
          </w:p>
        </w:tc>
        <w:tc>
          <w:tcPr>
            <w:tcW w:w="2520" w:type="dxa"/>
            <w:tcBorders>
              <w:top w:val="single" w:sz="4" w:space="0" w:color="auto"/>
              <w:left w:val="single" w:sz="4" w:space="0" w:color="auto"/>
              <w:bottom w:val="single" w:sz="4" w:space="0" w:color="auto"/>
              <w:right w:val="single" w:sz="4" w:space="0" w:color="auto"/>
            </w:tcBorders>
          </w:tcPr>
          <w:p w14:paraId="0DC4E780" w14:textId="64A54D31" w:rsidR="00CC6551" w:rsidRPr="00CC6551" w:rsidRDefault="00CC6551" w:rsidP="0051588B">
            <w:pPr>
              <w:jc w:val="center"/>
              <w:rPr>
                <w:b/>
                <w:sz w:val="20"/>
              </w:rPr>
            </w:pPr>
            <w:r w:rsidRPr="00CC6551">
              <w:rPr>
                <w:b/>
                <w:sz w:val="20"/>
              </w:rPr>
              <w:t>R 336.1225</w:t>
            </w:r>
          </w:p>
          <w:p w14:paraId="55F1D4D8" w14:textId="77777777" w:rsidR="00CC6551" w:rsidRPr="00210A10" w:rsidRDefault="00CC6551" w:rsidP="0051588B">
            <w:pPr>
              <w:jc w:val="center"/>
              <w:rPr>
                <w:b/>
                <w:sz w:val="20"/>
              </w:rPr>
            </w:pPr>
            <w:r w:rsidRPr="00CC6551">
              <w:rPr>
                <w:b/>
                <w:sz w:val="20"/>
              </w:rPr>
              <w:t>40 CFR 52.21(c) &amp; (d)</w:t>
            </w:r>
          </w:p>
        </w:tc>
      </w:tr>
    </w:tbl>
    <w:p w14:paraId="7FB2933A" w14:textId="77777777" w:rsidR="00C43966" w:rsidRDefault="00C43966" w:rsidP="001A652A">
      <w:pPr>
        <w:jc w:val="both"/>
        <w:rPr>
          <w:rFonts w:cs="Arial"/>
          <w:sz w:val="20"/>
        </w:rPr>
      </w:pPr>
    </w:p>
    <w:p w14:paraId="110C927C" w14:textId="33A8EC35" w:rsidR="00C43966" w:rsidRDefault="00CC6551" w:rsidP="001A652A">
      <w:pPr>
        <w:jc w:val="both"/>
      </w:pPr>
      <w:r>
        <w:rPr>
          <w:color w:val="FF0000"/>
          <w:sz w:val="20"/>
        </w:rPr>
        <w:t xml:space="preserve"> </w:t>
      </w:r>
      <w:r w:rsidR="00C43966">
        <w:rPr>
          <w:b/>
        </w:rPr>
        <w:t xml:space="preserve">IX.  </w:t>
      </w:r>
      <w:r w:rsidR="00C43966">
        <w:rPr>
          <w:b/>
          <w:u w:val="single"/>
        </w:rPr>
        <w:t>OTHER REQUIREMENT(S)</w:t>
      </w:r>
    </w:p>
    <w:p w14:paraId="2A5C53DF" w14:textId="77777777" w:rsidR="00C43966" w:rsidRPr="00FE0AD0" w:rsidRDefault="00C43966" w:rsidP="001A652A">
      <w:pPr>
        <w:jc w:val="both"/>
        <w:rPr>
          <w:sz w:val="20"/>
        </w:rPr>
      </w:pPr>
    </w:p>
    <w:p w14:paraId="26C01E47" w14:textId="77777777" w:rsidR="00D7345C" w:rsidRPr="00501957" w:rsidRDefault="00D7345C" w:rsidP="006255D5">
      <w:pPr>
        <w:pStyle w:val="ListParagraph"/>
        <w:numPr>
          <w:ilvl w:val="6"/>
          <w:numId w:val="29"/>
        </w:numPr>
        <w:ind w:left="360"/>
        <w:contextualSpacing/>
        <w:jc w:val="both"/>
        <w:rPr>
          <w:sz w:val="20"/>
        </w:rPr>
      </w:pPr>
      <w:r w:rsidRPr="00501957">
        <w:rPr>
          <w:sz w:val="20"/>
        </w:rPr>
        <w:t>The permittee shall comply with all provisions of the National Emission Standards for Hazardous Air Pollutants as specified in 40 CFR Part 63, Subparts A and JJ, as they apply to FG-FINISH.</w:t>
      </w:r>
      <w:r w:rsidRPr="00501957">
        <w:rPr>
          <w:rFonts w:cs="Arial"/>
          <w:sz w:val="20"/>
          <w:vertAlign w:val="superscript"/>
        </w:rPr>
        <w:t>2</w:t>
      </w:r>
      <w:r w:rsidRPr="00501957">
        <w:rPr>
          <w:b/>
          <w:sz w:val="20"/>
        </w:rPr>
        <w:t xml:space="preserve">  (40 CFR Part 63</w:t>
      </w:r>
      <w:r>
        <w:rPr>
          <w:b/>
          <w:sz w:val="20"/>
        </w:rPr>
        <w:t>,</w:t>
      </w:r>
      <w:r w:rsidRPr="00501957">
        <w:rPr>
          <w:b/>
          <w:sz w:val="20"/>
        </w:rPr>
        <w:t xml:space="preserve"> Subparts A &amp; JJ)</w:t>
      </w:r>
    </w:p>
    <w:p w14:paraId="322BB81E" w14:textId="77777777" w:rsidR="00C43966" w:rsidRDefault="00C43966" w:rsidP="00D7345C">
      <w:pPr>
        <w:jc w:val="both"/>
        <w:rPr>
          <w:sz w:val="20"/>
        </w:rPr>
      </w:pPr>
    </w:p>
    <w:p w14:paraId="52432BDE" w14:textId="77777777" w:rsidR="00C43966" w:rsidRPr="00FE0AD0" w:rsidRDefault="00C43966" w:rsidP="001A652A">
      <w:pPr>
        <w:jc w:val="both"/>
        <w:rPr>
          <w:sz w:val="20"/>
        </w:rPr>
      </w:pPr>
    </w:p>
    <w:p w14:paraId="75F6BCBC" w14:textId="77777777" w:rsidR="00C43966" w:rsidRPr="00B90185" w:rsidRDefault="00C43966" w:rsidP="001A652A">
      <w:pPr>
        <w:jc w:val="both"/>
        <w:rPr>
          <w:b/>
          <w:sz w:val="20"/>
        </w:rPr>
      </w:pPr>
      <w:r w:rsidRPr="00B90185">
        <w:rPr>
          <w:b/>
          <w:sz w:val="20"/>
          <w:u w:val="single"/>
        </w:rPr>
        <w:t>Footnotes</w:t>
      </w:r>
      <w:r w:rsidRPr="00B90185">
        <w:rPr>
          <w:b/>
          <w:sz w:val="20"/>
        </w:rPr>
        <w:t>:</w:t>
      </w:r>
    </w:p>
    <w:p w14:paraId="15B37761" w14:textId="348F4C5C" w:rsidR="00C43966" w:rsidRDefault="00C43966" w:rsidP="0041605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F77A1D" w14:textId="78712D0D" w:rsidR="00C43966" w:rsidRDefault="00C43966" w:rsidP="00416054">
      <w:pPr>
        <w:jc w:val="both"/>
        <w:rPr>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D8FF99" w14:textId="17D279C9" w:rsidR="00CC6551" w:rsidRDefault="00CC6551" w:rsidP="00416054">
      <w:pPr>
        <w:jc w:val="both"/>
        <w:rPr>
          <w:sz w:val="20"/>
        </w:rPr>
      </w:pPr>
    </w:p>
    <w:p w14:paraId="0096C866" w14:textId="7787275D" w:rsidR="00D7345C" w:rsidRDefault="00D7345C">
      <w:pPr>
        <w:rPr>
          <w:sz w:val="20"/>
        </w:rPr>
      </w:pPr>
      <w:r>
        <w:rPr>
          <w:sz w:val="20"/>
        </w:rPr>
        <w:br w:type="page"/>
      </w:r>
    </w:p>
    <w:p w14:paraId="4FF76391" w14:textId="3FFC9CA2" w:rsidR="00C43966" w:rsidRPr="00347387" w:rsidRDefault="00C43966"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117065701"/>
      <w:r>
        <w:rPr>
          <w:bCs/>
          <w:iCs/>
          <w:szCs w:val="28"/>
        </w:rPr>
        <w:lastRenderedPageBreak/>
        <w:t>F</w:t>
      </w:r>
      <w:r w:rsidRPr="00347387">
        <w:rPr>
          <w:bCs/>
          <w:iCs/>
          <w:szCs w:val="28"/>
        </w:rPr>
        <w:t>G</w:t>
      </w:r>
      <w:r w:rsidR="00A96A95">
        <w:rPr>
          <w:bCs/>
          <w:iCs/>
          <w:szCs w:val="28"/>
        </w:rPr>
        <w:t>-</w:t>
      </w:r>
      <w:r w:rsidR="001A3279">
        <w:rPr>
          <w:bCs/>
          <w:iCs/>
          <w:szCs w:val="28"/>
        </w:rPr>
        <w:t>MACT</w:t>
      </w:r>
      <w:bookmarkEnd w:id="82"/>
    </w:p>
    <w:p w14:paraId="60B38718" w14:textId="77777777" w:rsidR="00C43966" w:rsidRPr="00EE02F9" w:rsidRDefault="00C43966"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2528041" w14:textId="77777777" w:rsidR="00C43966" w:rsidRPr="00F30023" w:rsidRDefault="00C43966" w:rsidP="00863721">
      <w:pPr>
        <w:rPr>
          <w:sz w:val="20"/>
        </w:rPr>
      </w:pPr>
    </w:p>
    <w:p w14:paraId="120F23F8" w14:textId="77777777" w:rsidR="00C43966" w:rsidRDefault="00C43966" w:rsidP="00863721">
      <w:pPr>
        <w:jc w:val="both"/>
        <w:rPr>
          <w:b/>
          <w:u w:val="single"/>
        </w:rPr>
      </w:pPr>
      <w:r>
        <w:rPr>
          <w:b/>
          <w:u w:val="single"/>
        </w:rPr>
        <w:t>DESCRIPTION</w:t>
      </w:r>
    </w:p>
    <w:p w14:paraId="69E39936" w14:textId="77777777" w:rsidR="00C43966" w:rsidRPr="00C3424D" w:rsidRDefault="00C43966" w:rsidP="00863721">
      <w:pPr>
        <w:jc w:val="both"/>
        <w:rPr>
          <w:sz w:val="20"/>
        </w:rPr>
      </w:pPr>
    </w:p>
    <w:p w14:paraId="7B0A73C3" w14:textId="77777777" w:rsidR="007E60C6" w:rsidRPr="00DE408E" w:rsidRDefault="007E60C6" w:rsidP="00DE408E">
      <w:pPr>
        <w:jc w:val="both"/>
        <w:rPr>
          <w:i/>
          <w:iCs/>
          <w:sz w:val="20"/>
        </w:rPr>
      </w:pPr>
      <w:r w:rsidRPr="00DE408E">
        <w:rPr>
          <w:i/>
          <w:iCs/>
          <w:sz w:val="20"/>
        </w:rPr>
        <w:t>40 CFR 63, Subpart JJ-National Emission Standards for Wood Furniture Manufacturing Operations</w:t>
      </w:r>
    </w:p>
    <w:p w14:paraId="17A39EA9" w14:textId="77777777" w:rsidR="007E60C6" w:rsidRDefault="007E60C6" w:rsidP="00DE408E">
      <w:pPr>
        <w:jc w:val="both"/>
        <w:rPr>
          <w:sz w:val="20"/>
        </w:rPr>
      </w:pPr>
    </w:p>
    <w:p w14:paraId="256F2857" w14:textId="719E3D12" w:rsidR="00267D48" w:rsidRDefault="003D15A3" w:rsidP="00DE408E">
      <w:pPr>
        <w:pStyle w:val="ListParagraph"/>
        <w:ind w:left="0"/>
        <w:jc w:val="both"/>
        <w:rPr>
          <w:sz w:val="20"/>
        </w:rPr>
      </w:pPr>
      <w:r>
        <w:rPr>
          <w:sz w:val="20"/>
        </w:rPr>
        <w:t xml:space="preserve">This flexible group consists of all process equipment at the stationary source including equipment covered by other permits, grandfathered equipment and exempt equipment involved in the surface coating of wood kitchen cabinet parts and products that meet the requirements in 40 </w:t>
      </w:r>
      <w:r w:rsidR="006234AA">
        <w:rPr>
          <w:sz w:val="20"/>
        </w:rPr>
        <w:t>CFR Part</w:t>
      </w:r>
      <w:r>
        <w:rPr>
          <w:sz w:val="20"/>
        </w:rPr>
        <w:t xml:space="preserve"> 63, </w:t>
      </w:r>
      <w:r w:rsidR="00280F1A">
        <w:rPr>
          <w:sz w:val="20"/>
        </w:rPr>
        <w:t xml:space="preserve">Subparts A </w:t>
      </w:r>
      <w:r w:rsidR="00A45FF0">
        <w:rPr>
          <w:sz w:val="20"/>
        </w:rPr>
        <w:t>and JJ</w:t>
      </w:r>
      <w:r>
        <w:rPr>
          <w:sz w:val="20"/>
        </w:rPr>
        <w:t>, 40 CFR 63.800 and are thereby subject to National Emissions Standards for Hazardous Air Pollutants (NESHAP) for Wood Furniture Manufacturing</w:t>
      </w:r>
      <w:r w:rsidR="00FB6CA2">
        <w:rPr>
          <w:sz w:val="20"/>
        </w:rPr>
        <w:t xml:space="preserve"> Operations</w:t>
      </w:r>
      <w:r>
        <w:rPr>
          <w:sz w:val="20"/>
        </w:rPr>
        <w:t>.</w:t>
      </w:r>
      <w:r w:rsidR="00874ACD">
        <w:rPr>
          <w:sz w:val="20"/>
        </w:rPr>
        <w:t xml:space="preserve"> </w:t>
      </w:r>
    </w:p>
    <w:p w14:paraId="16D7F3AB" w14:textId="77777777" w:rsidR="00267D48" w:rsidRDefault="00267D48" w:rsidP="00DE408E">
      <w:pPr>
        <w:pStyle w:val="ListParagraph"/>
        <w:ind w:left="0"/>
        <w:jc w:val="both"/>
        <w:rPr>
          <w:sz w:val="20"/>
        </w:rPr>
      </w:pPr>
    </w:p>
    <w:p w14:paraId="30B5B06C" w14:textId="14D6C8A9" w:rsidR="00DC0AC9" w:rsidRPr="0024614C" w:rsidRDefault="00C10768" w:rsidP="00DE408E">
      <w:pPr>
        <w:pStyle w:val="ListParagraph"/>
        <w:ind w:left="0"/>
        <w:jc w:val="both"/>
        <w:rPr>
          <w:rFonts w:cs="Arial"/>
          <w:sz w:val="20"/>
        </w:rPr>
      </w:pPr>
      <w:r>
        <w:rPr>
          <w:sz w:val="20"/>
        </w:rPr>
        <w:t xml:space="preserve">All processes </w:t>
      </w:r>
      <w:r w:rsidR="00874ACD">
        <w:rPr>
          <w:sz w:val="20"/>
        </w:rPr>
        <w:t xml:space="preserve">that </w:t>
      </w:r>
      <w:r>
        <w:rPr>
          <w:sz w:val="20"/>
        </w:rPr>
        <w:t xml:space="preserve">are </w:t>
      </w:r>
      <w:r w:rsidR="00874ACD">
        <w:rPr>
          <w:sz w:val="20"/>
        </w:rPr>
        <w:t xml:space="preserve">engaged, either in part or in whole, in the manufacturing of wood furniture or wood furniture components that is located at a major source of Hazardous Air Pollutant (HAP) emissions as defined in 40 CFR </w:t>
      </w:r>
      <w:r w:rsidR="00874ACD" w:rsidRPr="0024614C">
        <w:rPr>
          <w:sz w:val="20"/>
        </w:rPr>
        <w:t>63</w:t>
      </w:r>
      <w:r w:rsidR="00FC167A">
        <w:rPr>
          <w:sz w:val="20"/>
        </w:rPr>
        <w:t>.</w:t>
      </w:r>
      <w:r w:rsidR="00874ACD" w:rsidRPr="0024614C">
        <w:rPr>
          <w:sz w:val="20"/>
        </w:rPr>
        <w:t>2</w:t>
      </w:r>
      <w:r w:rsidR="00FC167A">
        <w:rPr>
          <w:sz w:val="20"/>
        </w:rPr>
        <w:t xml:space="preserve">, and </w:t>
      </w:r>
      <w:r w:rsidR="00267D48" w:rsidRPr="0024614C">
        <w:rPr>
          <w:rFonts w:cs="Arial"/>
          <w:sz w:val="20"/>
        </w:rPr>
        <w:t>40 CFR 63</w:t>
      </w:r>
      <w:r w:rsidR="00FC167A">
        <w:rPr>
          <w:rFonts w:cs="Arial"/>
          <w:sz w:val="20"/>
        </w:rPr>
        <w:t>.</w:t>
      </w:r>
    </w:p>
    <w:p w14:paraId="4295198A" w14:textId="77777777" w:rsidR="00FC167A" w:rsidRDefault="00FC167A" w:rsidP="00DE408E">
      <w:pPr>
        <w:pStyle w:val="ListParagraph"/>
        <w:ind w:left="0"/>
        <w:jc w:val="both"/>
        <w:rPr>
          <w:rFonts w:cs="Arial"/>
          <w:sz w:val="20"/>
        </w:rPr>
      </w:pPr>
    </w:p>
    <w:p w14:paraId="36CDA227" w14:textId="0EDCAAE7" w:rsidR="007E60C6" w:rsidRPr="0024614C" w:rsidRDefault="00267D48" w:rsidP="00DE408E">
      <w:pPr>
        <w:pStyle w:val="ListParagraph"/>
        <w:ind w:left="0"/>
        <w:jc w:val="both"/>
        <w:rPr>
          <w:rFonts w:eastAsiaTheme="minorHAnsi" w:cs="Arial"/>
          <w:i/>
          <w:iCs/>
          <w:sz w:val="20"/>
        </w:rPr>
      </w:pPr>
      <w:r w:rsidRPr="0024614C">
        <w:rPr>
          <w:rFonts w:cs="Arial"/>
          <w:sz w:val="20"/>
        </w:rPr>
        <w:t>Subpart JJ standards were first proposed i</w:t>
      </w:r>
      <w:r w:rsidRPr="0024614C">
        <w:rPr>
          <w:rFonts w:eastAsiaTheme="minorHAnsi" w:cs="Arial"/>
          <w:sz w:val="20"/>
        </w:rPr>
        <w:t xml:space="preserve">n the Federal Register on December 6, 1994. (59 FR 62652). </w:t>
      </w:r>
      <w:r w:rsidR="00FD5F58">
        <w:rPr>
          <w:rFonts w:eastAsiaTheme="minorHAnsi" w:cs="Arial"/>
          <w:sz w:val="20"/>
        </w:rPr>
        <w:t xml:space="preserve"> </w:t>
      </w:r>
      <w:r w:rsidR="007E60C6" w:rsidRPr="0024614C">
        <w:rPr>
          <w:rFonts w:cs="Arial"/>
          <w:b/>
          <w:sz w:val="20"/>
        </w:rPr>
        <w:t xml:space="preserve">The facility is considered </w:t>
      </w:r>
      <w:r w:rsidR="005373AF" w:rsidRPr="0024614C">
        <w:rPr>
          <w:rFonts w:cs="Arial"/>
          <w:b/>
          <w:sz w:val="20"/>
        </w:rPr>
        <w:t>“N</w:t>
      </w:r>
      <w:r w:rsidR="007E60C6" w:rsidRPr="0024614C">
        <w:rPr>
          <w:rFonts w:cs="Arial"/>
          <w:b/>
          <w:sz w:val="20"/>
        </w:rPr>
        <w:t xml:space="preserve">ew </w:t>
      </w:r>
      <w:r w:rsidR="005373AF" w:rsidRPr="0024614C">
        <w:rPr>
          <w:rFonts w:cs="Arial"/>
          <w:b/>
          <w:sz w:val="20"/>
        </w:rPr>
        <w:t>S</w:t>
      </w:r>
      <w:r w:rsidR="007E60C6" w:rsidRPr="0024614C">
        <w:rPr>
          <w:rFonts w:cs="Arial"/>
          <w:b/>
          <w:sz w:val="20"/>
        </w:rPr>
        <w:t>ource</w:t>
      </w:r>
      <w:r w:rsidR="005373AF" w:rsidRPr="0024614C">
        <w:rPr>
          <w:rFonts w:cs="Arial"/>
          <w:b/>
          <w:sz w:val="20"/>
        </w:rPr>
        <w:t>”</w:t>
      </w:r>
      <w:r w:rsidR="00263023" w:rsidRPr="0024614C">
        <w:rPr>
          <w:rFonts w:cs="Arial"/>
          <w:b/>
          <w:sz w:val="20"/>
        </w:rPr>
        <w:t xml:space="preserve"> </w:t>
      </w:r>
      <w:r w:rsidR="004C073B" w:rsidRPr="0024614C">
        <w:rPr>
          <w:rFonts w:cs="Arial"/>
          <w:b/>
          <w:sz w:val="20"/>
        </w:rPr>
        <w:t xml:space="preserve">for </w:t>
      </w:r>
      <w:r w:rsidR="007E60C6" w:rsidRPr="0024614C">
        <w:rPr>
          <w:rFonts w:cs="Arial"/>
          <w:b/>
          <w:sz w:val="20"/>
        </w:rPr>
        <w:t>40 CFR 63, Subpart JJ</w:t>
      </w:r>
      <w:r w:rsidR="004C073B" w:rsidRPr="0024614C">
        <w:rPr>
          <w:rFonts w:cs="Arial"/>
          <w:b/>
          <w:sz w:val="20"/>
        </w:rPr>
        <w:t xml:space="preserve"> </w:t>
      </w:r>
      <w:r w:rsidR="002F7A44" w:rsidRPr="0024614C">
        <w:rPr>
          <w:rFonts w:cs="Arial"/>
          <w:b/>
          <w:sz w:val="20"/>
        </w:rPr>
        <w:t>applicability</w:t>
      </w:r>
      <w:r w:rsidR="007E60C6" w:rsidRPr="0024614C">
        <w:rPr>
          <w:rFonts w:cs="Arial"/>
          <w:b/>
          <w:sz w:val="20"/>
        </w:rPr>
        <w:t>.</w:t>
      </w:r>
    </w:p>
    <w:p w14:paraId="285889EB" w14:textId="77777777" w:rsidR="006F0F91" w:rsidRPr="0024614C" w:rsidRDefault="006F0F91" w:rsidP="00DE408E">
      <w:pPr>
        <w:pStyle w:val="ListParagraph"/>
        <w:ind w:left="0"/>
        <w:jc w:val="both"/>
        <w:rPr>
          <w:sz w:val="20"/>
        </w:rPr>
      </w:pPr>
    </w:p>
    <w:p w14:paraId="0417BCF6" w14:textId="775F237B" w:rsidR="006F0F91" w:rsidRPr="0024614C" w:rsidRDefault="006F0F91" w:rsidP="00DE408E">
      <w:pPr>
        <w:pStyle w:val="ListParagraph"/>
        <w:ind w:left="0"/>
        <w:jc w:val="both"/>
        <w:rPr>
          <w:rFonts w:cs="Arial"/>
          <w:sz w:val="20"/>
        </w:rPr>
      </w:pPr>
      <w:r w:rsidRPr="0024614C">
        <w:rPr>
          <w:sz w:val="20"/>
        </w:rPr>
        <w:t xml:space="preserve">Emission Units installed </w:t>
      </w:r>
      <w:r w:rsidR="00B26EEE" w:rsidRPr="0024614C">
        <w:rPr>
          <w:sz w:val="20"/>
        </w:rPr>
        <w:t>before</w:t>
      </w:r>
      <w:r w:rsidRPr="0024614C">
        <w:rPr>
          <w:sz w:val="20"/>
        </w:rPr>
        <w:t xml:space="preserve"> EPA first proposed </w:t>
      </w:r>
      <w:r w:rsidRPr="0024614C">
        <w:rPr>
          <w:rFonts w:cs="Arial"/>
          <w:sz w:val="20"/>
        </w:rPr>
        <w:t xml:space="preserve">40 CFR 63, Subpart JJ standards in the Federal Register (Date: December 6, 1994):  </w:t>
      </w:r>
      <w:r w:rsidR="00B26EEE" w:rsidRPr="0024614C">
        <w:rPr>
          <w:rFonts w:cs="Arial"/>
          <w:sz w:val="20"/>
        </w:rPr>
        <w:t xml:space="preserve">None </w:t>
      </w:r>
    </w:p>
    <w:p w14:paraId="17E12F41" w14:textId="77777777" w:rsidR="007E60C6" w:rsidRPr="0024614C" w:rsidRDefault="007E60C6" w:rsidP="00DE408E">
      <w:pPr>
        <w:pStyle w:val="ListParagraph"/>
        <w:ind w:left="0"/>
        <w:jc w:val="both"/>
        <w:rPr>
          <w:sz w:val="20"/>
        </w:rPr>
      </w:pPr>
    </w:p>
    <w:p w14:paraId="662FA2BA" w14:textId="40FDA275" w:rsidR="00C43966" w:rsidRPr="0024614C" w:rsidRDefault="003979E2" w:rsidP="00DE408E">
      <w:pPr>
        <w:jc w:val="both"/>
        <w:rPr>
          <w:rFonts w:cs="Arial"/>
          <w:sz w:val="20"/>
        </w:rPr>
      </w:pPr>
      <w:r w:rsidRPr="0024614C">
        <w:rPr>
          <w:sz w:val="20"/>
        </w:rPr>
        <w:t xml:space="preserve">Emission Units installed after </w:t>
      </w:r>
      <w:r w:rsidR="00763619" w:rsidRPr="0024614C">
        <w:rPr>
          <w:sz w:val="20"/>
        </w:rPr>
        <w:t xml:space="preserve">EPA first proposed </w:t>
      </w:r>
      <w:r w:rsidR="009736AD" w:rsidRPr="0024614C">
        <w:rPr>
          <w:rFonts w:cs="Arial"/>
          <w:sz w:val="20"/>
        </w:rPr>
        <w:t>40 CFR 63, Subpart JJ standards</w:t>
      </w:r>
      <w:r w:rsidR="001805FF" w:rsidRPr="0024614C">
        <w:rPr>
          <w:rFonts w:cs="Arial"/>
          <w:sz w:val="20"/>
        </w:rPr>
        <w:t xml:space="preserve"> in the Federal Register (Date: December 6, 1994):  EU-AUTOLINE2, </w:t>
      </w:r>
      <w:r w:rsidR="006F0F91" w:rsidRPr="0024614C">
        <w:rPr>
          <w:rFonts w:cs="Arial"/>
          <w:sz w:val="20"/>
        </w:rPr>
        <w:t>EU-BOOTH1, EU-BOOTH2, EUBOOTH3</w:t>
      </w:r>
    </w:p>
    <w:p w14:paraId="5E5B1A4D" w14:textId="77777777" w:rsidR="00BB6303" w:rsidRDefault="00BB6303" w:rsidP="00BB2AD6">
      <w:pPr>
        <w:pStyle w:val="ListParagraph"/>
        <w:ind w:left="0"/>
        <w:rPr>
          <w:rStyle w:val="Emphasis"/>
          <w:rFonts w:cs="Arial"/>
          <w:sz w:val="20"/>
        </w:rPr>
      </w:pPr>
    </w:p>
    <w:p w14:paraId="1D0EC93E" w14:textId="14DC3147" w:rsidR="00420D0E" w:rsidRPr="00DE408E" w:rsidRDefault="006C14C8" w:rsidP="00BB2AD6">
      <w:pPr>
        <w:pStyle w:val="ListParagraph"/>
        <w:ind w:left="0"/>
        <w:rPr>
          <w:rStyle w:val="Emphasis"/>
          <w:rFonts w:cs="Arial"/>
          <w:sz w:val="20"/>
        </w:rPr>
      </w:pPr>
      <w:r w:rsidRPr="00DE408E">
        <w:rPr>
          <w:rStyle w:val="Emphasis"/>
          <w:rFonts w:cs="Arial"/>
          <w:sz w:val="20"/>
        </w:rPr>
        <w:t xml:space="preserve">40 CFR </w:t>
      </w:r>
      <w:r w:rsidR="007F169E" w:rsidRPr="00DE408E">
        <w:rPr>
          <w:rStyle w:val="Emphasis"/>
          <w:rFonts w:cs="Arial"/>
          <w:sz w:val="20"/>
        </w:rPr>
        <w:t xml:space="preserve">Part </w:t>
      </w:r>
      <w:r w:rsidRPr="00DE408E">
        <w:rPr>
          <w:rStyle w:val="Emphasis"/>
          <w:rFonts w:cs="Arial"/>
          <w:sz w:val="20"/>
        </w:rPr>
        <w:t>63, S</w:t>
      </w:r>
      <w:r w:rsidR="00310DF3" w:rsidRPr="00DE408E">
        <w:rPr>
          <w:rStyle w:val="Emphasis"/>
          <w:rFonts w:cs="Arial"/>
          <w:sz w:val="20"/>
        </w:rPr>
        <w:t>ubpart A</w:t>
      </w:r>
    </w:p>
    <w:p w14:paraId="0E87706F" w14:textId="437C6B1C" w:rsidR="00DA476A" w:rsidRPr="0024614C" w:rsidRDefault="00DE408E" w:rsidP="00DE408E">
      <w:pPr>
        <w:pStyle w:val="ListParagraph"/>
        <w:ind w:left="0"/>
        <w:jc w:val="both"/>
        <w:rPr>
          <w:rFonts w:cs="Arial"/>
          <w:sz w:val="20"/>
        </w:rPr>
      </w:pPr>
      <w:r>
        <w:rPr>
          <w:rStyle w:val="Emphasis"/>
          <w:rFonts w:cs="Arial"/>
          <w:sz w:val="20"/>
        </w:rPr>
        <w:br/>
      </w:r>
      <w:r w:rsidR="00FD0A89" w:rsidRPr="0024614C">
        <w:rPr>
          <w:rStyle w:val="Emphasis"/>
          <w:rFonts w:cs="Arial"/>
          <w:sz w:val="20"/>
        </w:rPr>
        <w:t>New source</w:t>
      </w:r>
      <w:r w:rsidR="00FD0A89" w:rsidRPr="0024614C">
        <w:rPr>
          <w:rFonts w:cs="Arial"/>
          <w:sz w:val="20"/>
        </w:rPr>
        <w:t xml:space="preserve"> means any affected source the construction or reconstruction of which is commenced after the Administrator first proposes a relevant emission standard under this part (40 CFR Part 63) establishing an emission standard applicable to such source. </w:t>
      </w:r>
    </w:p>
    <w:p w14:paraId="4447A8DA" w14:textId="77777777" w:rsidR="00DA476A" w:rsidRPr="0024614C" w:rsidRDefault="00DA476A" w:rsidP="00DE408E">
      <w:pPr>
        <w:pStyle w:val="ListParagraph"/>
        <w:ind w:left="0"/>
        <w:jc w:val="both"/>
        <w:rPr>
          <w:rFonts w:cs="Arial"/>
          <w:sz w:val="20"/>
        </w:rPr>
      </w:pPr>
    </w:p>
    <w:p w14:paraId="112F3449" w14:textId="754471A6" w:rsidR="00293DAD" w:rsidRPr="0024614C" w:rsidRDefault="00146D37" w:rsidP="00DE408E">
      <w:pPr>
        <w:pStyle w:val="ListParagraph"/>
        <w:ind w:left="0"/>
        <w:jc w:val="both"/>
        <w:rPr>
          <w:rFonts w:cs="Arial"/>
          <w:sz w:val="20"/>
        </w:rPr>
      </w:pPr>
      <w:r w:rsidRPr="0024614C">
        <w:rPr>
          <w:rStyle w:val="Emphasis"/>
          <w:i w:val="0"/>
          <w:iCs w:val="0"/>
          <w:sz w:val="20"/>
        </w:rPr>
        <w:t>New affected source</w:t>
      </w:r>
      <w:r w:rsidRPr="0024614C">
        <w:rPr>
          <w:sz w:val="20"/>
        </w:rPr>
        <w:t xml:space="preserve"> means the collection of equipment, activities, or both within a single contiguous area and under common control that is included in a section 112(c) source category or subcategory that is subject to a section 112(d) or other relevant standard for new sources. This definition of “new affected source,” and the criteria to be utilized in implementing it, shall apply to each section 112(d) standard for which the initial proposed rule is signed by the Administrator after June 30, 2002.</w:t>
      </w:r>
    </w:p>
    <w:p w14:paraId="3CC31CCB" w14:textId="77777777" w:rsidR="00FD0A89" w:rsidRPr="0024614C" w:rsidRDefault="00FD0A89" w:rsidP="00DE408E">
      <w:pPr>
        <w:jc w:val="both"/>
        <w:rPr>
          <w:rStyle w:val="Emphasis"/>
          <w:rFonts w:cs="Arial"/>
          <w:sz w:val="20"/>
        </w:rPr>
      </w:pPr>
    </w:p>
    <w:p w14:paraId="4ABDEB7D" w14:textId="2D554EF7" w:rsidR="006C14C8" w:rsidRPr="0024614C" w:rsidRDefault="00373A6C" w:rsidP="00DE408E">
      <w:pPr>
        <w:jc w:val="both"/>
        <w:rPr>
          <w:rFonts w:cs="Arial"/>
          <w:b/>
          <w:sz w:val="20"/>
        </w:rPr>
      </w:pPr>
      <w:r w:rsidRPr="0024614C">
        <w:rPr>
          <w:rStyle w:val="Emphasis"/>
          <w:rFonts w:cs="Arial"/>
          <w:sz w:val="20"/>
        </w:rPr>
        <w:t>Existing source</w:t>
      </w:r>
      <w:r w:rsidRPr="0024614C">
        <w:rPr>
          <w:rFonts w:cs="Arial"/>
          <w:sz w:val="20"/>
        </w:rPr>
        <w:t xml:space="preserve"> means any affected source that is not a new source.</w:t>
      </w:r>
    </w:p>
    <w:p w14:paraId="5AA4015A" w14:textId="482826BB" w:rsidR="00030B10" w:rsidRPr="0024614C" w:rsidRDefault="00DE408E" w:rsidP="00DE408E">
      <w:pPr>
        <w:spacing w:before="100" w:beforeAutospacing="1" w:after="100" w:afterAutospacing="1"/>
        <w:jc w:val="both"/>
        <w:rPr>
          <w:rFonts w:cs="Arial"/>
          <w:sz w:val="20"/>
        </w:rPr>
      </w:pPr>
      <w:r>
        <w:rPr>
          <w:rFonts w:cs="Arial"/>
          <w:sz w:val="20"/>
        </w:rPr>
        <w:br/>
      </w:r>
      <w:r w:rsidR="00A20232" w:rsidRPr="0024614C">
        <w:rPr>
          <w:rFonts w:cs="Arial"/>
          <w:sz w:val="20"/>
        </w:rPr>
        <w:t>40 CFR 63.</w:t>
      </w:r>
      <w:r w:rsidR="00E26B25" w:rsidRPr="0024614C">
        <w:rPr>
          <w:rFonts w:cs="Arial"/>
          <w:sz w:val="20"/>
        </w:rPr>
        <w:t>800</w:t>
      </w:r>
      <w:r w:rsidR="00030B10" w:rsidRPr="0024614C">
        <w:rPr>
          <w:rFonts w:cs="Arial"/>
          <w:sz w:val="20"/>
        </w:rPr>
        <w:t>(f)</w:t>
      </w:r>
      <w:r>
        <w:rPr>
          <w:rFonts w:cs="Arial"/>
          <w:sz w:val="20"/>
        </w:rPr>
        <w:t xml:space="preserve"> </w:t>
      </w:r>
      <w:r w:rsidR="00E26B25" w:rsidRPr="0024614C">
        <w:rPr>
          <w:rFonts w:cs="Arial"/>
          <w:sz w:val="20"/>
        </w:rPr>
        <w:t>-</w:t>
      </w:r>
      <w:r w:rsidR="00030B10" w:rsidRPr="0024614C">
        <w:rPr>
          <w:rFonts w:cs="Arial"/>
          <w:sz w:val="20"/>
        </w:rPr>
        <w:t xml:space="preserve"> The compliance date for existing affected sources that emit less than 50 tons per year of HAP in 1996 is December 7, 1998. The compliance date for existing affected sources that emit 50 tons or more of hazardous air pollutants in 1996 is November 21, 1997. The owner or operator of an existing area source that increases its emissions of (or its potential to emit) HAP such that the source becomes a major source that is subject to this subpart shall comply with this subpart one year after becoming a major source. </w:t>
      </w:r>
    </w:p>
    <w:p w14:paraId="60D4B6E8" w14:textId="33B62C6D" w:rsidR="00030B10" w:rsidRPr="0024614C" w:rsidRDefault="00AC0CCC" w:rsidP="00DE408E">
      <w:pPr>
        <w:spacing w:before="100" w:beforeAutospacing="1" w:after="100" w:afterAutospacing="1"/>
        <w:jc w:val="both"/>
        <w:rPr>
          <w:rFonts w:cs="Arial"/>
          <w:sz w:val="20"/>
        </w:rPr>
      </w:pPr>
      <w:r w:rsidRPr="0024614C">
        <w:rPr>
          <w:rFonts w:cs="Arial"/>
          <w:sz w:val="20"/>
        </w:rPr>
        <w:t>40 CFR</w:t>
      </w:r>
      <w:r w:rsidR="00176F0B" w:rsidRPr="0024614C">
        <w:rPr>
          <w:rFonts w:cs="Arial"/>
          <w:sz w:val="20"/>
        </w:rPr>
        <w:t xml:space="preserve"> 63.800</w:t>
      </w:r>
      <w:r w:rsidR="00030B10" w:rsidRPr="0024614C">
        <w:rPr>
          <w:rFonts w:cs="Arial"/>
          <w:sz w:val="20"/>
        </w:rPr>
        <w:t>(g)</w:t>
      </w:r>
      <w:r w:rsidR="00DE408E">
        <w:rPr>
          <w:rFonts w:cs="Arial"/>
          <w:sz w:val="20"/>
        </w:rPr>
        <w:t xml:space="preserve"> </w:t>
      </w:r>
      <w:r w:rsidR="00176F0B" w:rsidRPr="0024614C">
        <w:rPr>
          <w:rFonts w:cs="Arial"/>
          <w:sz w:val="20"/>
        </w:rPr>
        <w:t>-</w:t>
      </w:r>
      <w:r w:rsidR="00DE408E">
        <w:rPr>
          <w:rFonts w:cs="Arial"/>
          <w:sz w:val="20"/>
        </w:rPr>
        <w:t xml:space="preserve"> </w:t>
      </w:r>
      <w:r w:rsidR="00030B10" w:rsidRPr="0024614C">
        <w:rPr>
          <w:rFonts w:cs="Arial"/>
          <w:sz w:val="20"/>
        </w:rPr>
        <w:t xml:space="preserve">Existing affected sources shall be in compliance with </w:t>
      </w:r>
      <w:r w:rsidR="00272A80">
        <w:rPr>
          <w:rFonts w:cs="Arial"/>
          <w:sz w:val="20"/>
        </w:rPr>
        <w:t xml:space="preserve">40 CFR 63.802(a)(4) and 40 CFR 63.803(h) </w:t>
      </w:r>
      <w:r w:rsidR="00030B10" w:rsidRPr="0024614C">
        <w:rPr>
          <w:rFonts w:cs="Arial"/>
          <w:sz w:val="20"/>
        </w:rPr>
        <w:t xml:space="preserve">no later than November 21, 2014. The owner or operator of an existing area source that increases its emissions of (or its potential to emit) hazardous air pollutants (HAP) such that the source becomes a major source that is subject to this subpart shall comply with this subpart </w:t>
      </w:r>
      <w:r w:rsidR="00DE408E">
        <w:rPr>
          <w:rFonts w:cs="Arial"/>
          <w:sz w:val="20"/>
        </w:rPr>
        <w:t>one</w:t>
      </w:r>
      <w:r w:rsidR="00030B10" w:rsidRPr="0024614C">
        <w:rPr>
          <w:rFonts w:cs="Arial"/>
          <w:sz w:val="20"/>
        </w:rPr>
        <w:t xml:space="preserve"> year after becoming a major source. </w:t>
      </w:r>
    </w:p>
    <w:p w14:paraId="5B79BA9F" w14:textId="59FF627D" w:rsidR="00030B10" w:rsidRPr="004B098F" w:rsidRDefault="0000782C" w:rsidP="00DE408E">
      <w:pPr>
        <w:spacing w:before="100" w:beforeAutospacing="1" w:after="100" w:afterAutospacing="1"/>
        <w:jc w:val="both"/>
        <w:rPr>
          <w:rFonts w:cs="Arial"/>
          <w:sz w:val="20"/>
        </w:rPr>
      </w:pPr>
      <w:r w:rsidRPr="004B098F">
        <w:rPr>
          <w:rFonts w:cs="Arial"/>
          <w:sz w:val="20"/>
        </w:rPr>
        <w:t>40 CFR 63.800(</w:t>
      </w:r>
      <w:r w:rsidR="00030B10" w:rsidRPr="004B098F">
        <w:rPr>
          <w:rFonts w:cs="Arial"/>
          <w:sz w:val="20"/>
        </w:rPr>
        <w:t>(h)</w:t>
      </w:r>
      <w:r w:rsidR="00DE408E">
        <w:rPr>
          <w:rFonts w:cs="Arial"/>
          <w:sz w:val="20"/>
        </w:rPr>
        <w:t xml:space="preserve"> </w:t>
      </w:r>
      <w:r w:rsidRPr="004B098F">
        <w:rPr>
          <w:rFonts w:cs="Arial"/>
          <w:sz w:val="20"/>
        </w:rPr>
        <w:t>-</w:t>
      </w:r>
      <w:r w:rsidR="00DE408E">
        <w:rPr>
          <w:rFonts w:cs="Arial"/>
          <w:sz w:val="20"/>
        </w:rPr>
        <w:t xml:space="preserve"> </w:t>
      </w:r>
      <w:r w:rsidR="00030B10" w:rsidRPr="004B098F">
        <w:rPr>
          <w:rFonts w:cs="Arial"/>
          <w:sz w:val="20"/>
        </w:rPr>
        <w:t>New affected sources must comply with the provisions of this standard immediately upon startup or by December 7, 1995, whichever is later. New area sources that become major sources shall comply with the provisions of this standard immediately upon becoming a major source.</w:t>
      </w:r>
    </w:p>
    <w:p w14:paraId="5EBD5EC4" w14:textId="77777777" w:rsidR="006C14C8" w:rsidRPr="00FD70F7" w:rsidRDefault="006C14C8" w:rsidP="00606D22">
      <w:pPr>
        <w:jc w:val="both"/>
        <w:rPr>
          <w:rFonts w:cs="Arial"/>
          <w:b/>
          <w:sz w:val="20"/>
        </w:rPr>
      </w:pPr>
    </w:p>
    <w:p w14:paraId="4A1B80C5" w14:textId="579A2C1F" w:rsidR="00C43966" w:rsidRPr="00F30023" w:rsidRDefault="00C43966" w:rsidP="00606D22">
      <w:pPr>
        <w:jc w:val="both"/>
        <w:rPr>
          <w:sz w:val="20"/>
        </w:rPr>
      </w:pPr>
      <w:r w:rsidRPr="00FE0AD0">
        <w:rPr>
          <w:b/>
          <w:sz w:val="20"/>
        </w:rPr>
        <w:lastRenderedPageBreak/>
        <w:t>Emission Unit</w:t>
      </w:r>
      <w:r w:rsidR="00FD5F58">
        <w:rPr>
          <w:b/>
          <w:sz w:val="20"/>
        </w:rPr>
        <w:t>s</w:t>
      </w:r>
      <w:r>
        <w:rPr>
          <w:b/>
          <w:sz w:val="20"/>
        </w:rPr>
        <w:t>:</w:t>
      </w:r>
      <w:r w:rsidR="00FD5F58">
        <w:rPr>
          <w:b/>
          <w:sz w:val="20"/>
        </w:rPr>
        <w:t xml:space="preserve"> </w:t>
      </w:r>
      <w:r>
        <w:rPr>
          <w:sz w:val="20"/>
        </w:rPr>
        <w:t xml:space="preserve"> </w:t>
      </w:r>
      <w:r w:rsidR="00D26B7A">
        <w:rPr>
          <w:rFonts w:cs="Arial"/>
          <w:sz w:val="20"/>
        </w:rPr>
        <w:t xml:space="preserve">EU-AUTOLINE2, EU-BOOTH1, EU-BOOTH2, EU-BOOTH3, EU-CLEANUP, </w:t>
      </w:r>
      <w:r w:rsidR="001F32ED">
        <w:rPr>
          <w:rFonts w:cs="Arial"/>
          <w:sz w:val="20"/>
        </w:rPr>
        <w:t xml:space="preserve">and </w:t>
      </w:r>
      <w:r w:rsidR="00D26B7A">
        <w:rPr>
          <w:rFonts w:cs="Arial"/>
          <w:sz w:val="20"/>
        </w:rPr>
        <w:t>EU-ASSEMBLY</w:t>
      </w:r>
    </w:p>
    <w:p w14:paraId="4FC4F717" w14:textId="5589CD7C" w:rsidR="00D26B7A" w:rsidRDefault="00D26B7A" w:rsidP="00606D22">
      <w:pPr>
        <w:jc w:val="both"/>
        <w:rPr>
          <w:b/>
          <w:u w:val="single"/>
        </w:rPr>
      </w:pPr>
    </w:p>
    <w:p w14:paraId="1C27EC5F" w14:textId="52481FC5" w:rsidR="00C43966" w:rsidRDefault="00C43966" w:rsidP="00606D22">
      <w:pPr>
        <w:jc w:val="both"/>
        <w:rPr>
          <w:b/>
          <w:u w:val="single"/>
        </w:rPr>
      </w:pPr>
      <w:r>
        <w:rPr>
          <w:b/>
          <w:u w:val="single"/>
        </w:rPr>
        <w:t>POLLUTION CONTROL EQUIPMENT</w:t>
      </w:r>
    </w:p>
    <w:p w14:paraId="42A3B414" w14:textId="77777777" w:rsidR="00C43966" w:rsidRPr="0074351C" w:rsidRDefault="00C43966" w:rsidP="00606D22">
      <w:pPr>
        <w:jc w:val="both"/>
      </w:pPr>
    </w:p>
    <w:p w14:paraId="3E426009" w14:textId="19C97F40" w:rsidR="00B34645" w:rsidRPr="000F7161" w:rsidRDefault="00B34645" w:rsidP="00B34645">
      <w:pPr>
        <w:jc w:val="both"/>
        <w:rPr>
          <w:rFonts w:cs="Arial"/>
          <w:sz w:val="20"/>
        </w:rPr>
      </w:pPr>
      <w:r w:rsidRPr="000F7161">
        <w:rPr>
          <w:rFonts w:cs="Arial"/>
          <w:sz w:val="20"/>
        </w:rPr>
        <w:t>EU-AUTOLINE</w:t>
      </w:r>
      <w:r>
        <w:rPr>
          <w:rFonts w:cs="Arial"/>
          <w:sz w:val="20"/>
        </w:rPr>
        <w:t>2</w:t>
      </w:r>
      <w:r w:rsidRPr="000F7161">
        <w:rPr>
          <w:rFonts w:cs="Arial"/>
          <w:sz w:val="20"/>
        </w:rPr>
        <w:t xml:space="preserve"> is equipped with a dry filter</w:t>
      </w:r>
      <w:r>
        <w:rPr>
          <w:rFonts w:cs="Arial"/>
          <w:sz w:val="20"/>
        </w:rPr>
        <w:t xml:space="preserve"> system</w:t>
      </w:r>
      <w:r w:rsidRPr="000F7161">
        <w:rPr>
          <w:rFonts w:cs="Arial"/>
          <w:sz w:val="20"/>
        </w:rPr>
        <w:t xml:space="preserve"> to control particulate </w:t>
      </w:r>
      <w:r>
        <w:rPr>
          <w:rFonts w:cs="Arial"/>
          <w:sz w:val="20"/>
        </w:rPr>
        <w:t xml:space="preserve">matter </w:t>
      </w:r>
      <w:r w:rsidRPr="000F7161">
        <w:rPr>
          <w:rFonts w:cs="Arial"/>
          <w:sz w:val="20"/>
        </w:rPr>
        <w:t xml:space="preserve">emissions.  EU-BOOTH1, EU-BOOTH2, and EU-BOOTH3 are equipped with </w:t>
      </w:r>
      <w:r>
        <w:rPr>
          <w:rFonts w:cs="Arial"/>
          <w:sz w:val="20"/>
        </w:rPr>
        <w:t xml:space="preserve">dry </w:t>
      </w:r>
      <w:r w:rsidRPr="000F7161">
        <w:rPr>
          <w:rFonts w:cs="Arial"/>
          <w:sz w:val="20"/>
        </w:rPr>
        <w:t xml:space="preserve">exhaust filters to control particulate </w:t>
      </w:r>
      <w:r>
        <w:rPr>
          <w:rFonts w:cs="Arial"/>
          <w:sz w:val="20"/>
        </w:rPr>
        <w:t xml:space="preserve">matter </w:t>
      </w:r>
      <w:r w:rsidRPr="000F7161">
        <w:rPr>
          <w:rFonts w:cs="Arial"/>
          <w:sz w:val="20"/>
        </w:rPr>
        <w:t>emissions.</w:t>
      </w:r>
    </w:p>
    <w:p w14:paraId="46C80BB6" w14:textId="77777777" w:rsidR="00C43966" w:rsidRPr="008B5C27" w:rsidRDefault="00C43966" w:rsidP="001A652A">
      <w:pPr>
        <w:rPr>
          <w:sz w:val="20"/>
        </w:rPr>
      </w:pPr>
    </w:p>
    <w:p w14:paraId="03761572" w14:textId="77777777" w:rsidR="00C43966" w:rsidRDefault="00C43966" w:rsidP="001A652A">
      <w:pPr>
        <w:jc w:val="both"/>
        <w:rPr>
          <w:b/>
          <w:u w:val="single"/>
        </w:rPr>
      </w:pPr>
      <w:r>
        <w:rPr>
          <w:b/>
        </w:rPr>
        <w:t xml:space="preserve">I.  </w:t>
      </w:r>
      <w:r>
        <w:rPr>
          <w:b/>
          <w:u w:val="single"/>
        </w:rPr>
        <w:t>EMISSION LIMIT(S)</w:t>
      </w:r>
    </w:p>
    <w:p w14:paraId="64215F19" w14:textId="77777777" w:rsidR="00C43966" w:rsidRPr="00FE0AD0" w:rsidRDefault="00C43966" w:rsidP="001A652A">
      <w:pPr>
        <w:jc w:val="both"/>
        <w:rPr>
          <w:sz w:val="20"/>
        </w:rPr>
      </w:pPr>
    </w:p>
    <w:p w14:paraId="1E5D576D" w14:textId="782C01E8" w:rsidR="00F3180F" w:rsidRDefault="007B05EF" w:rsidP="006255D5">
      <w:pPr>
        <w:pStyle w:val="ListParagraph"/>
        <w:numPr>
          <w:ilvl w:val="0"/>
          <w:numId w:val="46"/>
        </w:numPr>
        <w:jc w:val="both"/>
        <w:rPr>
          <w:sz w:val="20"/>
        </w:rPr>
      </w:pPr>
      <w:r w:rsidRPr="002F559A">
        <w:rPr>
          <w:sz w:val="20"/>
        </w:rPr>
        <w:t xml:space="preserve">The permittee shall comply with the limits established in 40 CFR </w:t>
      </w:r>
      <w:r w:rsidR="002316DB" w:rsidRPr="002F559A">
        <w:rPr>
          <w:sz w:val="20"/>
        </w:rPr>
        <w:t>63.802.</w:t>
      </w:r>
      <w:r w:rsidR="002316DB" w:rsidRPr="002F559A">
        <w:rPr>
          <w:sz w:val="20"/>
          <w:vertAlign w:val="superscript"/>
        </w:rPr>
        <w:t>2</w:t>
      </w:r>
      <w:r w:rsidR="002316DB" w:rsidRPr="002F559A">
        <w:rPr>
          <w:sz w:val="20"/>
        </w:rPr>
        <w:t xml:space="preserve"> </w:t>
      </w:r>
      <w:r w:rsidR="00DE408E">
        <w:rPr>
          <w:sz w:val="20"/>
        </w:rPr>
        <w:t xml:space="preserve"> </w:t>
      </w:r>
      <w:r w:rsidR="002316DB" w:rsidRPr="002F559A">
        <w:rPr>
          <w:sz w:val="20"/>
        </w:rPr>
        <w:t>(</w:t>
      </w:r>
      <w:r w:rsidRPr="002F559A">
        <w:rPr>
          <w:sz w:val="20"/>
        </w:rPr>
        <w:t>40 CFR 63.802)</w:t>
      </w:r>
    </w:p>
    <w:p w14:paraId="7C9F51FC" w14:textId="77777777" w:rsidR="006B5872" w:rsidRDefault="006B5872" w:rsidP="006B5872">
      <w:pPr>
        <w:pStyle w:val="ListParagraph"/>
        <w:ind w:left="360"/>
        <w:jc w:val="both"/>
        <w:rPr>
          <w:color w:val="FF0000"/>
          <w:sz w:val="20"/>
        </w:rPr>
      </w:pPr>
    </w:p>
    <w:p w14:paraId="25ABE983" w14:textId="60E5F051" w:rsidR="002F559A" w:rsidRPr="00505D7E" w:rsidRDefault="009B1552" w:rsidP="006255D5">
      <w:pPr>
        <w:pStyle w:val="ListParagraph"/>
        <w:numPr>
          <w:ilvl w:val="0"/>
          <w:numId w:val="46"/>
        </w:numPr>
        <w:jc w:val="both"/>
        <w:rPr>
          <w:sz w:val="20"/>
        </w:rPr>
      </w:pPr>
      <w:r w:rsidRPr="00505D7E">
        <w:rPr>
          <w:sz w:val="20"/>
        </w:rPr>
        <w:t>For existing sources</w:t>
      </w:r>
      <w:r w:rsidR="0005532E" w:rsidRPr="00505D7E">
        <w:rPr>
          <w:sz w:val="20"/>
        </w:rPr>
        <w:t xml:space="preserve"> and new sources</w:t>
      </w:r>
      <w:r w:rsidRPr="00505D7E">
        <w:rPr>
          <w:sz w:val="20"/>
        </w:rPr>
        <w:t>, t</w:t>
      </w:r>
      <w:r w:rsidR="002F559A" w:rsidRPr="00505D7E">
        <w:rPr>
          <w:sz w:val="20"/>
        </w:rPr>
        <w:t xml:space="preserve">he </w:t>
      </w:r>
      <w:r w:rsidR="00DD7E5B">
        <w:rPr>
          <w:sz w:val="20"/>
        </w:rPr>
        <w:t>p</w:t>
      </w:r>
      <w:r w:rsidR="002F559A" w:rsidRPr="00505D7E">
        <w:rPr>
          <w:sz w:val="20"/>
        </w:rPr>
        <w:t xml:space="preserve">ermittee </w:t>
      </w:r>
      <w:r w:rsidR="0026192C" w:rsidRPr="00505D7E">
        <w:rPr>
          <w:sz w:val="20"/>
        </w:rPr>
        <w:t xml:space="preserve">shall limit VHAP emissions from the finishing operations by meeting the emission limitations </w:t>
      </w:r>
      <w:r w:rsidR="001E6DCD" w:rsidRPr="00505D7E">
        <w:rPr>
          <w:sz w:val="20"/>
        </w:rPr>
        <w:t>presented in Table 3 of 40 CFR 63, Subpart JJ</w:t>
      </w:r>
      <w:r w:rsidR="00987050" w:rsidRPr="00505D7E">
        <w:rPr>
          <w:sz w:val="20"/>
        </w:rPr>
        <w:t xml:space="preserve"> (included below)</w:t>
      </w:r>
      <w:r w:rsidR="00AA1AC9" w:rsidRPr="00505D7E">
        <w:rPr>
          <w:sz w:val="20"/>
        </w:rPr>
        <w:t>, using any compliance methods in 40 CFR 63.804(a).</w:t>
      </w:r>
      <w:r w:rsidR="00AA1AC9" w:rsidRPr="00505D7E">
        <w:rPr>
          <w:b/>
          <w:bCs/>
          <w:sz w:val="20"/>
        </w:rPr>
        <w:t xml:space="preserve"> </w:t>
      </w:r>
      <w:r w:rsidR="00B1618E">
        <w:rPr>
          <w:b/>
          <w:bCs/>
          <w:sz w:val="20"/>
        </w:rPr>
        <w:t xml:space="preserve"> </w:t>
      </w:r>
      <w:r w:rsidR="00DC79CB" w:rsidRPr="00505D7E">
        <w:rPr>
          <w:b/>
          <w:bCs/>
          <w:sz w:val="20"/>
        </w:rPr>
        <w:t>(40 CFR 63.802(a)(1))</w:t>
      </w:r>
    </w:p>
    <w:p w14:paraId="56A0D087" w14:textId="77777777" w:rsidR="00774AB4" w:rsidRPr="00505D7E" w:rsidRDefault="00774AB4" w:rsidP="00774AB4">
      <w:pPr>
        <w:pStyle w:val="ListParagraph"/>
        <w:rPr>
          <w:sz w:val="20"/>
        </w:rPr>
      </w:pPr>
    </w:p>
    <w:tbl>
      <w:tblPr>
        <w:tblStyle w:val="TableGrid"/>
        <w:tblW w:w="0" w:type="auto"/>
        <w:tblInd w:w="355" w:type="dxa"/>
        <w:tblLook w:val="04A0" w:firstRow="1" w:lastRow="0" w:firstColumn="1" w:lastColumn="0" w:noHBand="0" w:noVBand="1"/>
      </w:tblPr>
      <w:tblGrid>
        <w:gridCol w:w="7965"/>
        <w:gridCol w:w="994"/>
        <w:gridCol w:w="900"/>
      </w:tblGrid>
      <w:tr w:rsidR="00505D7E" w:rsidRPr="00505D7E" w14:paraId="4A90CEA6" w14:textId="77777777" w:rsidTr="00524120">
        <w:tc>
          <w:tcPr>
            <w:tcW w:w="7965" w:type="dxa"/>
          </w:tcPr>
          <w:p w14:paraId="45BE9B34" w14:textId="39D836E9" w:rsidR="008C63DD" w:rsidRPr="00505D7E" w:rsidRDefault="008C63DD" w:rsidP="008C63DD">
            <w:pPr>
              <w:jc w:val="both"/>
              <w:rPr>
                <w:b/>
                <w:bCs/>
                <w:sz w:val="20"/>
              </w:rPr>
            </w:pPr>
            <w:r w:rsidRPr="00505D7E">
              <w:rPr>
                <w:b/>
                <w:bCs/>
                <w:sz w:val="20"/>
              </w:rPr>
              <w:t>Emission Point</w:t>
            </w:r>
          </w:p>
        </w:tc>
        <w:tc>
          <w:tcPr>
            <w:tcW w:w="994" w:type="dxa"/>
          </w:tcPr>
          <w:p w14:paraId="3C54F1B5" w14:textId="5E2F8799" w:rsidR="008C63DD" w:rsidRPr="00505D7E" w:rsidRDefault="008C63DD" w:rsidP="008C63DD">
            <w:pPr>
              <w:jc w:val="both"/>
              <w:rPr>
                <w:b/>
                <w:bCs/>
                <w:sz w:val="20"/>
              </w:rPr>
            </w:pPr>
            <w:r w:rsidRPr="00505D7E">
              <w:rPr>
                <w:b/>
                <w:bCs/>
                <w:sz w:val="20"/>
              </w:rPr>
              <w:t>Existing Source</w:t>
            </w:r>
          </w:p>
        </w:tc>
        <w:tc>
          <w:tcPr>
            <w:tcW w:w="900" w:type="dxa"/>
          </w:tcPr>
          <w:p w14:paraId="21C98219" w14:textId="198C3C55" w:rsidR="008C63DD" w:rsidRPr="00505D7E" w:rsidRDefault="008C63DD" w:rsidP="008C63DD">
            <w:pPr>
              <w:jc w:val="both"/>
              <w:rPr>
                <w:b/>
                <w:bCs/>
                <w:sz w:val="20"/>
              </w:rPr>
            </w:pPr>
            <w:r w:rsidRPr="00505D7E">
              <w:rPr>
                <w:b/>
                <w:bCs/>
                <w:sz w:val="20"/>
              </w:rPr>
              <w:t>New Source</w:t>
            </w:r>
          </w:p>
        </w:tc>
      </w:tr>
      <w:tr w:rsidR="00505D7E" w:rsidRPr="00505D7E" w14:paraId="3F1D8156" w14:textId="77777777" w:rsidTr="00524120">
        <w:tc>
          <w:tcPr>
            <w:tcW w:w="7965" w:type="dxa"/>
          </w:tcPr>
          <w:p w14:paraId="3054A0C7" w14:textId="5E94C053" w:rsidR="008C63DD" w:rsidRPr="00505D7E" w:rsidRDefault="00E50FAA" w:rsidP="006255D5">
            <w:pPr>
              <w:pStyle w:val="ListParagraph"/>
              <w:numPr>
                <w:ilvl w:val="0"/>
                <w:numId w:val="48"/>
              </w:numPr>
              <w:jc w:val="both"/>
              <w:rPr>
                <w:sz w:val="20"/>
              </w:rPr>
            </w:pPr>
            <w:r w:rsidRPr="00505D7E">
              <w:rPr>
                <w:sz w:val="20"/>
              </w:rPr>
              <w:t>Achieve a weighted average VHAP content across coatings (maximum kg</w:t>
            </w:r>
            <w:r w:rsidR="000409D2" w:rsidRPr="00505D7E">
              <w:rPr>
                <w:sz w:val="20"/>
              </w:rPr>
              <w:t xml:space="preserve"> VHAP/kg solids (lb VHAP/lb solids), as </w:t>
            </w:r>
            <w:r w:rsidR="00147AB3" w:rsidRPr="00505D7E">
              <w:rPr>
                <w:sz w:val="20"/>
              </w:rPr>
              <w:t>applied</w:t>
            </w:r>
          </w:p>
        </w:tc>
        <w:tc>
          <w:tcPr>
            <w:tcW w:w="994" w:type="dxa"/>
          </w:tcPr>
          <w:p w14:paraId="39A8D067" w14:textId="1F93DD46" w:rsidR="008C63DD" w:rsidRPr="00505D7E" w:rsidRDefault="00BF4D69" w:rsidP="008C63DD">
            <w:pPr>
              <w:jc w:val="both"/>
              <w:rPr>
                <w:sz w:val="20"/>
              </w:rPr>
            </w:pPr>
            <w:r w:rsidRPr="00505D7E">
              <w:rPr>
                <w:sz w:val="20"/>
              </w:rPr>
              <w:t>1.0</w:t>
            </w:r>
            <w:r w:rsidRPr="00505D7E">
              <w:rPr>
                <w:sz w:val="20"/>
                <w:vertAlign w:val="superscript"/>
              </w:rPr>
              <w:t>a</w:t>
            </w:r>
          </w:p>
        </w:tc>
        <w:tc>
          <w:tcPr>
            <w:tcW w:w="900" w:type="dxa"/>
          </w:tcPr>
          <w:p w14:paraId="1C4FDEA8" w14:textId="25475DA5" w:rsidR="008C63DD" w:rsidRPr="00505D7E" w:rsidRDefault="002A4DBE" w:rsidP="008C63DD">
            <w:pPr>
              <w:jc w:val="both"/>
              <w:rPr>
                <w:sz w:val="20"/>
              </w:rPr>
            </w:pPr>
            <w:r w:rsidRPr="00505D7E">
              <w:rPr>
                <w:sz w:val="20"/>
              </w:rPr>
              <w:t>0.8</w:t>
            </w:r>
            <w:r w:rsidRPr="00505D7E">
              <w:rPr>
                <w:sz w:val="20"/>
                <w:vertAlign w:val="superscript"/>
              </w:rPr>
              <w:t>a</w:t>
            </w:r>
          </w:p>
        </w:tc>
      </w:tr>
      <w:tr w:rsidR="00505D7E" w:rsidRPr="00505D7E" w14:paraId="00736060" w14:textId="77777777" w:rsidTr="00524120">
        <w:tc>
          <w:tcPr>
            <w:tcW w:w="7965" w:type="dxa"/>
          </w:tcPr>
          <w:p w14:paraId="69F7A3D2" w14:textId="1B91C212" w:rsidR="008C63DD" w:rsidRPr="00505D7E" w:rsidRDefault="00CD11B8" w:rsidP="006255D5">
            <w:pPr>
              <w:pStyle w:val="ListParagraph"/>
              <w:numPr>
                <w:ilvl w:val="0"/>
                <w:numId w:val="48"/>
              </w:numPr>
              <w:jc w:val="both"/>
              <w:rPr>
                <w:sz w:val="20"/>
              </w:rPr>
            </w:pPr>
            <w:r w:rsidRPr="00505D7E">
              <w:rPr>
                <w:sz w:val="20"/>
              </w:rPr>
              <w:t xml:space="preserve">Use compliant finishing materials (maximum </w:t>
            </w:r>
            <w:r w:rsidR="00147AB3" w:rsidRPr="00505D7E">
              <w:rPr>
                <w:sz w:val="20"/>
              </w:rPr>
              <w:t>kg VHAP/kg solids (lb VHAP/lb solids), as applied</w:t>
            </w:r>
          </w:p>
        </w:tc>
        <w:tc>
          <w:tcPr>
            <w:tcW w:w="994" w:type="dxa"/>
          </w:tcPr>
          <w:p w14:paraId="5C54987D" w14:textId="77777777" w:rsidR="008C63DD" w:rsidRPr="00505D7E" w:rsidRDefault="008C63DD" w:rsidP="008C63DD">
            <w:pPr>
              <w:jc w:val="both"/>
              <w:rPr>
                <w:sz w:val="20"/>
              </w:rPr>
            </w:pPr>
          </w:p>
        </w:tc>
        <w:tc>
          <w:tcPr>
            <w:tcW w:w="900" w:type="dxa"/>
          </w:tcPr>
          <w:p w14:paraId="346ACE26" w14:textId="77777777" w:rsidR="008C63DD" w:rsidRPr="00505D7E" w:rsidRDefault="008C63DD" w:rsidP="008C63DD">
            <w:pPr>
              <w:jc w:val="both"/>
              <w:rPr>
                <w:sz w:val="20"/>
              </w:rPr>
            </w:pPr>
          </w:p>
        </w:tc>
      </w:tr>
      <w:tr w:rsidR="00505D7E" w:rsidRPr="00505D7E" w14:paraId="7AF9E858" w14:textId="77777777" w:rsidTr="00524120">
        <w:tc>
          <w:tcPr>
            <w:tcW w:w="7965" w:type="dxa"/>
          </w:tcPr>
          <w:p w14:paraId="6544EACF" w14:textId="2F3D9DD7" w:rsidR="00F7540A" w:rsidRPr="00505D7E" w:rsidRDefault="00F7540A" w:rsidP="00F7540A">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t>stains</w:t>
            </w:r>
          </w:p>
        </w:tc>
        <w:tc>
          <w:tcPr>
            <w:tcW w:w="994" w:type="dxa"/>
          </w:tcPr>
          <w:p w14:paraId="1FF10049" w14:textId="542C29B8" w:rsidR="00F7540A" w:rsidRPr="00505D7E" w:rsidRDefault="00F7540A" w:rsidP="00F7540A">
            <w:pPr>
              <w:jc w:val="both"/>
              <w:rPr>
                <w:sz w:val="20"/>
              </w:rPr>
            </w:pPr>
            <w:r w:rsidRPr="00505D7E">
              <w:rPr>
                <w:sz w:val="20"/>
              </w:rPr>
              <w:t>1.0</w:t>
            </w:r>
            <w:r w:rsidRPr="00505D7E">
              <w:rPr>
                <w:sz w:val="20"/>
                <w:vertAlign w:val="superscript"/>
              </w:rPr>
              <w:t>a</w:t>
            </w:r>
            <w:r w:rsidR="00DD134E" w:rsidRPr="00505D7E">
              <w:rPr>
                <w:sz w:val="20"/>
                <w:vertAlign w:val="superscript"/>
              </w:rPr>
              <w:t>,b</w:t>
            </w:r>
          </w:p>
        </w:tc>
        <w:tc>
          <w:tcPr>
            <w:tcW w:w="900" w:type="dxa"/>
          </w:tcPr>
          <w:p w14:paraId="7BA4C3D6" w14:textId="59B0351E" w:rsidR="00F7540A" w:rsidRPr="00505D7E" w:rsidRDefault="00F7540A" w:rsidP="00F7540A">
            <w:pPr>
              <w:jc w:val="both"/>
              <w:rPr>
                <w:sz w:val="20"/>
              </w:rPr>
            </w:pPr>
            <w:r w:rsidRPr="00505D7E">
              <w:rPr>
                <w:sz w:val="20"/>
              </w:rPr>
              <w:t>1.0</w:t>
            </w:r>
            <w:r w:rsidRPr="00505D7E">
              <w:rPr>
                <w:sz w:val="20"/>
                <w:vertAlign w:val="superscript"/>
              </w:rPr>
              <w:t>a</w:t>
            </w:r>
            <w:r w:rsidR="00B469EF" w:rsidRPr="00505D7E">
              <w:rPr>
                <w:sz w:val="20"/>
                <w:vertAlign w:val="superscript"/>
              </w:rPr>
              <w:t>,b</w:t>
            </w:r>
          </w:p>
        </w:tc>
      </w:tr>
      <w:tr w:rsidR="00505D7E" w:rsidRPr="00505D7E" w14:paraId="16E0D990" w14:textId="77777777" w:rsidTr="00524120">
        <w:tc>
          <w:tcPr>
            <w:tcW w:w="7965" w:type="dxa"/>
          </w:tcPr>
          <w:p w14:paraId="60535EB2" w14:textId="210C16BD" w:rsidR="00C1313D" w:rsidRPr="00505D7E" w:rsidRDefault="00C1313D" w:rsidP="00C1313D">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t>washcoats</w:t>
            </w:r>
          </w:p>
        </w:tc>
        <w:tc>
          <w:tcPr>
            <w:tcW w:w="994" w:type="dxa"/>
          </w:tcPr>
          <w:p w14:paraId="7964ADB3" w14:textId="3AEFE4B3" w:rsidR="00C1313D" w:rsidRPr="00505D7E" w:rsidRDefault="00C1313D" w:rsidP="00C1313D">
            <w:pPr>
              <w:jc w:val="both"/>
              <w:rPr>
                <w:sz w:val="20"/>
              </w:rPr>
            </w:pPr>
            <w:r w:rsidRPr="00505D7E">
              <w:rPr>
                <w:sz w:val="20"/>
              </w:rPr>
              <w:t>1.0</w:t>
            </w:r>
            <w:r w:rsidRPr="00505D7E">
              <w:rPr>
                <w:sz w:val="20"/>
                <w:vertAlign w:val="superscript"/>
              </w:rPr>
              <w:t>a</w:t>
            </w:r>
          </w:p>
        </w:tc>
        <w:tc>
          <w:tcPr>
            <w:tcW w:w="900" w:type="dxa"/>
          </w:tcPr>
          <w:p w14:paraId="2668A078" w14:textId="457085C4" w:rsidR="00C1313D" w:rsidRPr="00505D7E" w:rsidRDefault="00C1313D" w:rsidP="00C1313D">
            <w:pPr>
              <w:jc w:val="both"/>
              <w:rPr>
                <w:sz w:val="20"/>
              </w:rPr>
            </w:pPr>
            <w:r w:rsidRPr="00505D7E">
              <w:rPr>
                <w:sz w:val="20"/>
              </w:rPr>
              <w:t>0.8</w:t>
            </w:r>
            <w:r w:rsidRPr="00505D7E">
              <w:rPr>
                <w:sz w:val="20"/>
                <w:vertAlign w:val="superscript"/>
              </w:rPr>
              <w:t>a</w:t>
            </w:r>
          </w:p>
        </w:tc>
      </w:tr>
      <w:tr w:rsidR="00505D7E" w:rsidRPr="00505D7E" w14:paraId="7C63620D" w14:textId="77777777" w:rsidTr="00524120">
        <w:tc>
          <w:tcPr>
            <w:tcW w:w="7965" w:type="dxa"/>
          </w:tcPr>
          <w:p w14:paraId="4B07251B" w14:textId="07E4934F" w:rsidR="00C1313D" w:rsidRPr="00505D7E" w:rsidRDefault="00C1313D" w:rsidP="00C1313D">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t>sealers</w:t>
            </w:r>
          </w:p>
        </w:tc>
        <w:tc>
          <w:tcPr>
            <w:tcW w:w="994" w:type="dxa"/>
          </w:tcPr>
          <w:p w14:paraId="6C2754B2" w14:textId="36099E8F" w:rsidR="00C1313D" w:rsidRPr="00505D7E" w:rsidRDefault="00C1313D" w:rsidP="00C1313D">
            <w:pPr>
              <w:jc w:val="both"/>
              <w:rPr>
                <w:sz w:val="20"/>
              </w:rPr>
            </w:pPr>
            <w:r w:rsidRPr="00505D7E">
              <w:rPr>
                <w:sz w:val="20"/>
              </w:rPr>
              <w:t>1.0</w:t>
            </w:r>
            <w:r w:rsidRPr="00505D7E">
              <w:rPr>
                <w:sz w:val="20"/>
                <w:vertAlign w:val="superscript"/>
              </w:rPr>
              <w:t>a</w:t>
            </w:r>
          </w:p>
        </w:tc>
        <w:tc>
          <w:tcPr>
            <w:tcW w:w="900" w:type="dxa"/>
          </w:tcPr>
          <w:p w14:paraId="3BE93357" w14:textId="3F005862" w:rsidR="00C1313D" w:rsidRPr="00505D7E" w:rsidRDefault="00C1313D" w:rsidP="00C1313D">
            <w:pPr>
              <w:jc w:val="both"/>
              <w:rPr>
                <w:sz w:val="20"/>
              </w:rPr>
            </w:pPr>
            <w:r w:rsidRPr="00505D7E">
              <w:rPr>
                <w:sz w:val="20"/>
              </w:rPr>
              <w:t>0.8</w:t>
            </w:r>
            <w:r w:rsidRPr="00505D7E">
              <w:rPr>
                <w:sz w:val="20"/>
                <w:vertAlign w:val="superscript"/>
              </w:rPr>
              <w:t>a</w:t>
            </w:r>
          </w:p>
        </w:tc>
      </w:tr>
      <w:tr w:rsidR="00505D7E" w:rsidRPr="00505D7E" w14:paraId="5AC0AE38" w14:textId="77777777" w:rsidTr="00524120">
        <w:tc>
          <w:tcPr>
            <w:tcW w:w="7965" w:type="dxa"/>
          </w:tcPr>
          <w:p w14:paraId="0BB57793" w14:textId="78634420" w:rsidR="00C1313D" w:rsidRPr="00505D7E" w:rsidRDefault="00C1313D" w:rsidP="00C1313D">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t>topcoats</w:t>
            </w:r>
          </w:p>
        </w:tc>
        <w:tc>
          <w:tcPr>
            <w:tcW w:w="994" w:type="dxa"/>
          </w:tcPr>
          <w:p w14:paraId="4BB8F6C7" w14:textId="1678809A" w:rsidR="00C1313D" w:rsidRPr="00505D7E" w:rsidRDefault="00C1313D" w:rsidP="00C1313D">
            <w:pPr>
              <w:jc w:val="both"/>
              <w:rPr>
                <w:sz w:val="20"/>
              </w:rPr>
            </w:pPr>
            <w:r w:rsidRPr="00505D7E">
              <w:rPr>
                <w:sz w:val="20"/>
              </w:rPr>
              <w:t>1.0</w:t>
            </w:r>
            <w:r w:rsidRPr="00505D7E">
              <w:rPr>
                <w:sz w:val="20"/>
                <w:vertAlign w:val="superscript"/>
              </w:rPr>
              <w:t>a</w:t>
            </w:r>
          </w:p>
        </w:tc>
        <w:tc>
          <w:tcPr>
            <w:tcW w:w="900" w:type="dxa"/>
          </w:tcPr>
          <w:p w14:paraId="11E008DD" w14:textId="0B4B6C17" w:rsidR="00C1313D" w:rsidRPr="00505D7E" w:rsidRDefault="00C1313D" w:rsidP="00C1313D">
            <w:pPr>
              <w:jc w:val="both"/>
              <w:rPr>
                <w:sz w:val="20"/>
              </w:rPr>
            </w:pPr>
            <w:r w:rsidRPr="00505D7E">
              <w:rPr>
                <w:sz w:val="20"/>
              </w:rPr>
              <w:t>0.8</w:t>
            </w:r>
            <w:r w:rsidRPr="00505D7E">
              <w:rPr>
                <w:sz w:val="20"/>
                <w:vertAlign w:val="superscript"/>
              </w:rPr>
              <w:t>a</w:t>
            </w:r>
          </w:p>
        </w:tc>
      </w:tr>
      <w:tr w:rsidR="00505D7E" w:rsidRPr="00505D7E" w14:paraId="2787DD39" w14:textId="77777777" w:rsidTr="00524120">
        <w:tc>
          <w:tcPr>
            <w:tcW w:w="7965" w:type="dxa"/>
          </w:tcPr>
          <w:p w14:paraId="2CE8936E" w14:textId="08D0EB12" w:rsidR="00C1313D" w:rsidRPr="00505D7E" w:rsidRDefault="00C1313D" w:rsidP="00C1313D">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t>basecoats</w:t>
            </w:r>
          </w:p>
        </w:tc>
        <w:tc>
          <w:tcPr>
            <w:tcW w:w="994" w:type="dxa"/>
          </w:tcPr>
          <w:p w14:paraId="716CAAD1" w14:textId="2030DD00" w:rsidR="00C1313D" w:rsidRPr="00505D7E" w:rsidRDefault="00C1313D" w:rsidP="00C1313D">
            <w:pPr>
              <w:jc w:val="both"/>
              <w:rPr>
                <w:sz w:val="20"/>
              </w:rPr>
            </w:pPr>
            <w:r w:rsidRPr="00505D7E">
              <w:rPr>
                <w:sz w:val="20"/>
              </w:rPr>
              <w:t>1.0</w:t>
            </w:r>
            <w:r w:rsidRPr="00505D7E">
              <w:rPr>
                <w:sz w:val="20"/>
                <w:vertAlign w:val="superscript"/>
              </w:rPr>
              <w:t>a</w:t>
            </w:r>
            <w:r w:rsidR="00C30A3D" w:rsidRPr="00505D7E">
              <w:rPr>
                <w:sz w:val="20"/>
                <w:vertAlign w:val="superscript"/>
              </w:rPr>
              <w:t>,</w:t>
            </w:r>
            <w:r w:rsidR="00CD5961" w:rsidRPr="00505D7E">
              <w:rPr>
                <w:sz w:val="20"/>
                <w:vertAlign w:val="superscript"/>
              </w:rPr>
              <w:t>b</w:t>
            </w:r>
          </w:p>
        </w:tc>
        <w:tc>
          <w:tcPr>
            <w:tcW w:w="900" w:type="dxa"/>
          </w:tcPr>
          <w:p w14:paraId="70E1F52E" w14:textId="0FC30FC0" w:rsidR="00C1313D" w:rsidRPr="00505D7E" w:rsidRDefault="00C1313D" w:rsidP="00C1313D">
            <w:pPr>
              <w:jc w:val="both"/>
              <w:rPr>
                <w:sz w:val="20"/>
              </w:rPr>
            </w:pPr>
            <w:r w:rsidRPr="00505D7E">
              <w:rPr>
                <w:sz w:val="20"/>
              </w:rPr>
              <w:t>0.8</w:t>
            </w:r>
            <w:r w:rsidRPr="00505D7E">
              <w:rPr>
                <w:sz w:val="20"/>
                <w:vertAlign w:val="superscript"/>
              </w:rPr>
              <w:t>a</w:t>
            </w:r>
            <w:r w:rsidR="00CD5961" w:rsidRPr="00505D7E">
              <w:rPr>
                <w:sz w:val="20"/>
                <w:vertAlign w:val="superscript"/>
              </w:rPr>
              <w:t>,b</w:t>
            </w:r>
          </w:p>
        </w:tc>
      </w:tr>
      <w:tr w:rsidR="00505D7E" w:rsidRPr="00505D7E" w14:paraId="6BC055EF" w14:textId="77777777" w:rsidTr="00524120">
        <w:tc>
          <w:tcPr>
            <w:tcW w:w="7965" w:type="dxa"/>
          </w:tcPr>
          <w:p w14:paraId="234BE482" w14:textId="42E80C97" w:rsidR="00C1313D" w:rsidRPr="00505D7E" w:rsidRDefault="00C1313D" w:rsidP="00C1313D">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r>
            <w:r w:rsidRPr="00505D7E">
              <w:rPr>
                <w:sz w:val="20"/>
              </w:rPr>
              <w:tab/>
              <w:t>enamels</w:t>
            </w:r>
          </w:p>
        </w:tc>
        <w:tc>
          <w:tcPr>
            <w:tcW w:w="994" w:type="dxa"/>
          </w:tcPr>
          <w:p w14:paraId="318A1CEE" w14:textId="37475CDC" w:rsidR="00C1313D" w:rsidRPr="00505D7E" w:rsidRDefault="00C1313D" w:rsidP="00C1313D">
            <w:pPr>
              <w:jc w:val="both"/>
              <w:rPr>
                <w:sz w:val="20"/>
              </w:rPr>
            </w:pPr>
            <w:r w:rsidRPr="00505D7E">
              <w:rPr>
                <w:sz w:val="20"/>
              </w:rPr>
              <w:t>1.0</w:t>
            </w:r>
            <w:r w:rsidRPr="00505D7E">
              <w:rPr>
                <w:sz w:val="20"/>
                <w:vertAlign w:val="superscript"/>
              </w:rPr>
              <w:t>a</w:t>
            </w:r>
            <w:r w:rsidR="00CD5961" w:rsidRPr="00505D7E">
              <w:rPr>
                <w:sz w:val="20"/>
                <w:vertAlign w:val="superscript"/>
              </w:rPr>
              <w:t>,b</w:t>
            </w:r>
          </w:p>
        </w:tc>
        <w:tc>
          <w:tcPr>
            <w:tcW w:w="900" w:type="dxa"/>
          </w:tcPr>
          <w:p w14:paraId="1A8497CD" w14:textId="00E23DDD" w:rsidR="00C1313D" w:rsidRPr="00505D7E" w:rsidRDefault="00AD12CB" w:rsidP="00C1313D">
            <w:pPr>
              <w:jc w:val="both"/>
              <w:rPr>
                <w:sz w:val="20"/>
              </w:rPr>
            </w:pPr>
            <w:r w:rsidRPr="00505D7E">
              <w:rPr>
                <w:sz w:val="20"/>
              </w:rPr>
              <w:t>0.8</w:t>
            </w:r>
            <w:r w:rsidRPr="00505D7E">
              <w:rPr>
                <w:sz w:val="20"/>
                <w:vertAlign w:val="superscript"/>
              </w:rPr>
              <w:t>a</w:t>
            </w:r>
            <w:r w:rsidR="00CD5961" w:rsidRPr="00505D7E">
              <w:rPr>
                <w:sz w:val="20"/>
                <w:vertAlign w:val="superscript"/>
              </w:rPr>
              <w:t>,b</w:t>
            </w:r>
          </w:p>
        </w:tc>
      </w:tr>
      <w:tr w:rsidR="00505D7E" w:rsidRPr="00505D7E" w14:paraId="1EEF15AB" w14:textId="77777777" w:rsidTr="00524120">
        <w:tc>
          <w:tcPr>
            <w:tcW w:w="7965" w:type="dxa"/>
          </w:tcPr>
          <w:p w14:paraId="4CAD9015" w14:textId="13801B86" w:rsidR="00C1313D" w:rsidRPr="00505D7E" w:rsidRDefault="00C1313D" w:rsidP="00C1313D">
            <w:pPr>
              <w:jc w:val="both"/>
              <w:rPr>
                <w:sz w:val="20"/>
              </w:rPr>
            </w:pPr>
            <w:r w:rsidRPr="00505D7E">
              <w:rPr>
                <w:sz w:val="20"/>
              </w:rPr>
              <w:tab/>
            </w:r>
            <w:r w:rsidRPr="00505D7E">
              <w:rPr>
                <w:sz w:val="20"/>
              </w:rPr>
              <w:tab/>
            </w:r>
            <w:r w:rsidRPr="00505D7E">
              <w:rPr>
                <w:sz w:val="20"/>
              </w:rPr>
              <w:tab/>
            </w:r>
            <w:r w:rsidRPr="00505D7E">
              <w:rPr>
                <w:sz w:val="20"/>
              </w:rPr>
              <w:tab/>
            </w:r>
            <w:r w:rsidRPr="00505D7E">
              <w:rPr>
                <w:sz w:val="20"/>
              </w:rPr>
              <w:tab/>
              <w:t>Thinners (maximum percent VHAP allowable); or</w:t>
            </w:r>
          </w:p>
        </w:tc>
        <w:tc>
          <w:tcPr>
            <w:tcW w:w="994" w:type="dxa"/>
          </w:tcPr>
          <w:p w14:paraId="397D62F3" w14:textId="10A68133" w:rsidR="00C1313D" w:rsidRPr="00505D7E" w:rsidRDefault="00C1313D" w:rsidP="00C1313D">
            <w:pPr>
              <w:jc w:val="both"/>
              <w:rPr>
                <w:sz w:val="20"/>
              </w:rPr>
            </w:pPr>
            <w:r w:rsidRPr="00505D7E">
              <w:rPr>
                <w:sz w:val="20"/>
              </w:rPr>
              <w:t>10..0</w:t>
            </w:r>
          </w:p>
        </w:tc>
        <w:tc>
          <w:tcPr>
            <w:tcW w:w="900" w:type="dxa"/>
          </w:tcPr>
          <w:p w14:paraId="1A49DEA5" w14:textId="2B774F04" w:rsidR="00C1313D" w:rsidRPr="00505D7E" w:rsidRDefault="00C1313D" w:rsidP="00C1313D">
            <w:pPr>
              <w:jc w:val="both"/>
              <w:rPr>
                <w:sz w:val="20"/>
              </w:rPr>
            </w:pPr>
            <w:r w:rsidRPr="00505D7E">
              <w:rPr>
                <w:sz w:val="20"/>
              </w:rPr>
              <w:t>10.0</w:t>
            </w:r>
          </w:p>
        </w:tc>
      </w:tr>
      <w:tr w:rsidR="00D26908" w:rsidRPr="00505D7E" w14:paraId="040C7321" w14:textId="77777777" w:rsidTr="00524120">
        <w:tc>
          <w:tcPr>
            <w:tcW w:w="7965" w:type="dxa"/>
          </w:tcPr>
          <w:p w14:paraId="551EFDAA" w14:textId="5C9C9813" w:rsidR="00C1313D" w:rsidRPr="00295F85" w:rsidRDefault="00295F85" w:rsidP="00295F85">
            <w:pPr>
              <w:tabs>
                <w:tab w:val="left" w:pos="360"/>
              </w:tabs>
              <w:jc w:val="both"/>
              <w:rPr>
                <w:sz w:val="20"/>
              </w:rPr>
            </w:pPr>
            <w:r>
              <w:rPr>
                <w:sz w:val="20"/>
              </w:rPr>
              <w:t xml:space="preserve">c.   </w:t>
            </w:r>
            <w:r w:rsidR="00C1313D" w:rsidRPr="00295F85">
              <w:rPr>
                <w:sz w:val="20"/>
              </w:rPr>
              <w:t xml:space="preserve">Use any combination of (a) and (b) </w:t>
            </w:r>
          </w:p>
        </w:tc>
        <w:tc>
          <w:tcPr>
            <w:tcW w:w="994" w:type="dxa"/>
          </w:tcPr>
          <w:p w14:paraId="20F6339C" w14:textId="026BEABB" w:rsidR="00C1313D" w:rsidRPr="00505D7E" w:rsidRDefault="00C1313D" w:rsidP="00C1313D">
            <w:pPr>
              <w:jc w:val="both"/>
              <w:rPr>
                <w:sz w:val="20"/>
              </w:rPr>
            </w:pPr>
            <w:r w:rsidRPr="00505D7E">
              <w:rPr>
                <w:sz w:val="20"/>
              </w:rPr>
              <w:t>1.0</w:t>
            </w:r>
          </w:p>
        </w:tc>
        <w:tc>
          <w:tcPr>
            <w:tcW w:w="900" w:type="dxa"/>
          </w:tcPr>
          <w:p w14:paraId="20269AC6" w14:textId="0118B831" w:rsidR="00C1313D" w:rsidRPr="00505D7E" w:rsidRDefault="00AD12CB" w:rsidP="00C1313D">
            <w:pPr>
              <w:jc w:val="both"/>
              <w:rPr>
                <w:sz w:val="20"/>
              </w:rPr>
            </w:pPr>
            <w:r w:rsidRPr="00505D7E">
              <w:rPr>
                <w:sz w:val="20"/>
              </w:rPr>
              <w:t>0.8</w:t>
            </w:r>
          </w:p>
        </w:tc>
      </w:tr>
    </w:tbl>
    <w:p w14:paraId="3169FF4C" w14:textId="71DF5AB3" w:rsidR="008C63DD" w:rsidRPr="00505D7E" w:rsidRDefault="008C63DD" w:rsidP="008C63DD">
      <w:pPr>
        <w:jc w:val="both"/>
        <w:rPr>
          <w:sz w:val="20"/>
        </w:rPr>
      </w:pPr>
    </w:p>
    <w:p w14:paraId="1672C0A4" w14:textId="5961442E" w:rsidR="00395DE1" w:rsidRDefault="00295F85" w:rsidP="00295F85">
      <w:pPr>
        <w:ind w:firstLine="360"/>
        <w:jc w:val="both"/>
        <w:rPr>
          <w:bCs/>
          <w:sz w:val="20"/>
        </w:rPr>
      </w:pPr>
      <w:r>
        <w:rPr>
          <w:bCs/>
          <w:sz w:val="20"/>
        </w:rPr>
        <w:t>a.</w:t>
      </w:r>
      <w:r>
        <w:rPr>
          <w:bCs/>
          <w:sz w:val="20"/>
        </w:rPr>
        <w:tab/>
      </w:r>
      <w:r w:rsidR="00CD5961" w:rsidRPr="00295F85">
        <w:rPr>
          <w:bCs/>
          <w:sz w:val="20"/>
        </w:rPr>
        <w:t xml:space="preserve">The limits refer to the VHAP content of the coating, as applied. </w:t>
      </w:r>
    </w:p>
    <w:p w14:paraId="038172C7" w14:textId="77777777" w:rsidR="00295F85" w:rsidRPr="00295F85" w:rsidRDefault="00295F85" w:rsidP="00295F85">
      <w:pPr>
        <w:ind w:firstLine="360"/>
        <w:jc w:val="both"/>
        <w:rPr>
          <w:bCs/>
          <w:sz w:val="20"/>
        </w:rPr>
      </w:pPr>
    </w:p>
    <w:p w14:paraId="33D6879A" w14:textId="493CB5AC" w:rsidR="00CD5961" w:rsidRPr="00505D7E" w:rsidRDefault="00295F85" w:rsidP="00295F85">
      <w:pPr>
        <w:pStyle w:val="ListParagraph"/>
        <w:ind w:hanging="360"/>
        <w:jc w:val="both"/>
        <w:rPr>
          <w:bCs/>
          <w:sz w:val="20"/>
        </w:rPr>
      </w:pPr>
      <w:r>
        <w:rPr>
          <w:bCs/>
          <w:sz w:val="20"/>
        </w:rPr>
        <w:t>b.</w:t>
      </w:r>
      <w:r>
        <w:rPr>
          <w:bCs/>
          <w:sz w:val="20"/>
        </w:rPr>
        <w:tab/>
      </w:r>
      <w:r w:rsidR="00DD134E" w:rsidRPr="00505D7E">
        <w:rPr>
          <w:bCs/>
          <w:sz w:val="20"/>
        </w:rPr>
        <w:t>Washcoats, basecoats, and en</w:t>
      </w:r>
      <w:r w:rsidR="00B469EF" w:rsidRPr="00505D7E">
        <w:rPr>
          <w:bCs/>
          <w:sz w:val="20"/>
        </w:rPr>
        <w:t>amels must comply with the limits</w:t>
      </w:r>
      <w:r w:rsidR="00322A1B" w:rsidRPr="00505D7E">
        <w:rPr>
          <w:bCs/>
          <w:sz w:val="20"/>
        </w:rPr>
        <w:t xml:space="preserve"> presented in this table if they are purchased premade, that is,</w:t>
      </w:r>
      <w:r w:rsidR="00755294" w:rsidRPr="00505D7E">
        <w:rPr>
          <w:bCs/>
          <w:sz w:val="20"/>
        </w:rPr>
        <w:t xml:space="preserve"> if</w:t>
      </w:r>
      <w:r w:rsidR="00322A1B" w:rsidRPr="00505D7E">
        <w:rPr>
          <w:bCs/>
          <w:sz w:val="20"/>
        </w:rPr>
        <w:t xml:space="preserve"> they are not for</w:t>
      </w:r>
      <w:r w:rsidR="00755294" w:rsidRPr="00505D7E">
        <w:rPr>
          <w:bCs/>
          <w:sz w:val="20"/>
        </w:rPr>
        <w:t>mulated onsite by thinning other finishing materials. If they are formulated onsite, they must be formulated using compliant finishing materials</w:t>
      </w:r>
      <w:r w:rsidR="00FF0839" w:rsidRPr="00505D7E">
        <w:rPr>
          <w:bCs/>
          <w:sz w:val="20"/>
        </w:rPr>
        <w:t>, i.e., those that meet the limits specified in the above table</w:t>
      </w:r>
      <w:r w:rsidR="00457A71" w:rsidRPr="00505D7E">
        <w:rPr>
          <w:bCs/>
          <w:sz w:val="20"/>
        </w:rPr>
        <w:t xml:space="preserve">, and thinners containing no more than 3.0 percent VHAP by weight. </w:t>
      </w:r>
    </w:p>
    <w:p w14:paraId="279EFAF2" w14:textId="130E61CC" w:rsidR="00CE5572" w:rsidRPr="00505D7E" w:rsidRDefault="00CE5572" w:rsidP="001A652A">
      <w:pPr>
        <w:jc w:val="both"/>
        <w:rPr>
          <w:sz w:val="20"/>
        </w:rPr>
      </w:pPr>
    </w:p>
    <w:p w14:paraId="75AC10D4" w14:textId="6E52156E" w:rsidR="00A73FEC" w:rsidRPr="00505D7E" w:rsidRDefault="00A73FEC" w:rsidP="006255D5">
      <w:pPr>
        <w:pStyle w:val="ListParagraph"/>
        <w:numPr>
          <w:ilvl w:val="0"/>
          <w:numId w:val="46"/>
        </w:numPr>
        <w:jc w:val="both"/>
        <w:rPr>
          <w:sz w:val="20"/>
        </w:rPr>
      </w:pPr>
      <w:r w:rsidRPr="00505D7E">
        <w:rPr>
          <w:sz w:val="20"/>
        </w:rPr>
        <w:t xml:space="preserve">For existing sources, the permittee shall determine VHAP emissions from a emissions from a finishing material containing formaldehyde or styrene, the </w:t>
      </w:r>
      <w:r w:rsidR="00DD7E5B">
        <w:rPr>
          <w:sz w:val="20"/>
        </w:rPr>
        <w:t>p</w:t>
      </w:r>
      <w:r w:rsidRPr="00505D7E">
        <w:rPr>
          <w:sz w:val="20"/>
        </w:rPr>
        <w:t>ermittee shall use the methods presented in 40 CFR</w:t>
      </w:r>
      <w:hyperlink r:id="rId8" w:anchor="p-63.803(l)(2)" w:history="1">
        <w:r w:rsidRPr="00505D7E">
          <w:rPr>
            <w:sz w:val="20"/>
            <w:u w:val="single"/>
          </w:rPr>
          <w:t xml:space="preserve"> 63.803(l)(2)</w:t>
        </w:r>
      </w:hyperlink>
      <w:r w:rsidRPr="00505D7E">
        <w:rPr>
          <w:sz w:val="20"/>
        </w:rPr>
        <w:t xml:space="preserve"> for determining styrene and formaldehyde usage.</w:t>
      </w:r>
      <w:r w:rsidRPr="00505D7E">
        <w:rPr>
          <w:b/>
          <w:bCs/>
          <w:sz w:val="20"/>
        </w:rPr>
        <w:t xml:space="preserve"> </w:t>
      </w:r>
      <w:r w:rsidR="00295F85">
        <w:rPr>
          <w:b/>
          <w:bCs/>
          <w:sz w:val="20"/>
        </w:rPr>
        <w:t xml:space="preserve"> </w:t>
      </w:r>
      <w:r w:rsidRPr="00505D7E">
        <w:rPr>
          <w:b/>
          <w:bCs/>
          <w:sz w:val="20"/>
        </w:rPr>
        <w:t>(40 CFR 63.802(a)(1))</w:t>
      </w:r>
    </w:p>
    <w:p w14:paraId="29CA9BB0" w14:textId="5CC37AD7" w:rsidR="00A73FEC" w:rsidRPr="00505D7E" w:rsidRDefault="00A73FEC" w:rsidP="001A652A">
      <w:pPr>
        <w:jc w:val="both"/>
        <w:rPr>
          <w:sz w:val="20"/>
        </w:rPr>
      </w:pPr>
    </w:p>
    <w:p w14:paraId="27B4359B" w14:textId="0417774A" w:rsidR="00003141" w:rsidRPr="00295F85" w:rsidRDefault="00987050" w:rsidP="006255D5">
      <w:pPr>
        <w:pStyle w:val="ListParagraph"/>
        <w:numPr>
          <w:ilvl w:val="0"/>
          <w:numId w:val="46"/>
        </w:numPr>
        <w:jc w:val="both"/>
        <w:rPr>
          <w:rFonts w:cs="Arial"/>
          <w:sz w:val="20"/>
        </w:rPr>
      </w:pPr>
      <w:r w:rsidRPr="00505D7E">
        <w:rPr>
          <w:rFonts w:cs="Arial"/>
          <w:sz w:val="20"/>
        </w:rPr>
        <w:t xml:space="preserve">For existing sources, the permittee </w:t>
      </w:r>
      <w:r w:rsidR="00003141" w:rsidRPr="00505D7E">
        <w:rPr>
          <w:rFonts w:cs="Arial"/>
          <w:sz w:val="20"/>
        </w:rPr>
        <w:t xml:space="preserve">shall limit VHAP emissions from contact adhesives by achieving a VHAP limit for contact </w:t>
      </w:r>
      <w:r w:rsidR="000727D9" w:rsidRPr="00505D7E">
        <w:rPr>
          <w:rFonts w:cs="Arial"/>
          <w:sz w:val="20"/>
        </w:rPr>
        <w:t>adhesives</w:t>
      </w:r>
      <w:r w:rsidR="00003141" w:rsidRPr="00505D7E">
        <w:rPr>
          <w:rFonts w:cs="Arial"/>
          <w:sz w:val="20"/>
        </w:rPr>
        <w:t xml:space="preserve"> based on the following criteria</w:t>
      </w:r>
      <w:r w:rsidR="00300220" w:rsidRPr="00505D7E">
        <w:rPr>
          <w:rFonts w:cs="Arial"/>
          <w:sz w:val="20"/>
        </w:rPr>
        <w:t>: (</w:t>
      </w:r>
      <w:r w:rsidR="00D201E4" w:rsidRPr="00505D7E">
        <w:rPr>
          <w:rFonts w:cs="Arial"/>
          <w:b/>
          <w:bCs/>
          <w:sz w:val="20"/>
        </w:rPr>
        <w:t>40 CFR 63.802(a)(2)(i) &amp; (ii))</w:t>
      </w:r>
    </w:p>
    <w:p w14:paraId="1347F6FA" w14:textId="77777777" w:rsidR="00295F85" w:rsidRPr="006F343B" w:rsidRDefault="00295F85" w:rsidP="00295F85">
      <w:pPr>
        <w:pStyle w:val="ListParagraph"/>
        <w:ind w:left="360"/>
        <w:jc w:val="both"/>
        <w:rPr>
          <w:rFonts w:cs="Arial"/>
          <w:sz w:val="20"/>
        </w:rPr>
      </w:pPr>
    </w:p>
    <w:p w14:paraId="3BB11663" w14:textId="189D6D34" w:rsidR="00003141" w:rsidRPr="00505D7E" w:rsidRDefault="00003141" w:rsidP="006255D5">
      <w:pPr>
        <w:pStyle w:val="ListParagraph"/>
        <w:numPr>
          <w:ilvl w:val="1"/>
          <w:numId w:val="46"/>
        </w:numPr>
        <w:ind w:left="720"/>
        <w:jc w:val="both"/>
        <w:rPr>
          <w:rFonts w:cs="Arial"/>
          <w:sz w:val="20"/>
        </w:rPr>
      </w:pPr>
      <w:r w:rsidRPr="00505D7E">
        <w:rPr>
          <w:rFonts w:cs="Arial"/>
          <w:sz w:val="20"/>
        </w:rPr>
        <w:t xml:space="preserve">For foam adhesives (contact adhesives used for upholstery operations) used in products that meet the upholstered seating flammability requirements of California Technical Bulletin 116, 117, or 133, the Business and Institutional Furniture Manufacturers Association's (BIFMA's) X5.7, UFAC flammability testing, or any similar requirements from local, State, or Federal fire regulatory agencies, the VHAP content of the adhesive shall not exceed 1.8 kg VHAP/kg solids (1.8 lb VHAP/lb solids), as applied; or </w:t>
      </w:r>
    </w:p>
    <w:p w14:paraId="2878C874" w14:textId="77777777" w:rsidR="00ED40A8" w:rsidRPr="00505D7E" w:rsidRDefault="00ED40A8" w:rsidP="00295F85">
      <w:pPr>
        <w:pStyle w:val="ListParagraph"/>
        <w:ind w:hanging="360"/>
        <w:jc w:val="both"/>
        <w:rPr>
          <w:rFonts w:cs="Arial"/>
          <w:sz w:val="20"/>
        </w:rPr>
      </w:pPr>
    </w:p>
    <w:p w14:paraId="13B4AB09" w14:textId="2960B2B2" w:rsidR="00003141" w:rsidRPr="00505D7E" w:rsidRDefault="00003141" w:rsidP="006255D5">
      <w:pPr>
        <w:pStyle w:val="ListParagraph"/>
        <w:numPr>
          <w:ilvl w:val="1"/>
          <w:numId w:val="46"/>
        </w:numPr>
        <w:ind w:left="720"/>
        <w:jc w:val="both"/>
        <w:rPr>
          <w:rFonts w:cs="Arial"/>
          <w:b/>
          <w:bCs/>
          <w:sz w:val="20"/>
        </w:rPr>
      </w:pPr>
      <w:r w:rsidRPr="00505D7E">
        <w:rPr>
          <w:rFonts w:cs="Arial"/>
          <w:sz w:val="20"/>
        </w:rPr>
        <w:t xml:space="preserve">For all other contact adhesives (including foam adhesives used in products that do not meet the standards presented in </w:t>
      </w:r>
      <w:r w:rsidR="00FB3BAF" w:rsidRPr="00505D7E">
        <w:rPr>
          <w:rFonts w:cs="Arial"/>
          <w:sz w:val="20"/>
        </w:rPr>
        <w:t>SC I.4(a</w:t>
      </w:r>
      <w:r w:rsidR="00F92766" w:rsidRPr="00505D7E">
        <w:rPr>
          <w:rFonts w:cs="Arial"/>
          <w:sz w:val="20"/>
        </w:rPr>
        <w:t>) but</w:t>
      </w:r>
      <w:r w:rsidRPr="00505D7E">
        <w:rPr>
          <w:rFonts w:cs="Arial"/>
          <w:sz w:val="20"/>
        </w:rPr>
        <w:t xml:space="preserve"> excluding aerosol adhesives and excluding contact adhesives applied to nonporous substrates, the VHAP content of the adhesive shall not exceed 1.0 kg VHAP/kg solids (1.0 lb VHAP/lb solids), as applied</w:t>
      </w:r>
      <w:r w:rsidR="000727D9" w:rsidRPr="00505D7E">
        <w:rPr>
          <w:rFonts w:cs="Arial"/>
          <w:sz w:val="20"/>
        </w:rPr>
        <w:t xml:space="preserve">. </w:t>
      </w:r>
    </w:p>
    <w:p w14:paraId="070B1E44" w14:textId="77777777" w:rsidR="00B45159" w:rsidRPr="00505D7E" w:rsidRDefault="00B45159" w:rsidP="00295F85">
      <w:pPr>
        <w:pStyle w:val="ListParagraph"/>
        <w:ind w:hanging="360"/>
        <w:rPr>
          <w:rFonts w:cs="Arial"/>
          <w:b/>
          <w:bCs/>
          <w:sz w:val="20"/>
        </w:rPr>
      </w:pPr>
    </w:p>
    <w:p w14:paraId="4B5E9872" w14:textId="3D6F106B" w:rsidR="00B45159" w:rsidRPr="00505D7E" w:rsidRDefault="00987050" w:rsidP="006255D5">
      <w:pPr>
        <w:pStyle w:val="ListParagraph"/>
        <w:numPr>
          <w:ilvl w:val="0"/>
          <w:numId w:val="46"/>
        </w:numPr>
        <w:jc w:val="both"/>
        <w:rPr>
          <w:rFonts w:cs="Arial"/>
          <w:b/>
          <w:bCs/>
          <w:sz w:val="20"/>
        </w:rPr>
      </w:pPr>
      <w:r w:rsidRPr="00505D7E">
        <w:rPr>
          <w:rFonts w:cs="Arial"/>
          <w:sz w:val="20"/>
        </w:rPr>
        <w:lastRenderedPageBreak/>
        <w:t xml:space="preserve">For existing sources, the permittee </w:t>
      </w:r>
      <w:r w:rsidR="00B45159" w:rsidRPr="00505D7E">
        <w:rPr>
          <w:rFonts w:cs="Arial"/>
          <w:sz w:val="20"/>
        </w:rPr>
        <w:t>shall limit HAP emissions from strippable spray booth coatings by using coatings that contain no more than 0.8 kg VOC/kg solids (0.8 lb VOC/lb solids), as applied.</w:t>
      </w:r>
      <w:r w:rsidR="00D36240">
        <w:rPr>
          <w:rFonts w:cs="Arial"/>
          <w:sz w:val="20"/>
        </w:rPr>
        <w:t xml:space="preserve"> </w:t>
      </w:r>
      <w:r w:rsidR="00B45159" w:rsidRPr="00505D7E">
        <w:rPr>
          <w:rFonts w:cs="Arial"/>
          <w:sz w:val="20"/>
        </w:rPr>
        <w:t xml:space="preserve"> </w:t>
      </w:r>
      <w:r w:rsidR="00B45159" w:rsidRPr="00505D7E">
        <w:rPr>
          <w:rFonts w:cs="Arial"/>
          <w:b/>
          <w:bCs/>
          <w:sz w:val="20"/>
        </w:rPr>
        <w:t>(40 CFR 63.80</w:t>
      </w:r>
      <w:r w:rsidR="00277A1A" w:rsidRPr="00505D7E">
        <w:rPr>
          <w:rFonts w:cs="Arial"/>
          <w:b/>
          <w:bCs/>
          <w:sz w:val="20"/>
        </w:rPr>
        <w:t>2(a)(3))</w:t>
      </w:r>
    </w:p>
    <w:p w14:paraId="7BCF8FCE" w14:textId="77777777" w:rsidR="00062875" w:rsidRPr="00505D7E" w:rsidRDefault="00062875" w:rsidP="00F00F34">
      <w:pPr>
        <w:pStyle w:val="ListParagraph"/>
        <w:ind w:left="360"/>
        <w:jc w:val="both"/>
        <w:rPr>
          <w:rFonts w:cs="Arial"/>
          <w:b/>
          <w:bCs/>
          <w:sz w:val="20"/>
        </w:rPr>
      </w:pPr>
    </w:p>
    <w:p w14:paraId="76C2B806" w14:textId="6E6E7189" w:rsidR="005A245D" w:rsidRPr="00505D7E" w:rsidRDefault="006836BE" w:rsidP="006255D5">
      <w:pPr>
        <w:pStyle w:val="ListParagraph"/>
        <w:numPr>
          <w:ilvl w:val="0"/>
          <w:numId w:val="46"/>
        </w:numPr>
        <w:jc w:val="both"/>
        <w:rPr>
          <w:rFonts w:cs="Arial"/>
          <w:sz w:val="20"/>
        </w:rPr>
      </w:pPr>
      <w:r w:rsidRPr="00505D7E">
        <w:rPr>
          <w:rFonts w:cs="Arial"/>
          <w:sz w:val="20"/>
        </w:rPr>
        <w:t xml:space="preserve">For </w:t>
      </w:r>
      <w:r w:rsidR="00EA7D70" w:rsidRPr="00505D7E">
        <w:rPr>
          <w:rFonts w:cs="Arial"/>
          <w:sz w:val="20"/>
        </w:rPr>
        <w:t xml:space="preserve">a </w:t>
      </w:r>
      <w:r w:rsidRPr="00505D7E">
        <w:rPr>
          <w:rFonts w:cs="Arial"/>
          <w:sz w:val="20"/>
        </w:rPr>
        <w:t>new affected source, t</w:t>
      </w:r>
      <w:r w:rsidR="005A245D" w:rsidRPr="00505D7E">
        <w:rPr>
          <w:rFonts w:cs="Arial"/>
          <w:sz w:val="20"/>
        </w:rPr>
        <w:t xml:space="preserve">he </w:t>
      </w:r>
      <w:r w:rsidR="00DD7E5B">
        <w:rPr>
          <w:rFonts w:cs="Arial"/>
          <w:sz w:val="20"/>
        </w:rPr>
        <w:t>p</w:t>
      </w:r>
      <w:r w:rsidR="005A245D" w:rsidRPr="00505D7E">
        <w:rPr>
          <w:rFonts w:cs="Arial"/>
          <w:sz w:val="20"/>
        </w:rPr>
        <w:t>ermittee shall limit VHAP emissions from the finishing operations by meeting the emission limitations presented in Table 3 of 40 CFR 63, Subpart JJ</w:t>
      </w:r>
      <w:r w:rsidR="00184E6D" w:rsidRPr="00505D7E">
        <w:rPr>
          <w:rFonts w:cs="Arial"/>
          <w:sz w:val="20"/>
        </w:rPr>
        <w:t xml:space="preserve"> (included in SC I.2)</w:t>
      </w:r>
      <w:r w:rsidR="005A245D" w:rsidRPr="00505D7E">
        <w:rPr>
          <w:rFonts w:cs="Arial"/>
          <w:sz w:val="20"/>
        </w:rPr>
        <w:t>, using any compliance methods in 40 CFR 63.804(</w:t>
      </w:r>
      <w:r w:rsidR="00A93DEC" w:rsidRPr="00505D7E">
        <w:rPr>
          <w:rFonts w:cs="Arial"/>
          <w:sz w:val="20"/>
        </w:rPr>
        <w:t>d</w:t>
      </w:r>
      <w:r w:rsidR="005A245D" w:rsidRPr="00505D7E">
        <w:rPr>
          <w:rFonts w:cs="Arial"/>
          <w:sz w:val="20"/>
        </w:rPr>
        <w:t>).</w:t>
      </w:r>
      <w:r w:rsidR="005A245D" w:rsidRPr="00505D7E">
        <w:rPr>
          <w:rFonts w:cs="Arial"/>
          <w:b/>
          <w:bCs/>
          <w:sz w:val="20"/>
        </w:rPr>
        <w:t xml:space="preserve"> </w:t>
      </w:r>
      <w:bookmarkStart w:id="83" w:name="_Hlk105579205"/>
      <w:r w:rsidR="00D36240">
        <w:rPr>
          <w:rFonts w:cs="Arial"/>
          <w:b/>
          <w:bCs/>
          <w:sz w:val="20"/>
        </w:rPr>
        <w:t xml:space="preserve"> </w:t>
      </w:r>
      <w:r w:rsidR="005A245D" w:rsidRPr="00505D7E">
        <w:rPr>
          <w:rFonts w:cs="Arial"/>
          <w:b/>
          <w:bCs/>
          <w:sz w:val="20"/>
        </w:rPr>
        <w:t>(40 CFR 63.802(</w:t>
      </w:r>
      <w:r w:rsidR="00A93DEC" w:rsidRPr="00505D7E">
        <w:rPr>
          <w:rFonts w:cs="Arial"/>
          <w:b/>
          <w:bCs/>
          <w:sz w:val="20"/>
        </w:rPr>
        <w:t>b</w:t>
      </w:r>
      <w:r w:rsidR="005A245D" w:rsidRPr="00505D7E">
        <w:rPr>
          <w:rFonts w:cs="Arial"/>
          <w:b/>
          <w:bCs/>
          <w:sz w:val="20"/>
        </w:rPr>
        <w:t>)(1))</w:t>
      </w:r>
    </w:p>
    <w:p w14:paraId="10B4F0F6" w14:textId="77777777" w:rsidR="00F92766" w:rsidRPr="00505D7E" w:rsidRDefault="00F92766" w:rsidP="00F92766">
      <w:pPr>
        <w:pStyle w:val="ListParagraph"/>
        <w:ind w:left="360"/>
        <w:jc w:val="both"/>
        <w:rPr>
          <w:rFonts w:cs="Arial"/>
          <w:sz w:val="20"/>
        </w:rPr>
      </w:pPr>
    </w:p>
    <w:bookmarkEnd w:id="83"/>
    <w:p w14:paraId="2401ADD7" w14:textId="2ABA364B" w:rsidR="0032567C" w:rsidRPr="00505D7E" w:rsidRDefault="00EA7D70" w:rsidP="006255D5">
      <w:pPr>
        <w:pStyle w:val="ListParagraph"/>
        <w:numPr>
          <w:ilvl w:val="0"/>
          <w:numId w:val="46"/>
        </w:numPr>
        <w:jc w:val="both"/>
        <w:rPr>
          <w:rFonts w:cs="Arial"/>
          <w:sz w:val="20"/>
        </w:rPr>
      </w:pPr>
      <w:r w:rsidRPr="00505D7E">
        <w:rPr>
          <w:rFonts w:cs="Arial"/>
          <w:sz w:val="20"/>
        </w:rPr>
        <w:t xml:space="preserve">For a new affected source, the permittee shall </w:t>
      </w:r>
      <w:r w:rsidR="00205661" w:rsidRPr="00505D7E">
        <w:rPr>
          <w:rFonts w:cs="Arial"/>
          <w:sz w:val="20"/>
        </w:rPr>
        <w:t xml:space="preserve">determine VHAP emissions from a finishing material containing formaldehyde or styrene, the owner or operator of the affected source shall use the methods presented in </w:t>
      </w:r>
      <w:r w:rsidR="0032567C" w:rsidRPr="00505D7E">
        <w:rPr>
          <w:rFonts w:cs="Arial"/>
          <w:sz w:val="20"/>
        </w:rPr>
        <w:t>40</w:t>
      </w:r>
      <w:r w:rsidR="00D36240">
        <w:rPr>
          <w:rFonts w:cs="Arial"/>
          <w:sz w:val="20"/>
        </w:rPr>
        <w:t> </w:t>
      </w:r>
      <w:r w:rsidR="0032567C" w:rsidRPr="00505D7E">
        <w:rPr>
          <w:rFonts w:cs="Arial"/>
          <w:sz w:val="20"/>
        </w:rPr>
        <w:t xml:space="preserve">CFR </w:t>
      </w:r>
      <w:r w:rsidR="0032567C" w:rsidRPr="00FC167A">
        <w:rPr>
          <w:rFonts w:cs="Arial"/>
          <w:sz w:val="20"/>
        </w:rPr>
        <w:t>6</w:t>
      </w:r>
      <w:hyperlink r:id="rId9" w:anchor="p-63.803(l)(2)" w:history="1">
        <w:r w:rsidR="00205661" w:rsidRPr="00FC167A">
          <w:rPr>
            <w:rFonts w:cs="Arial"/>
            <w:sz w:val="20"/>
          </w:rPr>
          <w:t>3.803(l)(2)</w:t>
        </w:r>
      </w:hyperlink>
      <w:r w:rsidR="00205661" w:rsidRPr="00FC167A">
        <w:rPr>
          <w:rFonts w:cs="Arial"/>
          <w:sz w:val="20"/>
        </w:rPr>
        <w:t xml:space="preserve"> for determining</w:t>
      </w:r>
      <w:r w:rsidR="00205661" w:rsidRPr="00505D7E">
        <w:rPr>
          <w:rFonts w:cs="Arial"/>
          <w:sz w:val="20"/>
        </w:rPr>
        <w:t xml:space="preserve"> styrene and formaldehyde usage.</w:t>
      </w:r>
      <w:r w:rsidR="0032567C" w:rsidRPr="00505D7E">
        <w:rPr>
          <w:rFonts w:cs="Arial"/>
          <w:sz w:val="20"/>
        </w:rPr>
        <w:t xml:space="preserve"> </w:t>
      </w:r>
      <w:bookmarkStart w:id="84" w:name="_Hlk105579133"/>
      <w:r w:rsidR="00D36240">
        <w:rPr>
          <w:rFonts w:cs="Arial"/>
          <w:sz w:val="20"/>
        </w:rPr>
        <w:t xml:space="preserve"> </w:t>
      </w:r>
      <w:r w:rsidR="0032567C" w:rsidRPr="00505D7E">
        <w:rPr>
          <w:rFonts w:cs="Arial"/>
          <w:b/>
          <w:bCs/>
          <w:sz w:val="20"/>
        </w:rPr>
        <w:t>(40 CFR 63.802(b)(1))</w:t>
      </w:r>
    </w:p>
    <w:p w14:paraId="0B315556" w14:textId="77777777" w:rsidR="00F92766" w:rsidRPr="00505D7E" w:rsidRDefault="00F92766" w:rsidP="00F92766">
      <w:pPr>
        <w:pStyle w:val="ListParagraph"/>
        <w:rPr>
          <w:rFonts w:cs="Arial"/>
          <w:sz w:val="20"/>
        </w:rPr>
      </w:pPr>
    </w:p>
    <w:bookmarkEnd w:id="84"/>
    <w:p w14:paraId="1517D275" w14:textId="118D6A3B" w:rsidR="00695354" w:rsidRPr="00505D7E" w:rsidRDefault="00DB5A40" w:rsidP="006255D5">
      <w:pPr>
        <w:pStyle w:val="ListParagraph"/>
        <w:numPr>
          <w:ilvl w:val="0"/>
          <w:numId w:val="46"/>
        </w:numPr>
        <w:jc w:val="both"/>
        <w:rPr>
          <w:rFonts w:cs="Arial"/>
          <w:sz w:val="20"/>
        </w:rPr>
      </w:pPr>
      <w:r w:rsidRPr="00505D7E">
        <w:rPr>
          <w:rFonts w:cs="Arial"/>
          <w:sz w:val="20"/>
        </w:rPr>
        <w:t xml:space="preserve">For a new affected source, the </w:t>
      </w:r>
      <w:r w:rsidR="00DD7E5B">
        <w:rPr>
          <w:rFonts w:cs="Arial"/>
          <w:sz w:val="20"/>
        </w:rPr>
        <w:t>p</w:t>
      </w:r>
      <w:r w:rsidRPr="00505D7E">
        <w:rPr>
          <w:rFonts w:cs="Arial"/>
          <w:sz w:val="20"/>
        </w:rPr>
        <w:t xml:space="preserve">ermittee shall limit VHAP emissions from contact adhesives by achieving a VHAP limit for contact adhesives, excluding aerosol adhesives and excluding contact adhesives applied to nonporous substrates, of no greater than 0.2 kg VHAP/kg solids (0.2 lb VHAP/lb solids), as applied, using either of the compliance methods in </w:t>
      </w:r>
      <w:r w:rsidR="00695354" w:rsidRPr="00505D7E">
        <w:rPr>
          <w:rFonts w:cs="Arial"/>
          <w:sz w:val="20"/>
        </w:rPr>
        <w:t xml:space="preserve">40 </w:t>
      </w:r>
      <w:r w:rsidR="00695354" w:rsidRPr="00FC167A">
        <w:rPr>
          <w:rFonts w:cs="Arial"/>
          <w:sz w:val="20"/>
        </w:rPr>
        <w:t>CFR</w:t>
      </w:r>
      <w:hyperlink r:id="rId10" w:anchor="p-63.804(e)" w:history="1">
        <w:r w:rsidR="00695354" w:rsidRPr="00FC167A">
          <w:rPr>
            <w:rFonts w:cs="Arial"/>
            <w:sz w:val="20"/>
          </w:rPr>
          <w:t xml:space="preserve"> </w:t>
        </w:r>
        <w:r w:rsidRPr="00FC167A">
          <w:rPr>
            <w:rFonts w:cs="Arial"/>
            <w:sz w:val="20"/>
          </w:rPr>
          <w:t>63.804(e)</w:t>
        </w:r>
      </w:hyperlink>
      <w:r w:rsidRPr="00FC167A">
        <w:rPr>
          <w:rFonts w:cs="Arial"/>
          <w:sz w:val="20"/>
        </w:rPr>
        <w:t>.</w:t>
      </w:r>
      <w:r w:rsidR="00695354" w:rsidRPr="00505D7E">
        <w:rPr>
          <w:rFonts w:cs="Arial"/>
          <w:b/>
          <w:bCs/>
          <w:sz w:val="20"/>
        </w:rPr>
        <w:t xml:space="preserve"> </w:t>
      </w:r>
      <w:r w:rsidR="00D36240">
        <w:rPr>
          <w:rFonts w:cs="Arial"/>
          <w:b/>
          <w:bCs/>
          <w:sz w:val="20"/>
        </w:rPr>
        <w:t xml:space="preserve"> </w:t>
      </w:r>
      <w:r w:rsidR="00695354" w:rsidRPr="00505D7E">
        <w:rPr>
          <w:rFonts w:cs="Arial"/>
          <w:b/>
          <w:bCs/>
          <w:sz w:val="20"/>
        </w:rPr>
        <w:t>(40 CFR 63.802(b)(2))</w:t>
      </w:r>
    </w:p>
    <w:p w14:paraId="0448B4B3" w14:textId="77777777" w:rsidR="0024487D" w:rsidRPr="00505D7E" w:rsidRDefault="0024487D" w:rsidP="0024487D">
      <w:pPr>
        <w:pStyle w:val="ListParagraph"/>
        <w:ind w:left="360"/>
        <w:jc w:val="both"/>
        <w:rPr>
          <w:rFonts w:cs="Arial"/>
          <w:sz w:val="20"/>
        </w:rPr>
      </w:pPr>
    </w:p>
    <w:p w14:paraId="64EB8B4D" w14:textId="5472F992" w:rsidR="0024487D" w:rsidRPr="00505D7E" w:rsidRDefault="008F7206" w:rsidP="006255D5">
      <w:pPr>
        <w:pStyle w:val="ListParagraph"/>
        <w:numPr>
          <w:ilvl w:val="0"/>
          <w:numId w:val="46"/>
        </w:numPr>
        <w:jc w:val="both"/>
        <w:rPr>
          <w:rFonts w:cs="Arial"/>
          <w:sz w:val="20"/>
        </w:rPr>
      </w:pPr>
      <w:r w:rsidRPr="00505D7E">
        <w:rPr>
          <w:rFonts w:cs="Arial"/>
          <w:sz w:val="20"/>
        </w:rPr>
        <w:t xml:space="preserve">For a new affected source, the </w:t>
      </w:r>
      <w:r w:rsidR="00DD7E5B">
        <w:rPr>
          <w:rFonts w:cs="Arial"/>
          <w:sz w:val="20"/>
        </w:rPr>
        <w:t>p</w:t>
      </w:r>
      <w:r w:rsidRPr="00505D7E">
        <w:rPr>
          <w:rFonts w:cs="Arial"/>
          <w:sz w:val="20"/>
        </w:rPr>
        <w:t>ermittee shall limit HAP emissions from strippable spray booth coatings by using coatings that contain no more than 0.8 kg VOC/kg solids (0.8 lb VOC/lb solids), as applied.</w:t>
      </w:r>
      <w:r w:rsidR="00D36240">
        <w:rPr>
          <w:rFonts w:cs="Arial"/>
          <w:sz w:val="20"/>
        </w:rPr>
        <w:t xml:space="preserve"> </w:t>
      </w:r>
      <w:r w:rsidR="00924BDE" w:rsidRPr="00505D7E">
        <w:rPr>
          <w:rFonts w:cs="Arial"/>
          <w:sz w:val="20"/>
        </w:rPr>
        <w:t xml:space="preserve"> </w:t>
      </w:r>
      <w:r w:rsidR="00924BDE" w:rsidRPr="00505D7E">
        <w:rPr>
          <w:rFonts w:cs="Arial"/>
          <w:b/>
          <w:bCs/>
          <w:sz w:val="20"/>
        </w:rPr>
        <w:t>(40 CFR 63.802(b)(3))</w:t>
      </w:r>
    </w:p>
    <w:p w14:paraId="6C213A86" w14:textId="77777777" w:rsidR="0024487D" w:rsidRPr="00505D7E" w:rsidRDefault="0024487D" w:rsidP="0024487D">
      <w:pPr>
        <w:pStyle w:val="ListParagraph"/>
        <w:ind w:left="360"/>
        <w:jc w:val="both"/>
        <w:rPr>
          <w:rFonts w:cs="Arial"/>
          <w:sz w:val="20"/>
        </w:rPr>
      </w:pPr>
    </w:p>
    <w:p w14:paraId="0E68CBB5" w14:textId="1EF8DC42" w:rsidR="00CA0351" w:rsidRPr="00505D7E" w:rsidRDefault="00CA0351" w:rsidP="006255D5">
      <w:pPr>
        <w:numPr>
          <w:ilvl w:val="0"/>
          <w:numId w:val="46"/>
        </w:numPr>
        <w:jc w:val="both"/>
        <w:rPr>
          <w:sz w:val="20"/>
        </w:rPr>
      </w:pPr>
      <w:r w:rsidRPr="00505D7E">
        <w:rPr>
          <w:sz w:val="20"/>
        </w:rPr>
        <w:t xml:space="preserve">At all times, the </w:t>
      </w:r>
      <w:r w:rsidR="00D36240">
        <w:rPr>
          <w:sz w:val="20"/>
        </w:rPr>
        <w:t>p</w:t>
      </w:r>
      <w:r w:rsidRPr="00505D7E">
        <w:rPr>
          <w:sz w:val="20"/>
        </w:rPr>
        <w:t>ermittee must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USEPA Administrator which may include, but is not limited to, monitoring results, review of operation and maintenance procedures, review of operation and maintenance records, and inspection of the source.</w:t>
      </w:r>
      <w:r w:rsidR="00D36240">
        <w:rPr>
          <w:sz w:val="20"/>
        </w:rPr>
        <w:t xml:space="preserve"> </w:t>
      </w:r>
      <w:r w:rsidRPr="00505D7E">
        <w:rPr>
          <w:sz w:val="20"/>
        </w:rPr>
        <w:t xml:space="preserve"> </w:t>
      </w:r>
      <w:r w:rsidRPr="00505D7E">
        <w:rPr>
          <w:b/>
          <w:bCs/>
          <w:sz w:val="20"/>
        </w:rPr>
        <w:t>(40 CFR 63.802(2)(c))</w:t>
      </w:r>
    </w:p>
    <w:p w14:paraId="3C64BED2" w14:textId="77777777" w:rsidR="00CA0351" w:rsidRPr="00505D7E" w:rsidRDefault="00CA0351" w:rsidP="006E1631">
      <w:pPr>
        <w:pStyle w:val="ListParagraph"/>
        <w:ind w:left="360"/>
        <w:jc w:val="both"/>
        <w:rPr>
          <w:rFonts w:cs="Arial"/>
          <w:sz w:val="20"/>
        </w:rPr>
      </w:pPr>
    </w:p>
    <w:p w14:paraId="7CE1F64B" w14:textId="610A1880" w:rsidR="007E4607" w:rsidRDefault="007E4607" w:rsidP="001A652A">
      <w:pPr>
        <w:jc w:val="both"/>
        <w:rPr>
          <w:sz w:val="20"/>
        </w:rPr>
      </w:pPr>
      <w:r w:rsidRPr="00505D7E">
        <w:rPr>
          <w:sz w:val="20"/>
        </w:rPr>
        <w:t>See Appendix 9</w:t>
      </w:r>
      <w:r w:rsidR="002F7A44" w:rsidRPr="00505D7E">
        <w:rPr>
          <w:sz w:val="20"/>
        </w:rPr>
        <w:t xml:space="preserve"> for detailed NESHAP Subpart JJ </w:t>
      </w:r>
      <w:r w:rsidR="001D4C8B" w:rsidRPr="00505D7E">
        <w:rPr>
          <w:sz w:val="20"/>
        </w:rPr>
        <w:t>App</w:t>
      </w:r>
      <w:r w:rsidR="00DA4500" w:rsidRPr="00505D7E">
        <w:rPr>
          <w:sz w:val="20"/>
        </w:rPr>
        <w:t>licable standards and emission limits</w:t>
      </w:r>
    </w:p>
    <w:p w14:paraId="5B5ACB94" w14:textId="77777777" w:rsidR="00505D7E" w:rsidRPr="0007707C" w:rsidRDefault="00505D7E" w:rsidP="001A652A">
      <w:pPr>
        <w:jc w:val="both"/>
        <w:rPr>
          <w:sz w:val="20"/>
        </w:rPr>
      </w:pPr>
    </w:p>
    <w:p w14:paraId="7A6506A8" w14:textId="4C268E3E" w:rsidR="00C43966" w:rsidRDefault="00C43966" w:rsidP="001A652A">
      <w:pPr>
        <w:jc w:val="both"/>
        <w:rPr>
          <w:b/>
          <w:u w:val="single"/>
        </w:rPr>
      </w:pPr>
      <w:r>
        <w:rPr>
          <w:b/>
        </w:rPr>
        <w:t xml:space="preserve">II.  </w:t>
      </w:r>
      <w:r>
        <w:rPr>
          <w:b/>
          <w:u w:val="single"/>
        </w:rPr>
        <w:t>MATERIAL LIMIT(S)</w:t>
      </w:r>
    </w:p>
    <w:p w14:paraId="7E2BB830" w14:textId="77777777" w:rsidR="00D36240" w:rsidRDefault="00D36240" w:rsidP="001A652A">
      <w:pPr>
        <w:jc w:val="both"/>
        <w:rPr>
          <w:b/>
          <w:u w:val="single"/>
        </w:rPr>
      </w:pPr>
    </w:p>
    <w:p w14:paraId="3E42AB17" w14:textId="6E45F734" w:rsidR="00C11E9D" w:rsidRPr="00F92766" w:rsidRDefault="00C11E9D" w:rsidP="006255D5">
      <w:pPr>
        <w:pStyle w:val="ListParagraph"/>
        <w:numPr>
          <w:ilvl w:val="0"/>
          <w:numId w:val="50"/>
        </w:numPr>
        <w:jc w:val="both"/>
        <w:rPr>
          <w:rFonts w:cs="Arial"/>
          <w:b/>
          <w:bCs/>
          <w:sz w:val="20"/>
        </w:rPr>
      </w:pPr>
      <w:r w:rsidRPr="001B4ACD">
        <w:rPr>
          <w:rFonts w:cs="Arial"/>
          <w:sz w:val="20"/>
        </w:rPr>
        <w:t xml:space="preserve">For existing sources, the permittee </w:t>
      </w:r>
      <w:r w:rsidRPr="0024487D">
        <w:rPr>
          <w:rFonts w:cs="Arial"/>
          <w:sz w:val="20"/>
        </w:rPr>
        <w:t>shall limit formaldehyde emissions by complying with the provisions specified in either (a) or (b) below:</w:t>
      </w:r>
      <w:r w:rsidR="00D36240">
        <w:rPr>
          <w:rFonts w:cs="Arial"/>
          <w:sz w:val="20"/>
        </w:rPr>
        <w:t xml:space="preserve"> </w:t>
      </w:r>
      <w:r w:rsidRPr="0024487D">
        <w:rPr>
          <w:rFonts w:cs="Arial"/>
          <w:sz w:val="20"/>
        </w:rPr>
        <w:t xml:space="preserve"> </w:t>
      </w:r>
      <w:r w:rsidR="00B87BA3" w:rsidRPr="00B87BA3">
        <w:rPr>
          <w:rFonts w:cs="Arial"/>
          <w:b/>
          <w:bCs/>
          <w:sz w:val="20"/>
        </w:rPr>
        <w:t>(40 CFR 63.802 (a)(4)(i) &amp; (ii))</w:t>
      </w:r>
    </w:p>
    <w:p w14:paraId="1EAA79F5" w14:textId="77777777" w:rsidR="00C11E9D" w:rsidRPr="0024487D" w:rsidRDefault="00C11E9D" w:rsidP="006255D5">
      <w:pPr>
        <w:pStyle w:val="indent-3"/>
        <w:numPr>
          <w:ilvl w:val="1"/>
          <w:numId w:val="50"/>
        </w:numPr>
        <w:ind w:left="720"/>
        <w:jc w:val="both"/>
        <w:rPr>
          <w:rFonts w:ascii="Arial" w:hAnsi="Arial" w:cs="Arial"/>
          <w:sz w:val="20"/>
          <w:szCs w:val="20"/>
        </w:rPr>
      </w:pPr>
      <w:r w:rsidRPr="0024487D">
        <w:rPr>
          <w:rFonts w:ascii="Arial" w:hAnsi="Arial" w:cs="Arial"/>
          <w:sz w:val="20"/>
          <w:szCs w:val="20"/>
        </w:rPr>
        <w:t>Limit total formaldehyde (F</w:t>
      </w:r>
      <w:r w:rsidRPr="0024487D">
        <w:rPr>
          <w:rFonts w:ascii="Arial" w:hAnsi="Arial" w:cs="Arial"/>
          <w:sz w:val="20"/>
          <w:szCs w:val="20"/>
          <w:vertAlign w:val="subscript"/>
        </w:rPr>
        <w:t>total</w:t>
      </w:r>
      <w:r w:rsidRPr="0024487D">
        <w:rPr>
          <w:rFonts w:ascii="Arial" w:hAnsi="Arial" w:cs="Arial"/>
          <w:sz w:val="20"/>
          <w:szCs w:val="20"/>
        </w:rPr>
        <w:t xml:space="preserve">) use in coatings and contact adhesives to no more than 400 pounds per rolling 12-month period. </w:t>
      </w:r>
    </w:p>
    <w:p w14:paraId="0D15755D" w14:textId="7B000FC1" w:rsidR="00C11E9D" w:rsidRDefault="00C11E9D" w:rsidP="006255D5">
      <w:pPr>
        <w:pStyle w:val="indent-3"/>
        <w:numPr>
          <w:ilvl w:val="1"/>
          <w:numId w:val="50"/>
        </w:numPr>
        <w:ind w:left="720"/>
        <w:jc w:val="both"/>
        <w:rPr>
          <w:rFonts w:ascii="Arial" w:hAnsi="Arial" w:cs="Arial"/>
          <w:b/>
          <w:bCs/>
          <w:sz w:val="20"/>
          <w:szCs w:val="20"/>
        </w:rPr>
      </w:pPr>
      <w:r w:rsidRPr="0024487D">
        <w:rPr>
          <w:rFonts w:ascii="Arial" w:hAnsi="Arial" w:cs="Arial"/>
          <w:sz w:val="20"/>
          <w:szCs w:val="20"/>
        </w:rPr>
        <w:t>Use coatings and contact adhesives only if they are low-formaldehyde coatings and adhesives, in any wood furniture manufacturing operations.</w:t>
      </w:r>
      <w:r w:rsidRPr="0024487D">
        <w:rPr>
          <w:rFonts w:ascii="Arial" w:hAnsi="Arial" w:cs="Arial"/>
          <w:b/>
          <w:bCs/>
          <w:sz w:val="20"/>
          <w:szCs w:val="20"/>
        </w:rPr>
        <w:tab/>
      </w:r>
    </w:p>
    <w:p w14:paraId="31183DDD" w14:textId="2089AC95" w:rsidR="00C11E9D" w:rsidRPr="0074697E" w:rsidRDefault="00C11E9D" w:rsidP="006255D5">
      <w:pPr>
        <w:pStyle w:val="indent-2"/>
        <w:numPr>
          <w:ilvl w:val="0"/>
          <w:numId w:val="50"/>
        </w:numPr>
        <w:jc w:val="both"/>
        <w:rPr>
          <w:rFonts w:ascii="Arial" w:hAnsi="Arial" w:cs="Arial"/>
          <w:b/>
          <w:bCs/>
          <w:sz w:val="20"/>
          <w:szCs w:val="20"/>
        </w:rPr>
      </w:pPr>
      <w:r w:rsidRPr="0024487D">
        <w:rPr>
          <w:rFonts w:ascii="Arial" w:hAnsi="Arial" w:cs="Arial"/>
          <w:sz w:val="20"/>
          <w:szCs w:val="20"/>
        </w:rPr>
        <w:t>For a new affected source, the permittee shall limit formaldehyde emissions by complying with the provisions specified in either (a) or (b)</w:t>
      </w:r>
      <w:r>
        <w:rPr>
          <w:rFonts w:ascii="Arial" w:hAnsi="Arial" w:cs="Arial"/>
          <w:sz w:val="20"/>
          <w:szCs w:val="20"/>
        </w:rPr>
        <w:t>, below</w:t>
      </w:r>
      <w:r w:rsidRPr="0024487D">
        <w:rPr>
          <w:rFonts w:ascii="Arial" w:hAnsi="Arial" w:cs="Arial"/>
          <w:sz w:val="20"/>
          <w:szCs w:val="20"/>
        </w:rPr>
        <w:t xml:space="preserve">:  </w:t>
      </w:r>
      <w:r w:rsidR="00B56A6E" w:rsidRPr="0074697E">
        <w:rPr>
          <w:rFonts w:ascii="Arial" w:hAnsi="Arial" w:cs="Arial"/>
          <w:b/>
          <w:bCs/>
          <w:sz w:val="20"/>
          <w:szCs w:val="20"/>
        </w:rPr>
        <w:t>(40 CFR 63.802(b)(4)(</w:t>
      </w:r>
      <w:r w:rsidR="00B87BA3" w:rsidRPr="0074697E">
        <w:rPr>
          <w:rFonts w:ascii="Arial" w:hAnsi="Arial" w:cs="Arial"/>
          <w:b/>
          <w:bCs/>
          <w:sz w:val="20"/>
          <w:szCs w:val="20"/>
        </w:rPr>
        <w:t>i) &amp; (ii))</w:t>
      </w:r>
    </w:p>
    <w:p w14:paraId="0A0A1B0F" w14:textId="77777777" w:rsidR="00C11E9D" w:rsidRPr="0024487D" w:rsidRDefault="00C11E9D" w:rsidP="006255D5">
      <w:pPr>
        <w:pStyle w:val="indent-3"/>
        <w:numPr>
          <w:ilvl w:val="1"/>
          <w:numId w:val="50"/>
        </w:numPr>
        <w:ind w:left="720"/>
        <w:jc w:val="both"/>
        <w:rPr>
          <w:rFonts w:ascii="Arial" w:hAnsi="Arial" w:cs="Arial"/>
          <w:sz w:val="20"/>
          <w:szCs w:val="20"/>
        </w:rPr>
      </w:pPr>
      <w:r w:rsidRPr="0024487D">
        <w:rPr>
          <w:rFonts w:ascii="Arial" w:hAnsi="Arial" w:cs="Arial"/>
          <w:sz w:val="20"/>
          <w:szCs w:val="20"/>
        </w:rPr>
        <w:t>Limit total formaldehyde (F</w:t>
      </w:r>
      <w:r w:rsidRPr="0024487D">
        <w:rPr>
          <w:rFonts w:ascii="Arial" w:hAnsi="Arial" w:cs="Arial"/>
          <w:sz w:val="20"/>
          <w:szCs w:val="20"/>
          <w:vertAlign w:val="subscript"/>
        </w:rPr>
        <w:t>total</w:t>
      </w:r>
      <w:r w:rsidRPr="0024487D">
        <w:rPr>
          <w:rFonts w:ascii="Arial" w:hAnsi="Arial" w:cs="Arial"/>
          <w:sz w:val="20"/>
          <w:szCs w:val="20"/>
        </w:rPr>
        <w:t xml:space="preserve">) use in coatings and contact adhesives to no more than 400 pounds per rolling 12-month period. </w:t>
      </w:r>
    </w:p>
    <w:p w14:paraId="40BCC4C6" w14:textId="12928023" w:rsidR="00C11E9D" w:rsidRPr="00CA0351" w:rsidRDefault="00C11E9D" w:rsidP="006255D5">
      <w:pPr>
        <w:pStyle w:val="ListParagraph"/>
        <w:numPr>
          <w:ilvl w:val="1"/>
          <w:numId w:val="50"/>
        </w:numPr>
        <w:ind w:left="720"/>
        <w:jc w:val="both"/>
        <w:rPr>
          <w:rFonts w:cs="Arial"/>
          <w:sz w:val="20"/>
        </w:rPr>
      </w:pPr>
      <w:r w:rsidRPr="0024487D">
        <w:rPr>
          <w:rFonts w:cs="Arial"/>
          <w:sz w:val="20"/>
        </w:rPr>
        <w:t xml:space="preserve">Use coatings and contact adhesives only if they are low-formaldehyde coatings and adhesives, in any wood furniture manufacturing operations. </w:t>
      </w:r>
    </w:p>
    <w:p w14:paraId="0B3D3DF0" w14:textId="77777777" w:rsidR="00C43966" w:rsidRPr="0007707C" w:rsidRDefault="00C43966" w:rsidP="00D36240">
      <w:pPr>
        <w:jc w:val="both"/>
        <w:rPr>
          <w:sz w:val="20"/>
        </w:rPr>
      </w:pPr>
    </w:p>
    <w:p w14:paraId="477DE50C" w14:textId="77777777" w:rsidR="00C43966" w:rsidRDefault="00C43966" w:rsidP="001A652A">
      <w:pPr>
        <w:jc w:val="both"/>
        <w:rPr>
          <w:b/>
          <w:u w:val="single"/>
        </w:rPr>
      </w:pPr>
      <w:r>
        <w:rPr>
          <w:b/>
        </w:rPr>
        <w:t xml:space="preserve">III.  </w:t>
      </w:r>
      <w:r>
        <w:rPr>
          <w:b/>
          <w:u w:val="single"/>
        </w:rPr>
        <w:t>PROCESS/OPERATIONAL RESTRICTION(S)</w:t>
      </w:r>
      <w:r w:rsidDel="001C614B">
        <w:rPr>
          <w:b/>
          <w:u w:val="single"/>
        </w:rPr>
        <w:t xml:space="preserve"> </w:t>
      </w:r>
    </w:p>
    <w:p w14:paraId="43C8D46D" w14:textId="77777777" w:rsidR="00C43966" w:rsidRPr="00FB6071" w:rsidRDefault="00C43966" w:rsidP="001A652A">
      <w:pPr>
        <w:jc w:val="both"/>
        <w:rPr>
          <w:sz w:val="20"/>
        </w:rPr>
      </w:pPr>
    </w:p>
    <w:p w14:paraId="050E4EA6" w14:textId="77777777" w:rsidR="00DF52E2" w:rsidRPr="00DF52E2" w:rsidRDefault="00DF52E2" w:rsidP="006255D5">
      <w:pPr>
        <w:pStyle w:val="ListParagraph"/>
        <w:numPr>
          <w:ilvl w:val="0"/>
          <w:numId w:val="49"/>
        </w:numPr>
        <w:ind w:left="360"/>
        <w:jc w:val="both"/>
        <w:rPr>
          <w:b/>
          <w:bCs/>
          <w:sz w:val="20"/>
        </w:rPr>
      </w:pPr>
      <w:r w:rsidRPr="00DF52E2">
        <w:rPr>
          <w:sz w:val="20"/>
        </w:rPr>
        <w:t>The permittee shall comply with the Work Practice Standards in 40 CFR 63.803.</w:t>
      </w:r>
      <w:r w:rsidRPr="00DF52E2">
        <w:rPr>
          <w:sz w:val="20"/>
          <w:vertAlign w:val="superscript"/>
        </w:rPr>
        <w:t>2</w:t>
      </w:r>
      <w:r w:rsidRPr="00DF52E2">
        <w:rPr>
          <w:sz w:val="20"/>
        </w:rPr>
        <w:t xml:space="preserve">  </w:t>
      </w:r>
      <w:r w:rsidRPr="00DF52E2">
        <w:rPr>
          <w:b/>
          <w:sz w:val="20"/>
        </w:rPr>
        <w:t>(40 CFR 63.803)</w:t>
      </w:r>
    </w:p>
    <w:p w14:paraId="54C5177D" w14:textId="77777777" w:rsidR="00DF52E2" w:rsidRPr="00DF52E2" w:rsidRDefault="00DF52E2" w:rsidP="00D36240">
      <w:pPr>
        <w:ind w:left="360" w:hanging="360"/>
        <w:jc w:val="both"/>
        <w:rPr>
          <w:b/>
          <w:bCs/>
          <w:sz w:val="20"/>
        </w:rPr>
      </w:pPr>
    </w:p>
    <w:p w14:paraId="5B6D3A17" w14:textId="2E846F70" w:rsidR="00CA0351" w:rsidRPr="00DF52E2" w:rsidRDefault="00DD7E5B" w:rsidP="006255D5">
      <w:pPr>
        <w:pStyle w:val="ListParagraph"/>
        <w:numPr>
          <w:ilvl w:val="0"/>
          <w:numId w:val="49"/>
        </w:numPr>
        <w:ind w:left="360"/>
        <w:jc w:val="both"/>
        <w:rPr>
          <w:b/>
          <w:bCs/>
          <w:sz w:val="20"/>
        </w:rPr>
      </w:pPr>
      <w:r>
        <w:rPr>
          <w:sz w:val="20"/>
        </w:rPr>
        <w:t>The p</w:t>
      </w:r>
      <w:r w:rsidR="00780D50" w:rsidRPr="00DF52E2">
        <w:rPr>
          <w:sz w:val="20"/>
        </w:rPr>
        <w:t xml:space="preserve">ermittee </w:t>
      </w:r>
      <w:r w:rsidR="00B37007" w:rsidRPr="00DF52E2">
        <w:rPr>
          <w:sz w:val="20"/>
        </w:rPr>
        <w:t>s</w:t>
      </w:r>
      <w:r w:rsidR="00780D50" w:rsidRPr="00DF52E2">
        <w:rPr>
          <w:sz w:val="20"/>
        </w:rPr>
        <w:t xml:space="preserve">hall prepare and maintain a written work practice implementation plan that defines environmentally desirable work practices for each wood furniture operation manufacturing operation and addresses each of the work practice standards presented in </w:t>
      </w:r>
      <w:r w:rsidR="00B37007" w:rsidRPr="00DF52E2">
        <w:rPr>
          <w:sz w:val="20"/>
        </w:rPr>
        <w:t>40 CFR 63.</w:t>
      </w:r>
      <w:r w:rsidR="00F51115" w:rsidRPr="00DF52E2">
        <w:rPr>
          <w:sz w:val="20"/>
        </w:rPr>
        <w:t>803(b)</w:t>
      </w:r>
      <w:r w:rsidR="00780D50" w:rsidRPr="00DF52E2">
        <w:rPr>
          <w:sz w:val="20"/>
        </w:rPr>
        <w:t xml:space="preserve"> through</w:t>
      </w:r>
      <w:r w:rsidR="00505D7E">
        <w:rPr>
          <w:sz w:val="20"/>
        </w:rPr>
        <w:t xml:space="preserve"> (l)</w:t>
      </w:r>
      <w:r w:rsidR="00F51115" w:rsidRPr="00DF52E2">
        <w:rPr>
          <w:sz w:val="20"/>
        </w:rPr>
        <w:t>.</w:t>
      </w:r>
      <w:r w:rsidR="00D36240">
        <w:rPr>
          <w:sz w:val="20"/>
        </w:rPr>
        <w:t xml:space="preserve"> </w:t>
      </w:r>
      <w:r w:rsidR="00F51115" w:rsidRPr="00DF52E2">
        <w:rPr>
          <w:sz w:val="20"/>
        </w:rPr>
        <w:t xml:space="preserve"> </w:t>
      </w:r>
      <w:r w:rsidR="00F51115" w:rsidRPr="00DF52E2">
        <w:rPr>
          <w:b/>
          <w:bCs/>
          <w:sz w:val="20"/>
        </w:rPr>
        <w:t>(40 CFR 63.803(a)</w:t>
      </w:r>
      <w:r w:rsidR="00C53838" w:rsidRPr="00DF52E2">
        <w:rPr>
          <w:b/>
          <w:bCs/>
          <w:sz w:val="20"/>
        </w:rPr>
        <w:t>(1)</w:t>
      </w:r>
      <w:r w:rsidR="00F51115" w:rsidRPr="00DF52E2">
        <w:rPr>
          <w:b/>
          <w:bCs/>
          <w:sz w:val="20"/>
        </w:rPr>
        <w:t>)</w:t>
      </w:r>
    </w:p>
    <w:p w14:paraId="797607E1" w14:textId="77777777" w:rsidR="001D2A16" w:rsidRPr="00AD5153" w:rsidRDefault="001D2A16" w:rsidP="00D36240">
      <w:pPr>
        <w:ind w:left="360" w:hanging="360"/>
        <w:jc w:val="both"/>
        <w:rPr>
          <w:sz w:val="20"/>
        </w:rPr>
      </w:pPr>
    </w:p>
    <w:p w14:paraId="629D619F" w14:textId="7F32F673" w:rsidR="00C53838" w:rsidRPr="00DF52E2" w:rsidRDefault="001D2A16" w:rsidP="006255D5">
      <w:pPr>
        <w:pStyle w:val="ListParagraph"/>
        <w:numPr>
          <w:ilvl w:val="0"/>
          <w:numId w:val="49"/>
        </w:numPr>
        <w:ind w:left="360"/>
        <w:jc w:val="both"/>
        <w:rPr>
          <w:b/>
          <w:bCs/>
          <w:sz w:val="20"/>
        </w:rPr>
      </w:pPr>
      <w:r w:rsidRPr="00DF52E2">
        <w:rPr>
          <w:sz w:val="20"/>
        </w:rPr>
        <w:t>T</w:t>
      </w:r>
      <w:r w:rsidR="003D11A5" w:rsidRPr="00DF52E2">
        <w:rPr>
          <w:sz w:val="20"/>
        </w:rPr>
        <w:t xml:space="preserve">he written work practice implementation plan shall be available for inspection by the </w:t>
      </w:r>
      <w:r w:rsidRPr="00DF52E2">
        <w:rPr>
          <w:sz w:val="20"/>
        </w:rPr>
        <w:t xml:space="preserve">EGLE-AQD </w:t>
      </w:r>
      <w:r w:rsidR="003D11A5" w:rsidRPr="00DF52E2">
        <w:rPr>
          <w:sz w:val="20"/>
        </w:rPr>
        <w:t xml:space="preserve">upon request. If the </w:t>
      </w:r>
      <w:r w:rsidRPr="00DF52E2">
        <w:rPr>
          <w:sz w:val="20"/>
        </w:rPr>
        <w:t xml:space="preserve">EGLE-AQD </w:t>
      </w:r>
      <w:r w:rsidR="003D11A5" w:rsidRPr="00DF52E2">
        <w:rPr>
          <w:sz w:val="20"/>
        </w:rPr>
        <w:t xml:space="preserve">determines that the work practice implementation plan does not include sufficient mechanisms </w:t>
      </w:r>
      <w:r w:rsidR="003D11A5" w:rsidRPr="00DF52E2">
        <w:rPr>
          <w:sz w:val="20"/>
        </w:rPr>
        <w:lastRenderedPageBreak/>
        <w:t xml:space="preserve">for ensuring that the work practice standards are being implemented, the </w:t>
      </w:r>
      <w:r w:rsidR="00C53838" w:rsidRPr="00DF52E2">
        <w:rPr>
          <w:sz w:val="20"/>
        </w:rPr>
        <w:t xml:space="preserve">EGLE-AQD </w:t>
      </w:r>
      <w:r w:rsidR="003D11A5" w:rsidRPr="00DF52E2">
        <w:rPr>
          <w:sz w:val="20"/>
        </w:rPr>
        <w:t>may require the affected source to modify the plan.</w:t>
      </w:r>
      <w:r w:rsidR="00C53838" w:rsidRPr="00DF52E2">
        <w:rPr>
          <w:b/>
          <w:bCs/>
          <w:sz w:val="20"/>
        </w:rPr>
        <w:t xml:space="preserve"> </w:t>
      </w:r>
      <w:r w:rsidR="00D36240">
        <w:rPr>
          <w:b/>
          <w:bCs/>
          <w:sz w:val="20"/>
        </w:rPr>
        <w:t xml:space="preserve"> </w:t>
      </w:r>
      <w:r w:rsidR="00C53838" w:rsidRPr="00DF52E2">
        <w:rPr>
          <w:b/>
          <w:bCs/>
          <w:sz w:val="20"/>
        </w:rPr>
        <w:t>(40 CFR 63.803(a)(2))</w:t>
      </w:r>
    </w:p>
    <w:p w14:paraId="096F45A4" w14:textId="77777777" w:rsidR="00535546" w:rsidRPr="00AD5153" w:rsidRDefault="00535546" w:rsidP="00D36240">
      <w:pPr>
        <w:ind w:left="360" w:hanging="360"/>
        <w:jc w:val="both"/>
        <w:rPr>
          <w:b/>
          <w:bCs/>
          <w:sz w:val="20"/>
        </w:rPr>
      </w:pPr>
    </w:p>
    <w:p w14:paraId="7A0EE546" w14:textId="619B5117" w:rsidR="003D11A5" w:rsidRPr="00D05835" w:rsidRDefault="00535546" w:rsidP="006255D5">
      <w:pPr>
        <w:pStyle w:val="ListParagraph"/>
        <w:numPr>
          <w:ilvl w:val="0"/>
          <w:numId w:val="49"/>
        </w:numPr>
        <w:ind w:left="360"/>
        <w:jc w:val="both"/>
        <w:rPr>
          <w:b/>
          <w:bCs/>
          <w:sz w:val="20"/>
        </w:rPr>
      </w:pPr>
      <w:r w:rsidRPr="00D05835">
        <w:rPr>
          <w:sz w:val="20"/>
        </w:rPr>
        <w:t xml:space="preserve">The inspection and maintenance plan required by 40 CFR 63.803(3) and the formulation assessment plan for finishing operations required by 40 CFR 63.803(l) are also reviewable by the </w:t>
      </w:r>
      <w:r w:rsidR="002C4D8C" w:rsidRPr="00D05835">
        <w:rPr>
          <w:sz w:val="20"/>
        </w:rPr>
        <w:t xml:space="preserve">EGLE-AQD. </w:t>
      </w:r>
      <w:r w:rsidR="0022460F">
        <w:rPr>
          <w:sz w:val="20"/>
        </w:rPr>
        <w:t xml:space="preserve"> </w:t>
      </w:r>
      <w:r w:rsidRPr="00D05835">
        <w:rPr>
          <w:b/>
          <w:bCs/>
          <w:sz w:val="20"/>
        </w:rPr>
        <w:t>(40 CFR 63.803(a)(</w:t>
      </w:r>
      <w:r w:rsidR="004A5631">
        <w:rPr>
          <w:b/>
          <w:bCs/>
          <w:sz w:val="20"/>
        </w:rPr>
        <w:t>3</w:t>
      </w:r>
      <w:r w:rsidRPr="00D05835">
        <w:rPr>
          <w:b/>
          <w:bCs/>
          <w:sz w:val="20"/>
        </w:rPr>
        <w:t>))</w:t>
      </w:r>
    </w:p>
    <w:p w14:paraId="2080438F" w14:textId="77777777" w:rsidR="002C4D8C" w:rsidRDefault="002C4D8C" w:rsidP="00D36240">
      <w:pPr>
        <w:pStyle w:val="ListParagraph"/>
        <w:ind w:left="360" w:hanging="360"/>
        <w:rPr>
          <w:b/>
          <w:bCs/>
          <w:sz w:val="20"/>
        </w:rPr>
      </w:pPr>
    </w:p>
    <w:p w14:paraId="5A3AB018" w14:textId="77777777" w:rsidR="00C43966" w:rsidRDefault="00C43966" w:rsidP="001A652A">
      <w:pPr>
        <w:jc w:val="both"/>
        <w:rPr>
          <w:b/>
          <w:u w:val="single"/>
        </w:rPr>
      </w:pPr>
      <w:r w:rsidRPr="00FB6071">
        <w:rPr>
          <w:b/>
        </w:rPr>
        <w:t xml:space="preserve">IV.  </w:t>
      </w:r>
      <w:r w:rsidRPr="00FB6071">
        <w:rPr>
          <w:b/>
          <w:u w:val="single"/>
        </w:rPr>
        <w:t>DESIGN</w:t>
      </w:r>
      <w:r>
        <w:rPr>
          <w:b/>
          <w:u w:val="single"/>
        </w:rPr>
        <w:t>/EQUIPMENT PARAMETER(S)</w:t>
      </w:r>
    </w:p>
    <w:p w14:paraId="5D39D78D" w14:textId="2C87B333" w:rsidR="00C43966" w:rsidRDefault="00C43966" w:rsidP="009427CC">
      <w:pPr>
        <w:ind w:left="360"/>
        <w:jc w:val="both"/>
        <w:rPr>
          <w:sz w:val="20"/>
        </w:rPr>
      </w:pPr>
    </w:p>
    <w:p w14:paraId="6CF26838" w14:textId="32D8C249" w:rsidR="009427CC" w:rsidRPr="00C0388E" w:rsidRDefault="009427CC" w:rsidP="009427CC">
      <w:pPr>
        <w:jc w:val="both"/>
        <w:rPr>
          <w:sz w:val="20"/>
        </w:rPr>
      </w:pPr>
      <w:r>
        <w:rPr>
          <w:sz w:val="20"/>
        </w:rPr>
        <w:t>NA</w:t>
      </w:r>
    </w:p>
    <w:p w14:paraId="0F0F2068" w14:textId="77777777" w:rsidR="00C43966" w:rsidRPr="00FE0AD0" w:rsidRDefault="00C43966" w:rsidP="001A652A">
      <w:pPr>
        <w:jc w:val="both"/>
        <w:rPr>
          <w:sz w:val="20"/>
        </w:rPr>
      </w:pPr>
    </w:p>
    <w:p w14:paraId="525AE3A3" w14:textId="77777777" w:rsidR="00C43966" w:rsidRDefault="00C43966" w:rsidP="001A652A">
      <w:pPr>
        <w:jc w:val="both"/>
        <w:rPr>
          <w:b/>
          <w:u w:val="single"/>
        </w:rPr>
      </w:pPr>
      <w:r>
        <w:rPr>
          <w:b/>
        </w:rPr>
        <w:t xml:space="preserve">V.  </w:t>
      </w:r>
      <w:r>
        <w:rPr>
          <w:b/>
          <w:u w:val="single"/>
        </w:rPr>
        <w:t>TESTING/SAMPLING</w:t>
      </w:r>
    </w:p>
    <w:p w14:paraId="03DBC45A" w14:textId="77777777" w:rsidR="00C43966" w:rsidRPr="00FE0AD0" w:rsidRDefault="00C4396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0865E6" w14:textId="77777777" w:rsidR="00C43966" w:rsidRPr="00FE0AD0" w:rsidRDefault="00C43966" w:rsidP="001A652A">
      <w:pPr>
        <w:jc w:val="both"/>
        <w:rPr>
          <w:sz w:val="20"/>
        </w:rPr>
      </w:pPr>
    </w:p>
    <w:p w14:paraId="430310C2" w14:textId="1E82D824" w:rsidR="0047313B" w:rsidRPr="00A3531F" w:rsidRDefault="0047313B" w:rsidP="006255D5">
      <w:pPr>
        <w:numPr>
          <w:ilvl w:val="0"/>
          <w:numId w:val="38"/>
        </w:numPr>
        <w:jc w:val="both"/>
        <w:rPr>
          <w:sz w:val="20"/>
        </w:rPr>
      </w:pPr>
      <w:r w:rsidRPr="000F7161">
        <w:rPr>
          <w:sz w:val="20"/>
        </w:rPr>
        <w:t xml:space="preserve">The permittee shall comply with the performance test method requirements in 40 CFR </w:t>
      </w:r>
      <w:r w:rsidR="00A3531F" w:rsidRPr="000F7161">
        <w:rPr>
          <w:sz w:val="20"/>
        </w:rPr>
        <w:t>63.805.</w:t>
      </w:r>
      <w:r w:rsidR="00A3531F" w:rsidRPr="00EF3C35">
        <w:rPr>
          <w:sz w:val="20"/>
          <w:vertAlign w:val="superscript"/>
        </w:rPr>
        <w:t>2</w:t>
      </w:r>
      <w:r w:rsidR="00A3531F" w:rsidRPr="000F7161">
        <w:rPr>
          <w:sz w:val="20"/>
        </w:rPr>
        <w:t xml:space="preserve"> </w:t>
      </w:r>
      <w:r w:rsidR="0022460F">
        <w:rPr>
          <w:sz w:val="20"/>
        </w:rPr>
        <w:t xml:space="preserve"> </w:t>
      </w:r>
      <w:r w:rsidR="00A3531F" w:rsidRPr="000F7161">
        <w:rPr>
          <w:sz w:val="20"/>
        </w:rPr>
        <w:t>(</w:t>
      </w:r>
      <w:r w:rsidRPr="000F7161">
        <w:rPr>
          <w:b/>
          <w:sz w:val="20"/>
        </w:rPr>
        <w:t>40</w:t>
      </w:r>
      <w:r>
        <w:rPr>
          <w:b/>
          <w:sz w:val="20"/>
        </w:rPr>
        <w:t> </w:t>
      </w:r>
      <w:r w:rsidRPr="000F7161">
        <w:rPr>
          <w:b/>
          <w:sz w:val="20"/>
        </w:rPr>
        <w:t>CFR</w:t>
      </w:r>
      <w:r>
        <w:rPr>
          <w:b/>
          <w:sz w:val="20"/>
        </w:rPr>
        <w:t> </w:t>
      </w:r>
      <w:r w:rsidRPr="000F7161">
        <w:rPr>
          <w:b/>
          <w:sz w:val="20"/>
        </w:rPr>
        <w:t>63.805)</w:t>
      </w:r>
    </w:p>
    <w:p w14:paraId="3E23F339" w14:textId="77777777" w:rsidR="00A3531F" w:rsidRPr="00A3531F" w:rsidRDefault="00A3531F" w:rsidP="00A3531F">
      <w:pPr>
        <w:ind w:left="360"/>
        <w:jc w:val="both"/>
        <w:rPr>
          <w:sz w:val="20"/>
        </w:rPr>
      </w:pPr>
    </w:p>
    <w:p w14:paraId="22516B6D" w14:textId="1CAAAF6D" w:rsidR="00F2200B" w:rsidRPr="00A3531F" w:rsidRDefault="0047313B" w:rsidP="006255D5">
      <w:pPr>
        <w:numPr>
          <w:ilvl w:val="0"/>
          <w:numId w:val="38"/>
        </w:numPr>
        <w:jc w:val="both"/>
        <w:rPr>
          <w:sz w:val="20"/>
        </w:rPr>
      </w:pPr>
      <w:r w:rsidRPr="00A3531F">
        <w:rPr>
          <w:sz w:val="20"/>
        </w:rPr>
        <w:t>Performance test methods shall be used as provided in Certified Product Data Sheet (CPDS) to calculate liquid coating Volatile Hazardous Air Pollutant (VHAP) content.</w:t>
      </w:r>
      <w:r w:rsidR="00A3531F" w:rsidRPr="00A3531F">
        <w:rPr>
          <w:sz w:val="20"/>
          <w:vertAlign w:val="superscript"/>
        </w:rPr>
        <w:t>2</w:t>
      </w:r>
      <w:r w:rsidR="00A3531F" w:rsidRPr="00A3531F">
        <w:rPr>
          <w:sz w:val="20"/>
        </w:rPr>
        <w:t xml:space="preserve"> </w:t>
      </w:r>
      <w:r w:rsidR="0022460F">
        <w:rPr>
          <w:sz w:val="20"/>
        </w:rPr>
        <w:t xml:space="preserve"> </w:t>
      </w:r>
      <w:r w:rsidR="00A3531F" w:rsidRPr="00A3531F">
        <w:rPr>
          <w:sz w:val="20"/>
        </w:rPr>
        <w:t>(</w:t>
      </w:r>
      <w:r w:rsidRPr="00A3531F">
        <w:rPr>
          <w:b/>
          <w:sz w:val="20"/>
        </w:rPr>
        <w:t>40 CFR 63.805)</w:t>
      </w:r>
    </w:p>
    <w:p w14:paraId="3D1E5109" w14:textId="77777777" w:rsidR="00A3531F" w:rsidRPr="00A3531F" w:rsidRDefault="00A3531F" w:rsidP="00A3531F">
      <w:pPr>
        <w:ind w:left="360"/>
        <w:jc w:val="both"/>
        <w:rPr>
          <w:sz w:val="20"/>
        </w:rPr>
      </w:pPr>
    </w:p>
    <w:p w14:paraId="77A9552B" w14:textId="7EEA9484" w:rsidR="0047313B" w:rsidRPr="00522CB6" w:rsidRDefault="00CF5F6E" w:rsidP="006255D5">
      <w:pPr>
        <w:numPr>
          <w:ilvl w:val="0"/>
          <w:numId w:val="38"/>
        </w:numPr>
        <w:jc w:val="both"/>
        <w:rPr>
          <w:rFonts w:cs="Arial"/>
          <w:b/>
          <w:bCs/>
          <w:sz w:val="20"/>
        </w:rPr>
      </w:pPr>
      <w:r w:rsidRPr="0034130B">
        <w:rPr>
          <w:rFonts w:cs="Arial"/>
          <w:sz w:val="20"/>
          <w:shd w:val="clear" w:color="auto" w:fill="FFFFFF"/>
        </w:rPr>
        <w:t xml:space="preserve">The </w:t>
      </w:r>
      <w:r w:rsidR="0022460F">
        <w:rPr>
          <w:rFonts w:cs="Arial"/>
          <w:sz w:val="20"/>
          <w:shd w:val="clear" w:color="auto" w:fill="FFFFFF"/>
        </w:rPr>
        <w:t>p</w:t>
      </w:r>
      <w:r w:rsidRPr="0034130B">
        <w:rPr>
          <w:rFonts w:cs="Arial"/>
          <w:sz w:val="20"/>
          <w:shd w:val="clear" w:color="auto" w:fill="FFFFFF"/>
        </w:rPr>
        <w:t>ermittee shall use t</w:t>
      </w:r>
      <w:r w:rsidR="005B31DA" w:rsidRPr="0034130B">
        <w:rPr>
          <w:rFonts w:cs="Arial"/>
          <w:sz w:val="20"/>
          <w:shd w:val="clear" w:color="auto" w:fill="FFFFFF"/>
        </w:rPr>
        <w:t>he </w:t>
      </w:r>
      <w:r w:rsidR="006A1CA7" w:rsidRPr="0034130B">
        <w:rPr>
          <w:rFonts w:cs="Arial"/>
          <w:sz w:val="20"/>
          <w:shd w:val="clear" w:color="auto" w:fill="FFFFFF"/>
        </w:rPr>
        <w:t>EPA Method</w:t>
      </w:r>
      <w:r w:rsidR="005B31DA" w:rsidRPr="0034130B">
        <w:rPr>
          <w:rFonts w:cs="Arial"/>
          <w:sz w:val="20"/>
          <w:shd w:val="clear" w:color="auto" w:fill="FFFFFF"/>
        </w:rPr>
        <w:t xml:space="preserve"> 311 of appendix A of </w:t>
      </w:r>
      <w:r w:rsidR="00AA66E8" w:rsidRPr="0034130B">
        <w:rPr>
          <w:rFonts w:cs="Arial"/>
          <w:sz w:val="20"/>
          <w:shd w:val="clear" w:color="auto" w:fill="FFFFFF"/>
        </w:rPr>
        <w:t xml:space="preserve">40 CFR </w:t>
      </w:r>
      <w:r w:rsidR="005B31DA" w:rsidRPr="0034130B">
        <w:rPr>
          <w:rFonts w:cs="Arial"/>
          <w:sz w:val="20"/>
          <w:shd w:val="clear" w:color="auto" w:fill="FFFFFF"/>
        </w:rPr>
        <w:t xml:space="preserve">part 63 </w:t>
      </w:r>
      <w:r w:rsidR="00AA66E8" w:rsidRPr="0034130B">
        <w:rPr>
          <w:rFonts w:cs="Arial"/>
          <w:sz w:val="20"/>
          <w:shd w:val="clear" w:color="auto" w:fill="FFFFFF"/>
        </w:rPr>
        <w:t>i</w:t>
      </w:r>
      <w:r w:rsidR="005B31DA" w:rsidRPr="0034130B">
        <w:rPr>
          <w:rFonts w:cs="Arial"/>
          <w:sz w:val="20"/>
          <w:shd w:val="clear" w:color="auto" w:fill="FFFFFF"/>
        </w:rPr>
        <w:t>n conjunction with formulation data to determine the</w:t>
      </w:r>
      <w:r w:rsidR="006E73B0" w:rsidRPr="0034130B">
        <w:rPr>
          <w:rFonts w:cs="Arial"/>
          <w:sz w:val="20"/>
          <w:shd w:val="clear" w:color="auto" w:fill="FFFFFF"/>
        </w:rPr>
        <w:t xml:space="preserve"> VHAP content</w:t>
      </w:r>
      <w:r w:rsidR="005B31DA" w:rsidRPr="0034130B">
        <w:rPr>
          <w:rFonts w:cs="Arial"/>
          <w:sz w:val="20"/>
          <w:shd w:val="clear" w:color="auto" w:fill="FFFFFF"/>
        </w:rPr>
        <w:t xml:space="preserve"> of the </w:t>
      </w:r>
      <w:r w:rsidR="005B31DA" w:rsidRPr="00522CB6">
        <w:rPr>
          <w:rFonts w:cs="Arial"/>
          <w:sz w:val="20"/>
          <w:shd w:val="clear" w:color="auto" w:fill="FFFFFF"/>
        </w:rPr>
        <w:t>liquid </w:t>
      </w:r>
      <w:r w:rsidR="006E73B0" w:rsidRPr="00522CB6">
        <w:rPr>
          <w:rFonts w:cs="Arial"/>
          <w:sz w:val="20"/>
          <w:shd w:val="clear" w:color="auto" w:fill="FFFFFF"/>
        </w:rPr>
        <w:t>coating</w:t>
      </w:r>
      <w:r w:rsidR="005B31DA" w:rsidRPr="00522CB6">
        <w:rPr>
          <w:rFonts w:cs="Arial"/>
          <w:sz w:val="20"/>
          <w:shd w:val="clear" w:color="auto" w:fill="FFFFFF"/>
        </w:rPr>
        <w:t>. Formulation data shall be used to identify</w:t>
      </w:r>
      <w:r w:rsidR="006A1CA7" w:rsidRPr="00522CB6">
        <w:rPr>
          <w:rFonts w:cs="Arial"/>
          <w:sz w:val="20"/>
          <w:shd w:val="clear" w:color="auto" w:fill="FFFFFF"/>
        </w:rPr>
        <w:t xml:space="preserve"> VHAP</w:t>
      </w:r>
      <w:r w:rsidR="005B31DA" w:rsidRPr="00522CB6">
        <w:rPr>
          <w:rFonts w:cs="Arial"/>
          <w:sz w:val="20"/>
          <w:shd w:val="clear" w:color="auto" w:fill="FFFFFF"/>
        </w:rPr>
        <w:t> present</w:t>
      </w:r>
      <w:r w:rsidR="00BA2962" w:rsidRPr="00522CB6">
        <w:rPr>
          <w:rFonts w:cs="Arial"/>
          <w:sz w:val="20"/>
          <w:shd w:val="clear" w:color="auto" w:fill="FFFFFF"/>
        </w:rPr>
        <w:t xml:space="preserve"> in the coating. </w:t>
      </w:r>
      <w:r w:rsidR="005B31DA" w:rsidRPr="00522CB6">
        <w:rPr>
          <w:rFonts w:cs="Arial"/>
          <w:sz w:val="20"/>
          <w:shd w:val="clear" w:color="auto" w:fill="FFFFFF"/>
        </w:rPr>
        <w:t xml:space="preserve"> The </w:t>
      </w:r>
      <w:hyperlink r:id="rId11" w:history="1">
        <w:r w:rsidR="005B31DA" w:rsidRPr="00522CB6">
          <w:rPr>
            <w:rFonts w:cs="Arial"/>
            <w:sz w:val="20"/>
            <w:shd w:val="clear" w:color="auto" w:fill="FFFFFF"/>
          </w:rPr>
          <w:t>EPA</w:t>
        </w:r>
      </w:hyperlink>
      <w:r w:rsidR="005B31DA" w:rsidRPr="00522CB6">
        <w:rPr>
          <w:rFonts w:cs="Arial"/>
          <w:sz w:val="20"/>
          <w:shd w:val="clear" w:color="auto" w:fill="FFFFFF"/>
        </w:rPr>
        <w:t> Method 311 shall then be used to quantify those </w:t>
      </w:r>
      <w:hyperlink r:id="rId12" w:history="1">
        <w:r w:rsidR="005B31DA" w:rsidRPr="00522CB6">
          <w:rPr>
            <w:rFonts w:cs="Arial"/>
            <w:sz w:val="20"/>
            <w:shd w:val="clear" w:color="auto" w:fill="FFFFFF"/>
          </w:rPr>
          <w:t>VHAP</w:t>
        </w:r>
      </w:hyperlink>
      <w:r w:rsidR="005B31DA" w:rsidRPr="00522CB6">
        <w:rPr>
          <w:rFonts w:cs="Arial"/>
          <w:sz w:val="20"/>
          <w:shd w:val="clear" w:color="auto" w:fill="FFFFFF"/>
        </w:rPr>
        <w:t> identified through formulation data.</w:t>
      </w:r>
      <w:r w:rsidR="00AA66E8" w:rsidRPr="00522CB6">
        <w:rPr>
          <w:rFonts w:cs="Arial"/>
          <w:sz w:val="20"/>
          <w:shd w:val="clear" w:color="auto" w:fill="FFFFFF"/>
        </w:rPr>
        <w:t xml:space="preserve"> </w:t>
      </w:r>
      <w:r w:rsidR="00AA66E8" w:rsidRPr="00522CB6">
        <w:rPr>
          <w:rFonts w:cs="Arial"/>
          <w:b/>
          <w:bCs/>
          <w:sz w:val="20"/>
          <w:shd w:val="clear" w:color="auto" w:fill="FFFFFF"/>
        </w:rPr>
        <w:t>(40 CFR 63.805(a))</w:t>
      </w:r>
    </w:p>
    <w:p w14:paraId="118A1AE3" w14:textId="77777777" w:rsidR="003324CE" w:rsidRPr="00522CB6" w:rsidRDefault="003324CE" w:rsidP="003324CE">
      <w:pPr>
        <w:ind w:left="360"/>
        <w:jc w:val="both"/>
        <w:rPr>
          <w:rFonts w:cs="Arial"/>
          <w:b/>
          <w:bCs/>
          <w:sz w:val="20"/>
        </w:rPr>
      </w:pPr>
    </w:p>
    <w:p w14:paraId="36CE395E" w14:textId="6519C5E6" w:rsidR="0047313B" w:rsidRPr="00BF0B5F" w:rsidRDefault="00BF0B5F" w:rsidP="006255D5">
      <w:pPr>
        <w:numPr>
          <w:ilvl w:val="0"/>
          <w:numId w:val="38"/>
        </w:numPr>
        <w:jc w:val="both"/>
        <w:rPr>
          <w:rFonts w:cs="Arial"/>
          <w:b/>
          <w:color w:val="FF0000"/>
          <w:sz w:val="20"/>
        </w:rPr>
      </w:pPr>
      <w:r w:rsidRPr="00BF0B5F">
        <w:rPr>
          <w:rFonts w:cs="Arial"/>
          <w:color w:val="333333"/>
          <w:sz w:val="20"/>
          <w:shd w:val="clear" w:color="auto" w:fill="FFFFFF"/>
        </w:rPr>
        <w:t xml:space="preserve">The </w:t>
      </w:r>
      <w:r w:rsidR="0022460F">
        <w:rPr>
          <w:rFonts w:cs="Arial"/>
          <w:color w:val="333333"/>
          <w:sz w:val="20"/>
          <w:shd w:val="clear" w:color="auto" w:fill="FFFFFF"/>
        </w:rPr>
        <w:t>p</w:t>
      </w:r>
      <w:r w:rsidRPr="00BF0B5F">
        <w:rPr>
          <w:rFonts w:cs="Arial"/>
          <w:color w:val="333333"/>
          <w:sz w:val="20"/>
          <w:shd w:val="clear" w:color="auto" w:fill="FFFFFF"/>
        </w:rPr>
        <w:t xml:space="preserve">ermittee shall use </w:t>
      </w:r>
      <w:r w:rsidR="0034130B" w:rsidRPr="00BF0B5F">
        <w:rPr>
          <w:rFonts w:cs="Arial"/>
          <w:color w:val="333333"/>
          <w:sz w:val="20"/>
          <w:shd w:val="clear" w:color="auto" w:fill="FFFFFF"/>
        </w:rPr>
        <w:t xml:space="preserve">the </w:t>
      </w:r>
      <w:r w:rsidR="003324CE" w:rsidRPr="00BF0B5F">
        <w:rPr>
          <w:rFonts w:cs="Arial"/>
          <w:color w:val="333333"/>
          <w:sz w:val="20"/>
          <w:shd w:val="clear" w:color="auto" w:fill="FFFFFF"/>
        </w:rPr>
        <w:t>EPA</w:t>
      </w:r>
      <w:r w:rsidR="003324CE">
        <w:rPr>
          <w:rFonts w:cs="Arial"/>
          <w:color w:val="333333"/>
          <w:sz w:val="20"/>
          <w:shd w:val="clear" w:color="auto" w:fill="FFFFFF"/>
        </w:rPr>
        <w:t xml:space="preserve"> </w:t>
      </w:r>
      <w:r w:rsidR="003324CE" w:rsidRPr="00BF0B5F">
        <w:rPr>
          <w:rFonts w:cs="Arial"/>
          <w:color w:val="333333"/>
          <w:sz w:val="20"/>
          <w:shd w:val="clear" w:color="auto" w:fill="FFFFFF"/>
        </w:rPr>
        <w:t>Method</w:t>
      </w:r>
      <w:r w:rsidRPr="00BF0B5F">
        <w:rPr>
          <w:rFonts w:cs="Arial"/>
          <w:color w:val="333333"/>
          <w:sz w:val="20"/>
          <w:shd w:val="clear" w:color="auto" w:fill="FFFFFF"/>
        </w:rPr>
        <w:t xml:space="preserve"> 24 (</w:t>
      </w:r>
      <w:r w:rsidR="0034130B">
        <w:rPr>
          <w:rFonts w:cs="Arial"/>
          <w:color w:val="333333"/>
          <w:sz w:val="20"/>
          <w:shd w:val="clear" w:color="auto" w:fill="FFFFFF"/>
        </w:rPr>
        <w:t>40 CFR part 60</w:t>
      </w:r>
      <w:r w:rsidRPr="00BF0B5F">
        <w:rPr>
          <w:rFonts w:cs="Arial"/>
          <w:color w:val="333333"/>
          <w:sz w:val="20"/>
          <w:shd w:val="clear" w:color="auto" w:fill="FFFFFF"/>
        </w:rPr>
        <w:t>, appendix A) to determine the solids content by weight and the density of coatings.</w:t>
      </w:r>
      <w:r w:rsidRPr="00BF0B5F">
        <w:rPr>
          <w:rFonts w:cs="Arial"/>
          <w:b/>
          <w:bCs/>
          <w:color w:val="333333"/>
          <w:sz w:val="20"/>
          <w:shd w:val="clear" w:color="auto" w:fill="FFFFFF"/>
        </w:rPr>
        <w:t xml:space="preserve"> </w:t>
      </w:r>
      <w:r w:rsidR="0022460F">
        <w:rPr>
          <w:rFonts w:cs="Arial"/>
          <w:b/>
          <w:bCs/>
          <w:color w:val="333333"/>
          <w:sz w:val="20"/>
          <w:shd w:val="clear" w:color="auto" w:fill="FFFFFF"/>
        </w:rPr>
        <w:t xml:space="preserve"> </w:t>
      </w:r>
      <w:r w:rsidRPr="00BF0B5F">
        <w:rPr>
          <w:rFonts w:cs="Arial"/>
          <w:b/>
          <w:bCs/>
          <w:color w:val="333333"/>
          <w:sz w:val="20"/>
          <w:shd w:val="clear" w:color="auto" w:fill="FFFFFF"/>
        </w:rPr>
        <w:t>(40 CFR 63.805(a))</w:t>
      </w:r>
    </w:p>
    <w:p w14:paraId="6E1F66C2" w14:textId="77777777" w:rsidR="00AD3716" w:rsidRDefault="00AD3716" w:rsidP="001A652A">
      <w:pPr>
        <w:jc w:val="both"/>
        <w:rPr>
          <w:sz w:val="20"/>
        </w:rPr>
      </w:pPr>
    </w:p>
    <w:p w14:paraId="13409051" w14:textId="3F67045E" w:rsidR="00C43966" w:rsidRDefault="00C43966" w:rsidP="001A652A">
      <w:pPr>
        <w:jc w:val="both"/>
      </w:pPr>
      <w:r>
        <w:rPr>
          <w:b/>
        </w:rPr>
        <w:t xml:space="preserve">VI.  </w:t>
      </w:r>
      <w:r>
        <w:rPr>
          <w:b/>
          <w:u w:val="single"/>
        </w:rPr>
        <w:t>MONITORING/RECORDKEEPING</w:t>
      </w:r>
    </w:p>
    <w:p w14:paraId="2EED4061" w14:textId="77777777" w:rsidR="00C43966" w:rsidRPr="00FE0AD0" w:rsidRDefault="00C43966"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CB919E" w14:textId="77777777" w:rsidR="00C43966" w:rsidRPr="00FE0AD0" w:rsidRDefault="00C43966" w:rsidP="001A652A">
      <w:pPr>
        <w:jc w:val="both"/>
        <w:rPr>
          <w:sz w:val="20"/>
        </w:rPr>
      </w:pPr>
    </w:p>
    <w:p w14:paraId="4D20BBD9" w14:textId="1E0D9C79" w:rsidR="0004717F" w:rsidRPr="001160A2" w:rsidRDefault="00AE26CD" w:rsidP="006255D5">
      <w:pPr>
        <w:pStyle w:val="indent-2"/>
        <w:numPr>
          <w:ilvl w:val="0"/>
          <w:numId w:val="39"/>
        </w:numPr>
        <w:jc w:val="both"/>
        <w:rPr>
          <w:rFonts w:ascii="Arial" w:hAnsi="Arial" w:cs="Arial"/>
          <w:sz w:val="20"/>
          <w:szCs w:val="20"/>
        </w:rPr>
      </w:pPr>
      <w:r w:rsidRPr="001160A2">
        <w:rPr>
          <w:rFonts w:ascii="Arial" w:hAnsi="Arial" w:cs="Arial"/>
          <w:sz w:val="20"/>
          <w:szCs w:val="20"/>
        </w:rPr>
        <w:t>The p</w:t>
      </w:r>
      <w:r w:rsidR="00BD6361" w:rsidRPr="001160A2">
        <w:rPr>
          <w:rFonts w:ascii="Arial" w:hAnsi="Arial" w:cs="Arial"/>
          <w:sz w:val="20"/>
          <w:szCs w:val="20"/>
        </w:rPr>
        <w:t xml:space="preserve">ermittee </w:t>
      </w:r>
      <w:r w:rsidR="0004717F" w:rsidRPr="001160A2">
        <w:rPr>
          <w:rFonts w:ascii="Arial" w:hAnsi="Arial" w:cs="Arial"/>
          <w:sz w:val="20"/>
          <w:szCs w:val="20"/>
        </w:rPr>
        <w:t xml:space="preserve">subject to the </w:t>
      </w:r>
      <w:r w:rsidR="00BB05BE" w:rsidRPr="001160A2">
        <w:rPr>
          <w:rFonts w:ascii="Arial" w:hAnsi="Arial" w:cs="Arial"/>
          <w:sz w:val="20"/>
          <w:szCs w:val="20"/>
        </w:rPr>
        <w:t xml:space="preserve">40 CFR </w:t>
      </w:r>
      <w:hyperlink r:id="rId13" w:anchor="p-63.802(a)(1)" w:history="1">
        <w:r w:rsidR="0004717F" w:rsidRPr="001160A2">
          <w:rPr>
            <w:rFonts w:ascii="Arial" w:hAnsi="Arial" w:cs="Arial"/>
            <w:sz w:val="20"/>
            <w:szCs w:val="20"/>
          </w:rPr>
          <w:t>63.802 (a)(1)</w:t>
        </w:r>
      </w:hyperlink>
      <w:r w:rsidR="0004717F" w:rsidRPr="001160A2">
        <w:rPr>
          <w:rFonts w:ascii="Arial" w:hAnsi="Arial" w:cs="Arial"/>
          <w:sz w:val="20"/>
          <w:szCs w:val="20"/>
        </w:rPr>
        <w:t xml:space="preserve"> or </w:t>
      </w:r>
      <w:hyperlink r:id="rId14" w:anchor="p-63.802(b)(1)" w:history="1">
        <w:r w:rsidR="0004717F" w:rsidRPr="001160A2">
          <w:rPr>
            <w:rFonts w:ascii="Arial" w:hAnsi="Arial" w:cs="Arial"/>
            <w:sz w:val="20"/>
            <w:szCs w:val="20"/>
          </w:rPr>
          <w:t>(b)(1)</w:t>
        </w:r>
      </w:hyperlink>
      <w:r w:rsidR="0004717F" w:rsidRPr="001160A2">
        <w:rPr>
          <w:rFonts w:ascii="Arial" w:hAnsi="Arial" w:cs="Arial"/>
          <w:sz w:val="20"/>
          <w:szCs w:val="20"/>
        </w:rPr>
        <w:t xml:space="preserve"> that comply through the procedures established in </w:t>
      </w:r>
      <w:r w:rsidR="00BB05BE" w:rsidRPr="001160A2">
        <w:rPr>
          <w:rFonts w:ascii="Arial" w:hAnsi="Arial" w:cs="Arial"/>
          <w:sz w:val="20"/>
          <w:szCs w:val="20"/>
        </w:rPr>
        <w:t xml:space="preserve">40 CFR </w:t>
      </w:r>
      <w:hyperlink r:id="rId15" w:anchor="p-63.804(a)(1)" w:history="1">
        <w:r w:rsidR="0004717F" w:rsidRPr="001160A2">
          <w:rPr>
            <w:rFonts w:ascii="Arial" w:hAnsi="Arial" w:cs="Arial"/>
            <w:sz w:val="20"/>
            <w:szCs w:val="20"/>
          </w:rPr>
          <w:t>63.804 (a)(1)</w:t>
        </w:r>
      </w:hyperlink>
      <w:r w:rsidR="0004717F" w:rsidRPr="001160A2">
        <w:rPr>
          <w:rFonts w:ascii="Arial" w:hAnsi="Arial" w:cs="Arial"/>
          <w:sz w:val="20"/>
          <w:szCs w:val="20"/>
        </w:rPr>
        <w:t xml:space="preserve"> or </w:t>
      </w:r>
      <w:hyperlink r:id="rId16" w:anchor="p-63.804(d)(1)" w:history="1">
        <w:r w:rsidR="0004717F" w:rsidRPr="001160A2">
          <w:rPr>
            <w:rFonts w:ascii="Arial" w:hAnsi="Arial" w:cs="Arial"/>
            <w:sz w:val="20"/>
            <w:szCs w:val="20"/>
          </w:rPr>
          <w:t>(d)(1)</w:t>
        </w:r>
      </w:hyperlink>
      <w:r w:rsidR="0004717F" w:rsidRPr="001160A2">
        <w:rPr>
          <w:rFonts w:ascii="Arial" w:hAnsi="Arial" w:cs="Arial"/>
          <w:sz w:val="20"/>
          <w:szCs w:val="20"/>
        </w:rPr>
        <w:t xml:space="preserve"> shall demonstrate continuous compliance by submitting the results of the averaging calculation (</w:t>
      </w:r>
      <w:r w:rsidR="00BB05BE" w:rsidRPr="001160A2">
        <w:rPr>
          <w:rFonts w:ascii="Arial" w:hAnsi="Arial" w:cs="Arial"/>
          <w:sz w:val="20"/>
          <w:szCs w:val="20"/>
        </w:rPr>
        <w:t xml:space="preserve">Appendix 7, </w:t>
      </w:r>
      <w:r w:rsidR="0004717F" w:rsidRPr="001160A2">
        <w:rPr>
          <w:rFonts w:ascii="Arial" w:hAnsi="Arial" w:cs="Arial"/>
          <w:sz w:val="20"/>
          <w:szCs w:val="20"/>
        </w:rPr>
        <w:t xml:space="preserve">Equation 1) for each month within that semiannual period and submitting a compliance certification with the semiannual report required by </w:t>
      </w:r>
      <w:hyperlink r:id="rId17" w:anchor="p-63.807(c)" w:history="1">
        <w:r w:rsidR="00BB05BE" w:rsidRPr="001160A2">
          <w:rPr>
            <w:rFonts w:ascii="Arial" w:hAnsi="Arial" w:cs="Arial"/>
            <w:sz w:val="20"/>
            <w:szCs w:val="20"/>
          </w:rPr>
          <w:t xml:space="preserve">40 CFR </w:t>
        </w:r>
        <w:r w:rsidR="0004717F" w:rsidRPr="001160A2">
          <w:rPr>
            <w:rFonts w:ascii="Arial" w:hAnsi="Arial" w:cs="Arial"/>
            <w:sz w:val="20"/>
            <w:szCs w:val="20"/>
          </w:rPr>
          <w:t>63.807(c)</w:t>
        </w:r>
      </w:hyperlink>
      <w:r w:rsidR="0004717F" w:rsidRPr="001160A2">
        <w:rPr>
          <w:rFonts w:ascii="Arial" w:hAnsi="Arial" w:cs="Arial"/>
          <w:sz w:val="20"/>
          <w:szCs w:val="20"/>
        </w:rPr>
        <w:t>.</w:t>
      </w:r>
      <w:r w:rsidR="0022460F" w:rsidRPr="001160A2">
        <w:rPr>
          <w:rFonts w:ascii="Arial" w:hAnsi="Arial" w:cs="Arial"/>
          <w:sz w:val="20"/>
          <w:szCs w:val="20"/>
        </w:rPr>
        <w:t xml:space="preserve"> </w:t>
      </w:r>
      <w:r w:rsidR="0004717F" w:rsidRPr="001160A2">
        <w:rPr>
          <w:rFonts w:ascii="Arial" w:hAnsi="Arial" w:cs="Arial"/>
          <w:sz w:val="20"/>
          <w:szCs w:val="20"/>
        </w:rPr>
        <w:t xml:space="preserve"> </w:t>
      </w:r>
      <w:r w:rsidR="00487FAB" w:rsidRPr="001160A2">
        <w:rPr>
          <w:rFonts w:ascii="Arial" w:hAnsi="Arial" w:cs="Arial"/>
          <w:b/>
          <w:bCs/>
          <w:sz w:val="20"/>
          <w:szCs w:val="20"/>
        </w:rPr>
        <w:t>(40 CFR 63.804(g)(1))</w:t>
      </w:r>
    </w:p>
    <w:p w14:paraId="7BD3523D" w14:textId="11C2351D" w:rsidR="0004717F" w:rsidRPr="001160A2" w:rsidRDefault="0004717F" w:rsidP="006255D5">
      <w:pPr>
        <w:pStyle w:val="indent-3"/>
        <w:numPr>
          <w:ilvl w:val="1"/>
          <w:numId w:val="39"/>
        </w:numPr>
        <w:jc w:val="both"/>
        <w:rPr>
          <w:rFonts w:ascii="Arial" w:hAnsi="Arial" w:cs="Arial"/>
          <w:sz w:val="20"/>
          <w:szCs w:val="20"/>
        </w:rPr>
      </w:pPr>
      <w:r w:rsidRPr="001160A2">
        <w:rPr>
          <w:rFonts w:ascii="Arial" w:hAnsi="Arial" w:cs="Arial"/>
          <w:sz w:val="20"/>
          <w:szCs w:val="20"/>
        </w:rPr>
        <w:t xml:space="preserve">The compliance certification shall state that the value of (E), as calculated by Equation 1, is no greater than 1.0 for existing sources or 0.8 for new sources. </w:t>
      </w:r>
      <w:r w:rsidR="00917CE7" w:rsidRPr="001160A2">
        <w:rPr>
          <w:rFonts w:ascii="Arial" w:hAnsi="Arial" w:cs="Arial"/>
          <w:sz w:val="20"/>
          <w:szCs w:val="20"/>
        </w:rPr>
        <w:t xml:space="preserve">The </w:t>
      </w:r>
      <w:r w:rsidR="00A33069" w:rsidRPr="001160A2">
        <w:rPr>
          <w:rFonts w:ascii="Arial" w:hAnsi="Arial" w:cs="Arial"/>
          <w:sz w:val="20"/>
          <w:szCs w:val="20"/>
        </w:rPr>
        <w:t>affected source</w:t>
      </w:r>
      <w:r w:rsidR="00917CE7" w:rsidRPr="001160A2">
        <w:rPr>
          <w:rFonts w:ascii="Arial" w:hAnsi="Arial" w:cs="Arial"/>
          <w:sz w:val="20"/>
          <w:szCs w:val="20"/>
        </w:rPr>
        <w:t xml:space="preserve"> </w:t>
      </w:r>
      <w:r w:rsidRPr="001160A2">
        <w:rPr>
          <w:rFonts w:ascii="Arial" w:hAnsi="Arial" w:cs="Arial"/>
          <w:sz w:val="20"/>
          <w:szCs w:val="20"/>
        </w:rPr>
        <w:t xml:space="preserve">is in violation of the standard if E is greater than 1.0 for existing sources or 0.8 for new sources for any month. A violation of the monthly average is a separate violation of the standard for each day of operation during the month, unless the affected source can demonstrate through records that the violation of the monthly average can be attributed to a particular day or days during the period. </w:t>
      </w:r>
    </w:p>
    <w:p w14:paraId="7506E944" w14:textId="310629AD" w:rsidR="0004717F" w:rsidRPr="001160A2" w:rsidRDefault="0004717F" w:rsidP="006255D5">
      <w:pPr>
        <w:pStyle w:val="indent-3"/>
        <w:numPr>
          <w:ilvl w:val="1"/>
          <w:numId w:val="39"/>
        </w:numPr>
        <w:jc w:val="both"/>
        <w:rPr>
          <w:rFonts w:ascii="Arial" w:hAnsi="Arial" w:cs="Arial"/>
          <w:sz w:val="20"/>
          <w:szCs w:val="20"/>
        </w:rPr>
      </w:pPr>
      <w:r w:rsidRPr="001160A2">
        <w:rPr>
          <w:rFonts w:ascii="Arial" w:hAnsi="Arial" w:cs="Arial"/>
          <w:sz w:val="20"/>
          <w:szCs w:val="20"/>
        </w:rPr>
        <w:t xml:space="preserve">The compliance certification shall be signed by a responsible official of the company that owns or operates the affected source. </w:t>
      </w:r>
    </w:p>
    <w:p w14:paraId="252FC054" w14:textId="0A96295E" w:rsidR="0004717F" w:rsidRPr="007711D4" w:rsidRDefault="00AE26CD" w:rsidP="006255D5">
      <w:pPr>
        <w:pStyle w:val="indent-2"/>
        <w:numPr>
          <w:ilvl w:val="0"/>
          <w:numId w:val="39"/>
        </w:numPr>
        <w:jc w:val="both"/>
        <w:rPr>
          <w:rFonts w:ascii="Arial" w:hAnsi="Arial" w:cs="Arial"/>
          <w:sz w:val="20"/>
          <w:szCs w:val="20"/>
        </w:rPr>
      </w:pPr>
      <w:r w:rsidRPr="007711D4">
        <w:rPr>
          <w:rStyle w:val="paren"/>
          <w:rFonts w:ascii="Arial" w:hAnsi="Arial" w:cs="Arial"/>
          <w:sz w:val="20"/>
          <w:szCs w:val="20"/>
        </w:rPr>
        <w:t xml:space="preserve">The permittee </w:t>
      </w:r>
      <w:r w:rsidR="0004717F" w:rsidRPr="007711D4">
        <w:rPr>
          <w:rFonts w:ascii="Arial" w:hAnsi="Arial" w:cs="Arial"/>
          <w:sz w:val="20"/>
          <w:szCs w:val="20"/>
        </w:rPr>
        <w:t>subject to the provisions of</w:t>
      </w:r>
      <w:r w:rsidR="00114286" w:rsidRPr="007711D4">
        <w:rPr>
          <w:rFonts w:ascii="Arial" w:hAnsi="Arial" w:cs="Arial"/>
          <w:sz w:val="20"/>
          <w:szCs w:val="20"/>
        </w:rPr>
        <w:t xml:space="preserve"> </w:t>
      </w:r>
      <w:r w:rsidR="00114286" w:rsidRPr="001160A2">
        <w:rPr>
          <w:rFonts w:ascii="Arial" w:hAnsi="Arial" w:cs="Arial"/>
          <w:sz w:val="20"/>
          <w:szCs w:val="20"/>
        </w:rPr>
        <w:t>40 CFR</w:t>
      </w:r>
      <w:hyperlink r:id="rId18" w:anchor="p-63.802(a)(1)" w:history="1">
        <w:r w:rsidR="00114286" w:rsidRPr="001160A2">
          <w:rPr>
            <w:rFonts w:ascii="Arial" w:hAnsi="Arial" w:cs="Arial"/>
            <w:sz w:val="20"/>
            <w:szCs w:val="20"/>
          </w:rPr>
          <w:t xml:space="preserve"> </w:t>
        </w:r>
        <w:r w:rsidR="0004717F" w:rsidRPr="001160A2">
          <w:rPr>
            <w:rFonts w:ascii="Arial" w:hAnsi="Arial" w:cs="Arial"/>
            <w:sz w:val="20"/>
            <w:szCs w:val="20"/>
          </w:rPr>
          <w:t>63.802 (a)(1)</w:t>
        </w:r>
      </w:hyperlink>
      <w:r w:rsidR="0004717F" w:rsidRPr="001160A2">
        <w:rPr>
          <w:rFonts w:ascii="Arial" w:hAnsi="Arial" w:cs="Arial"/>
          <w:sz w:val="20"/>
          <w:szCs w:val="20"/>
        </w:rPr>
        <w:t xml:space="preserve"> or </w:t>
      </w:r>
      <w:hyperlink r:id="rId19" w:anchor="p-63.802(b)(1)" w:history="1">
        <w:r w:rsidR="0004717F" w:rsidRPr="001160A2">
          <w:rPr>
            <w:rFonts w:ascii="Arial" w:hAnsi="Arial" w:cs="Arial"/>
            <w:sz w:val="20"/>
            <w:szCs w:val="20"/>
          </w:rPr>
          <w:t>(b)(1)</w:t>
        </w:r>
      </w:hyperlink>
      <w:r w:rsidR="0004717F" w:rsidRPr="001160A2">
        <w:rPr>
          <w:rFonts w:ascii="Arial" w:hAnsi="Arial" w:cs="Arial"/>
          <w:sz w:val="20"/>
          <w:szCs w:val="20"/>
        </w:rPr>
        <w:t xml:space="preserve"> that comply through the procedures established in </w:t>
      </w:r>
      <w:r w:rsidR="00114286" w:rsidRPr="001160A2">
        <w:rPr>
          <w:rFonts w:ascii="Arial" w:hAnsi="Arial" w:cs="Arial"/>
          <w:sz w:val="20"/>
          <w:szCs w:val="20"/>
        </w:rPr>
        <w:t xml:space="preserve">40 CFR </w:t>
      </w:r>
      <w:hyperlink r:id="rId20" w:anchor="p-63.804(a)(2)" w:history="1">
        <w:r w:rsidR="0004717F" w:rsidRPr="001160A2">
          <w:rPr>
            <w:rFonts w:ascii="Arial" w:hAnsi="Arial" w:cs="Arial"/>
            <w:sz w:val="20"/>
            <w:szCs w:val="20"/>
          </w:rPr>
          <w:t>63.804 (a)(2)</w:t>
        </w:r>
      </w:hyperlink>
      <w:r w:rsidR="0004717F" w:rsidRPr="001160A2">
        <w:rPr>
          <w:rFonts w:ascii="Arial" w:hAnsi="Arial" w:cs="Arial"/>
          <w:sz w:val="20"/>
          <w:szCs w:val="20"/>
        </w:rPr>
        <w:t xml:space="preserve"> or </w:t>
      </w:r>
      <w:hyperlink r:id="rId21" w:anchor="p-63.804(d)(2)" w:history="1">
        <w:r w:rsidR="0004717F" w:rsidRPr="001160A2">
          <w:rPr>
            <w:rFonts w:ascii="Arial" w:hAnsi="Arial" w:cs="Arial"/>
            <w:sz w:val="20"/>
            <w:szCs w:val="20"/>
          </w:rPr>
          <w:t>(d)(2)</w:t>
        </w:r>
      </w:hyperlink>
      <w:r w:rsidR="0004717F" w:rsidRPr="001160A2">
        <w:rPr>
          <w:rFonts w:ascii="Arial" w:hAnsi="Arial" w:cs="Arial"/>
          <w:sz w:val="20"/>
          <w:szCs w:val="20"/>
        </w:rPr>
        <w:t xml:space="preserve"> shall demonstrate continuous compliance by using compliant coatings and thinners, maintaining records that demonstrate the coatings and thinners are compliant, and submitting a compliance certification with the semiannual report required by </w:t>
      </w:r>
      <w:hyperlink r:id="rId22" w:anchor="p-63.807(c)" w:history="1">
        <w:r w:rsidR="00DA5200" w:rsidRPr="001160A2">
          <w:rPr>
            <w:rFonts w:ascii="Arial" w:hAnsi="Arial" w:cs="Arial"/>
            <w:sz w:val="20"/>
            <w:szCs w:val="20"/>
          </w:rPr>
          <w:t xml:space="preserve">40 CFR </w:t>
        </w:r>
        <w:r w:rsidR="0004717F" w:rsidRPr="001160A2">
          <w:rPr>
            <w:rFonts w:ascii="Arial" w:hAnsi="Arial" w:cs="Arial"/>
            <w:sz w:val="20"/>
            <w:szCs w:val="20"/>
          </w:rPr>
          <w:t>63.807(c)</w:t>
        </w:r>
      </w:hyperlink>
      <w:r w:rsidR="0004717F" w:rsidRPr="001160A2">
        <w:rPr>
          <w:rFonts w:ascii="Arial" w:hAnsi="Arial" w:cs="Arial"/>
          <w:sz w:val="20"/>
          <w:szCs w:val="20"/>
        </w:rPr>
        <w:t>.</w:t>
      </w:r>
      <w:r w:rsidR="0004717F" w:rsidRPr="007711D4">
        <w:rPr>
          <w:rFonts w:ascii="Arial" w:hAnsi="Arial" w:cs="Arial"/>
          <w:sz w:val="20"/>
          <w:szCs w:val="20"/>
        </w:rPr>
        <w:t xml:space="preserve"> </w:t>
      </w:r>
      <w:r w:rsidR="0022460F">
        <w:rPr>
          <w:rFonts w:ascii="Arial" w:hAnsi="Arial" w:cs="Arial"/>
          <w:sz w:val="20"/>
          <w:szCs w:val="20"/>
        </w:rPr>
        <w:t xml:space="preserve"> </w:t>
      </w:r>
      <w:r w:rsidR="00487FAB" w:rsidRPr="007711D4">
        <w:rPr>
          <w:rFonts w:ascii="Arial" w:hAnsi="Arial" w:cs="Arial"/>
          <w:b/>
          <w:bCs/>
          <w:sz w:val="20"/>
          <w:szCs w:val="20"/>
        </w:rPr>
        <w:t>(40 CFR 63.804(g)(2))</w:t>
      </w:r>
    </w:p>
    <w:p w14:paraId="33F21C46" w14:textId="60EB0837" w:rsidR="0004717F" w:rsidRPr="0022460F" w:rsidRDefault="0004717F" w:rsidP="006255D5">
      <w:pPr>
        <w:pStyle w:val="indent-3"/>
        <w:numPr>
          <w:ilvl w:val="1"/>
          <w:numId w:val="39"/>
        </w:numPr>
        <w:jc w:val="both"/>
        <w:rPr>
          <w:rFonts w:ascii="Arial" w:hAnsi="Arial" w:cs="Arial"/>
          <w:sz w:val="20"/>
          <w:szCs w:val="20"/>
        </w:rPr>
      </w:pPr>
      <w:r w:rsidRPr="0022460F">
        <w:rPr>
          <w:rFonts w:ascii="Arial" w:hAnsi="Arial" w:cs="Arial"/>
          <w:sz w:val="20"/>
          <w:szCs w:val="20"/>
        </w:rPr>
        <w:t xml:space="preserve">The compliance certification shall state that compliant stains, washcoats, sealers, topcoats, basecoats, enamels, and thinners, as applicable, have been used each day in the semiannual reporting period or should otherwise identify the periods of noncompliance and the reasons for noncompliance. An affected source is in violation of the standard whenever a noncompliant coating, as demonstrated by records or by a sample of the coating, is used. </w:t>
      </w:r>
    </w:p>
    <w:p w14:paraId="6A338763" w14:textId="24282DD3" w:rsidR="0004717F" w:rsidRPr="0022460F" w:rsidRDefault="0004717F" w:rsidP="006255D5">
      <w:pPr>
        <w:pStyle w:val="indent-3"/>
        <w:numPr>
          <w:ilvl w:val="1"/>
          <w:numId w:val="39"/>
        </w:numPr>
        <w:jc w:val="both"/>
        <w:rPr>
          <w:rFonts w:ascii="Arial" w:hAnsi="Arial" w:cs="Arial"/>
          <w:sz w:val="20"/>
          <w:szCs w:val="20"/>
        </w:rPr>
      </w:pPr>
      <w:r w:rsidRPr="0022460F">
        <w:rPr>
          <w:rFonts w:ascii="Arial" w:hAnsi="Arial" w:cs="Arial"/>
          <w:sz w:val="20"/>
          <w:szCs w:val="20"/>
        </w:rPr>
        <w:lastRenderedPageBreak/>
        <w:t xml:space="preserve">The compliance certification shall be signed by a responsible official of the company that owns or operates the affected source. </w:t>
      </w:r>
    </w:p>
    <w:p w14:paraId="55DDD8A0" w14:textId="077A4181" w:rsidR="0004717F" w:rsidRPr="0022460F" w:rsidRDefault="00855D88" w:rsidP="006255D5">
      <w:pPr>
        <w:pStyle w:val="indent-2"/>
        <w:numPr>
          <w:ilvl w:val="0"/>
          <w:numId w:val="39"/>
        </w:numPr>
        <w:jc w:val="both"/>
        <w:rPr>
          <w:rFonts w:ascii="Arial" w:hAnsi="Arial" w:cs="Arial"/>
          <w:sz w:val="20"/>
          <w:szCs w:val="20"/>
        </w:rPr>
      </w:pPr>
      <w:r w:rsidRPr="0022460F">
        <w:rPr>
          <w:rStyle w:val="paren"/>
          <w:rFonts w:ascii="Arial" w:hAnsi="Arial" w:cs="Arial"/>
          <w:sz w:val="20"/>
          <w:szCs w:val="20"/>
        </w:rPr>
        <w:t xml:space="preserve">The </w:t>
      </w:r>
      <w:r w:rsidR="00DD7E5B">
        <w:rPr>
          <w:rStyle w:val="paren"/>
          <w:rFonts w:ascii="Arial" w:hAnsi="Arial" w:cs="Arial"/>
          <w:sz w:val="20"/>
          <w:szCs w:val="20"/>
        </w:rPr>
        <w:t>p</w:t>
      </w:r>
      <w:r w:rsidRPr="0022460F">
        <w:rPr>
          <w:rStyle w:val="paren"/>
          <w:rFonts w:ascii="Arial" w:hAnsi="Arial" w:cs="Arial"/>
          <w:sz w:val="20"/>
          <w:szCs w:val="20"/>
        </w:rPr>
        <w:t xml:space="preserve">ermittee </w:t>
      </w:r>
      <w:r w:rsidR="0004717F" w:rsidRPr="001160A2">
        <w:rPr>
          <w:rFonts w:ascii="Arial" w:hAnsi="Arial" w:cs="Arial"/>
          <w:sz w:val="20"/>
          <w:szCs w:val="20"/>
        </w:rPr>
        <w:t xml:space="preserve">subject to the provisions of </w:t>
      </w:r>
      <w:r w:rsidR="0012075B" w:rsidRPr="001160A2">
        <w:rPr>
          <w:rFonts w:ascii="Arial" w:hAnsi="Arial" w:cs="Arial"/>
          <w:sz w:val="20"/>
          <w:szCs w:val="20"/>
        </w:rPr>
        <w:t xml:space="preserve">40 CFR </w:t>
      </w:r>
      <w:r w:rsidR="00296F45" w:rsidRPr="001160A2">
        <w:rPr>
          <w:rFonts w:ascii="Arial" w:hAnsi="Arial" w:cs="Arial"/>
          <w:sz w:val="20"/>
          <w:szCs w:val="20"/>
        </w:rPr>
        <w:t>63.802 (a)(1)</w:t>
      </w:r>
      <w:r w:rsidR="0004717F" w:rsidRPr="001160A2">
        <w:rPr>
          <w:rFonts w:ascii="Arial" w:hAnsi="Arial" w:cs="Arial"/>
          <w:sz w:val="20"/>
          <w:szCs w:val="20"/>
        </w:rPr>
        <w:t xml:space="preserve"> or </w:t>
      </w:r>
      <w:hyperlink r:id="rId23" w:anchor="p-63.802(b)(1)" w:history="1">
        <w:r w:rsidR="0004717F" w:rsidRPr="001160A2">
          <w:rPr>
            <w:rFonts w:ascii="Arial" w:hAnsi="Arial" w:cs="Arial"/>
            <w:sz w:val="20"/>
            <w:szCs w:val="20"/>
          </w:rPr>
          <w:t>(b)(1)</w:t>
        </w:r>
      </w:hyperlink>
      <w:r w:rsidR="0004717F" w:rsidRPr="001160A2">
        <w:rPr>
          <w:rFonts w:ascii="Arial" w:hAnsi="Arial" w:cs="Arial"/>
          <w:sz w:val="20"/>
          <w:szCs w:val="20"/>
        </w:rPr>
        <w:t xml:space="preserve"> that are complying through the procedures established in </w:t>
      </w:r>
      <w:hyperlink r:id="rId24" w:anchor="p-63.804(a)(2)" w:history="1">
        <w:r w:rsidR="0012075B" w:rsidRPr="001160A2">
          <w:rPr>
            <w:rFonts w:ascii="Arial" w:hAnsi="Arial" w:cs="Arial"/>
            <w:sz w:val="20"/>
            <w:szCs w:val="20"/>
          </w:rPr>
          <w:t xml:space="preserve">40 CFR </w:t>
        </w:r>
        <w:r w:rsidR="0004717F" w:rsidRPr="001160A2">
          <w:rPr>
            <w:rFonts w:ascii="Arial" w:hAnsi="Arial" w:cs="Arial"/>
            <w:sz w:val="20"/>
            <w:szCs w:val="20"/>
          </w:rPr>
          <w:t>63.804 (a)(2)</w:t>
        </w:r>
      </w:hyperlink>
      <w:r w:rsidR="0004717F" w:rsidRPr="001160A2">
        <w:rPr>
          <w:rFonts w:ascii="Arial" w:hAnsi="Arial" w:cs="Arial"/>
          <w:sz w:val="20"/>
          <w:szCs w:val="20"/>
        </w:rPr>
        <w:t xml:space="preserve"> or </w:t>
      </w:r>
      <w:hyperlink r:id="rId25" w:anchor="p-63.804(d)(2)" w:history="1">
        <w:r w:rsidR="0004717F" w:rsidRPr="001160A2">
          <w:rPr>
            <w:rFonts w:ascii="Arial" w:hAnsi="Arial" w:cs="Arial"/>
            <w:sz w:val="20"/>
            <w:szCs w:val="20"/>
          </w:rPr>
          <w:t>(d)(2)</w:t>
        </w:r>
      </w:hyperlink>
      <w:r w:rsidR="0004717F" w:rsidRPr="001160A2">
        <w:rPr>
          <w:rFonts w:ascii="Arial" w:hAnsi="Arial" w:cs="Arial"/>
          <w:sz w:val="20"/>
          <w:szCs w:val="20"/>
        </w:rPr>
        <w:t xml:space="preserve"> and are applying coatings using continuous coaters shall demonstrate continuous compliance by following the procedures in </w:t>
      </w:r>
      <w:hyperlink r:id="rId26" w:anchor="p-63.804(g)(3)(i)" w:history="1">
        <w:r w:rsidR="00392551" w:rsidRPr="001160A2">
          <w:rPr>
            <w:rFonts w:ascii="Arial" w:hAnsi="Arial" w:cs="Arial"/>
            <w:sz w:val="20"/>
            <w:szCs w:val="20"/>
          </w:rPr>
          <w:t>40 CFR 63</w:t>
        </w:r>
        <w:r w:rsidR="0004717F" w:rsidRPr="001160A2">
          <w:rPr>
            <w:rFonts w:ascii="Arial" w:hAnsi="Arial" w:cs="Arial"/>
            <w:sz w:val="20"/>
            <w:szCs w:val="20"/>
          </w:rPr>
          <w:t>(g)(3) (i)</w:t>
        </w:r>
      </w:hyperlink>
      <w:r w:rsidR="0004717F" w:rsidRPr="001160A2">
        <w:rPr>
          <w:rFonts w:ascii="Arial" w:hAnsi="Arial" w:cs="Arial"/>
          <w:sz w:val="20"/>
          <w:szCs w:val="20"/>
        </w:rPr>
        <w:t xml:space="preserve"> or </w:t>
      </w:r>
      <w:hyperlink r:id="rId27" w:anchor="p-63.804(g)(3)(ii)" w:history="1">
        <w:r w:rsidR="0004717F" w:rsidRPr="001160A2">
          <w:rPr>
            <w:rFonts w:ascii="Arial" w:hAnsi="Arial" w:cs="Arial"/>
            <w:sz w:val="20"/>
            <w:szCs w:val="20"/>
          </w:rPr>
          <w:t>(ii)</w:t>
        </w:r>
      </w:hyperlink>
      <w:r w:rsidR="003042BE" w:rsidRPr="001160A2">
        <w:rPr>
          <w:rFonts w:ascii="Arial" w:hAnsi="Arial" w:cs="Arial"/>
          <w:sz w:val="20"/>
          <w:szCs w:val="20"/>
        </w:rPr>
        <w:t xml:space="preserve"> (below)</w:t>
      </w:r>
      <w:r w:rsidR="00C73353" w:rsidRPr="001160A2">
        <w:rPr>
          <w:rFonts w:ascii="Arial" w:hAnsi="Arial" w:cs="Arial"/>
          <w:sz w:val="20"/>
          <w:szCs w:val="20"/>
        </w:rPr>
        <w:t>.</w:t>
      </w:r>
      <w:r w:rsidR="00C73353" w:rsidRPr="0022460F">
        <w:rPr>
          <w:rFonts w:ascii="Arial" w:hAnsi="Arial" w:cs="Arial"/>
          <w:sz w:val="20"/>
          <w:szCs w:val="20"/>
        </w:rPr>
        <w:t xml:space="preserve"> </w:t>
      </w:r>
      <w:r w:rsidR="0004717F" w:rsidRPr="0022460F">
        <w:rPr>
          <w:rFonts w:ascii="Arial" w:hAnsi="Arial" w:cs="Arial"/>
          <w:sz w:val="20"/>
          <w:szCs w:val="20"/>
        </w:rPr>
        <w:t xml:space="preserve"> </w:t>
      </w:r>
      <w:r w:rsidR="003042BE" w:rsidRPr="0022460F">
        <w:rPr>
          <w:rFonts w:ascii="Arial" w:hAnsi="Arial" w:cs="Arial"/>
          <w:b/>
          <w:bCs/>
          <w:sz w:val="20"/>
          <w:szCs w:val="20"/>
        </w:rPr>
        <w:t>(40</w:t>
      </w:r>
      <w:r w:rsidR="0022460F">
        <w:rPr>
          <w:rFonts w:ascii="Arial" w:hAnsi="Arial" w:cs="Arial"/>
          <w:b/>
          <w:bCs/>
          <w:sz w:val="20"/>
          <w:szCs w:val="20"/>
        </w:rPr>
        <w:t> </w:t>
      </w:r>
      <w:r w:rsidR="003042BE" w:rsidRPr="0022460F">
        <w:rPr>
          <w:rFonts w:ascii="Arial" w:hAnsi="Arial" w:cs="Arial"/>
          <w:b/>
          <w:bCs/>
          <w:sz w:val="20"/>
          <w:szCs w:val="20"/>
        </w:rPr>
        <w:t>CFR 63.804(g)(3))</w:t>
      </w:r>
    </w:p>
    <w:p w14:paraId="3ACC4F09" w14:textId="155B1F72" w:rsidR="0004717F" w:rsidRPr="001160A2" w:rsidRDefault="0004717F" w:rsidP="006255D5">
      <w:pPr>
        <w:pStyle w:val="indent-3"/>
        <w:numPr>
          <w:ilvl w:val="1"/>
          <w:numId w:val="39"/>
        </w:numPr>
        <w:jc w:val="both"/>
        <w:rPr>
          <w:rFonts w:ascii="Arial" w:hAnsi="Arial" w:cs="Arial"/>
          <w:sz w:val="20"/>
          <w:szCs w:val="20"/>
        </w:rPr>
      </w:pPr>
      <w:r w:rsidRPr="0022460F">
        <w:rPr>
          <w:rFonts w:ascii="Arial" w:hAnsi="Arial" w:cs="Arial"/>
          <w:sz w:val="20"/>
          <w:szCs w:val="20"/>
        </w:rPr>
        <w:t xml:space="preserve">Using compliant coatings, as determined by the VHAP content of the coating in the reservoir and the VHAP content as calculated from records, using compliant thinners, and submitting a compliance certification with the semiannual report required </w:t>
      </w:r>
      <w:r w:rsidRPr="001160A2">
        <w:rPr>
          <w:rFonts w:ascii="Arial" w:hAnsi="Arial" w:cs="Arial"/>
          <w:sz w:val="20"/>
          <w:szCs w:val="20"/>
        </w:rPr>
        <w:t xml:space="preserve">by </w:t>
      </w:r>
      <w:hyperlink r:id="rId28" w:anchor="p-63.807(c)" w:history="1">
        <w:r w:rsidR="00487FAB" w:rsidRPr="001160A2">
          <w:rPr>
            <w:rFonts w:ascii="Arial" w:hAnsi="Arial" w:cs="Arial"/>
            <w:sz w:val="20"/>
            <w:szCs w:val="20"/>
          </w:rPr>
          <w:t>40 CFR</w:t>
        </w:r>
        <w:r w:rsidRPr="001160A2">
          <w:rPr>
            <w:rFonts w:ascii="Arial" w:hAnsi="Arial" w:cs="Arial"/>
            <w:sz w:val="20"/>
            <w:szCs w:val="20"/>
          </w:rPr>
          <w:t>63.807(c)</w:t>
        </w:r>
      </w:hyperlink>
      <w:r w:rsidRPr="001160A2">
        <w:rPr>
          <w:rFonts w:ascii="Arial" w:hAnsi="Arial" w:cs="Arial"/>
          <w:sz w:val="20"/>
          <w:szCs w:val="20"/>
        </w:rPr>
        <w:t xml:space="preserve">. </w:t>
      </w:r>
    </w:p>
    <w:p w14:paraId="4B00EF19" w14:textId="16DF4A87" w:rsidR="0004717F" w:rsidRPr="0022460F" w:rsidRDefault="0004717F" w:rsidP="006255D5">
      <w:pPr>
        <w:pStyle w:val="indent-4"/>
        <w:numPr>
          <w:ilvl w:val="2"/>
          <w:numId w:val="39"/>
        </w:numPr>
        <w:jc w:val="both"/>
        <w:rPr>
          <w:rFonts w:ascii="Arial" w:hAnsi="Arial" w:cs="Arial"/>
          <w:sz w:val="20"/>
          <w:szCs w:val="20"/>
        </w:rPr>
      </w:pPr>
      <w:r w:rsidRPr="0022460F">
        <w:rPr>
          <w:rFonts w:ascii="Arial" w:hAnsi="Arial" w:cs="Arial"/>
          <w:sz w:val="20"/>
          <w:szCs w:val="20"/>
        </w:rPr>
        <w:t xml:space="preserve">The compliance certification shall state that compliant coatings have been used each day in the semiannual reporting </w:t>
      </w:r>
      <w:r w:rsidR="0022460F" w:rsidRPr="0022460F">
        <w:rPr>
          <w:rFonts w:ascii="Arial" w:hAnsi="Arial" w:cs="Arial"/>
          <w:sz w:val="20"/>
          <w:szCs w:val="20"/>
        </w:rPr>
        <w:t>period or</w:t>
      </w:r>
      <w:r w:rsidRPr="0022460F">
        <w:rPr>
          <w:rFonts w:ascii="Arial" w:hAnsi="Arial" w:cs="Arial"/>
          <w:sz w:val="20"/>
          <w:szCs w:val="20"/>
        </w:rPr>
        <w:t xml:space="preserve"> should otherwise identify the days of noncompliance and the reasons for noncompliance. An affected source is in violation of the standard whenever a noncompliant coating, as determined by records or by a sample of the coating, is used. Use of a noncompliant coating is a separate violation for each day the noncompliant coating is used. </w:t>
      </w:r>
    </w:p>
    <w:p w14:paraId="7DE18252" w14:textId="2601BE4F" w:rsidR="0004717F" w:rsidRPr="0022460F" w:rsidRDefault="0004717F" w:rsidP="006255D5">
      <w:pPr>
        <w:pStyle w:val="indent-4"/>
        <w:numPr>
          <w:ilvl w:val="2"/>
          <w:numId w:val="39"/>
        </w:numPr>
        <w:jc w:val="both"/>
        <w:rPr>
          <w:rFonts w:ascii="Arial" w:hAnsi="Arial" w:cs="Arial"/>
          <w:sz w:val="20"/>
          <w:szCs w:val="20"/>
        </w:rPr>
      </w:pPr>
      <w:r w:rsidRPr="0022460F">
        <w:rPr>
          <w:rFonts w:ascii="Arial" w:hAnsi="Arial" w:cs="Arial"/>
          <w:sz w:val="20"/>
          <w:szCs w:val="20"/>
        </w:rPr>
        <w:t xml:space="preserve">The compliance certification shall be signed by a responsible official of the company that owns or operates the affected source. </w:t>
      </w:r>
    </w:p>
    <w:p w14:paraId="4F5187BD" w14:textId="44C36FA0" w:rsidR="0004717F" w:rsidRPr="001160A2" w:rsidRDefault="0004717F" w:rsidP="006255D5">
      <w:pPr>
        <w:pStyle w:val="indent-3"/>
        <w:numPr>
          <w:ilvl w:val="1"/>
          <w:numId w:val="39"/>
        </w:numPr>
        <w:jc w:val="both"/>
        <w:rPr>
          <w:rFonts w:ascii="Arial" w:hAnsi="Arial" w:cs="Arial"/>
          <w:sz w:val="20"/>
          <w:szCs w:val="20"/>
        </w:rPr>
      </w:pPr>
      <w:r w:rsidRPr="0022460F">
        <w:rPr>
          <w:rFonts w:ascii="Arial" w:hAnsi="Arial" w:cs="Arial"/>
          <w:sz w:val="20"/>
          <w:szCs w:val="20"/>
        </w:rPr>
        <w:t xml:space="preserve">Using compliant coatings, as determined by the VHAP content of the coating in the reservoir, using compliant thinners, maintaining a viscosity of the coating in the reservoir that is no less than the viscosity of the initial coating by monitoring the viscosity with a viscosity meter or by testing the viscosity of the initial coating and retesting the coating in the reservoir each time solvent is added, maintaining records of solvent additions, and submitting a compliance certification with the semiannual report required </w:t>
      </w:r>
      <w:r w:rsidRPr="001160A2">
        <w:rPr>
          <w:rFonts w:ascii="Arial" w:hAnsi="Arial" w:cs="Arial"/>
          <w:sz w:val="20"/>
          <w:szCs w:val="20"/>
        </w:rPr>
        <w:t xml:space="preserve">by </w:t>
      </w:r>
      <w:hyperlink r:id="rId29" w:anchor="p-63.807(c)" w:history="1">
        <w:r w:rsidR="00B42588" w:rsidRPr="001160A2">
          <w:rPr>
            <w:rFonts w:ascii="Arial" w:hAnsi="Arial" w:cs="Arial"/>
            <w:sz w:val="20"/>
            <w:szCs w:val="20"/>
          </w:rPr>
          <w:t xml:space="preserve">40 CFR </w:t>
        </w:r>
        <w:r w:rsidRPr="001160A2">
          <w:rPr>
            <w:rFonts w:ascii="Arial" w:hAnsi="Arial" w:cs="Arial"/>
            <w:sz w:val="20"/>
            <w:szCs w:val="20"/>
          </w:rPr>
          <w:t>63.807(c)</w:t>
        </w:r>
      </w:hyperlink>
      <w:r w:rsidRPr="001160A2">
        <w:rPr>
          <w:rFonts w:ascii="Arial" w:hAnsi="Arial" w:cs="Arial"/>
          <w:sz w:val="20"/>
          <w:szCs w:val="20"/>
        </w:rPr>
        <w:t xml:space="preserve">. </w:t>
      </w:r>
    </w:p>
    <w:p w14:paraId="05D1328F" w14:textId="752EAE7C" w:rsidR="0004717F" w:rsidRPr="0022460F" w:rsidRDefault="0004717F" w:rsidP="006255D5">
      <w:pPr>
        <w:pStyle w:val="indent-4"/>
        <w:numPr>
          <w:ilvl w:val="2"/>
          <w:numId w:val="39"/>
        </w:numPr>
        <w:jc w:val="both"/>
        <w:rPr>
          <w:rFonts w:ascii="Arial" w:hAnsi="Arial" w:cs="Arial"/>
          <w:sz w:val="20"/>
          <w:szCs w:val="20"/>
        </w:rPr>
      </w:pPr>
      <w:r w:rsidRPr="0022460F">
        <w:rPr>
          <w:rFonts w:ascii="Arial" w:hAnsi="Arial" w:cs="Arial"/>
          <w:sz w:val="20"/>
          <w:szCs w:val="20"/>
        </w:rPr>
        <w:t xml:space="preserve">The compliance certification shall state that compliant coatings, as determined by the VHAP content of the coating in the reservoir, have been used each day in the semiannual reporting period. Additionally, the certification shall state that the viscosity of the coating in the reservoir has not been less than the viscosity of the initial coating, that is, the coating that is initially mixed and placed in the reservoir, for any day in the semiannual reporting period. </w:t>
      </w:r>
    </w:p>
    <w:p w14:paraId="458D43B5" w14:textId="2644E531" w:rsidR="0004717F" w:rsidRPr="0022460F" w:rsidRDefault="0004717F" w:rsidP="006255D5">
      <w:pPr>
        <w:pStyle w:val="indent-4"/>
        <w:numPr>
          <w:ilvl w:val="2"/>
          <w:numId w:val="39"/>
        </w:numPr>
        <w:jc w:val="both"/>
        <w:rPr>
          <w:rFonts w:ascii="Arial" w:hAnsi="Arial" w:cs="Arial"/>
          <w:sz w:val="20"/>
          <w:szCs w:val="20"/>
        </w:rPr>
      </w:pPr>
      <w:r w:rsidRPr="0022460F">
        <w:rPr>
          <w:rFonts w:ascii="Arial" w:hAnsi="Arial" w:cs="Arial"/>
          <w:sz w:val="20"/>
          <w:szCs w:val="20"/>
        </w:rPr>
        <w:t xml:space="preserve">The compliance certification shall be signed by a responsible official of the company that owns or operates the affected source. </w:t>
      </w:r>
    </w:p>
    <w:p w14:paraId="576B5397" w14:textId="1DBA3DDB" w:rsidR="0004717F" w:rsidRPr="001160A2" w:rsidRDefault="0004717F" w:rsidP="006255D5">
      <w:pPr>
        <w:pStyle w:val="indent-4"/>
        <w:numPr>
          <w:ilvl w:val="2"/>
          <w:numId w:val="39"/>
        </w:numPr>
        <w:jc w:val="both"/>
        <w:rPr>
          <w:rFonts w:ascii="Arial" w:hAnsi="Arial" w:cs="Arial"/>
          <w:sz w:val="20"/>
          <w:szCs w:val="20"/>
        </w:rPr>
      </w:pPr>
      <w:r w:rsidRPr="001160A2">
        <w:rPr>
          <w:rFonts w:ascii="Arial" w:hAnsi="Arial" w:cs="Arial"/>
          <w:sz w:val="20"/>
          <w:szCs w:val="20"/>
        </w:rPr>
        <w:t xml:space="preserve">An affected source is in violation of the standard when a sample of the as-applied coating exceeds the applicable limit established in </w:t>
      </w:r>
      <w:hyperlink r:id="rId30" w:anchor="p-63.804(a)(2)" w:history="1">
        <w:r w:rsidR="005E6A68" w:rsidRPr="001160A2">
          <w:rPr>
            <w:rFonts w:ascii="Arial" w:hAnsi="Arial" w:cs="Arial"/>
            <w:sz w:val="20"/>
            <w:szCs w:val="20"/>
          </w:rPr>
          <w:t xml:space="preserve">40 CFR </w:t>
        </w:r>
        <w:r w:rsidRPr="001160A2">
          <w:rPr>
            <w:rFonts w:ascii="Arial" w:hAnsi="Arial" w:cs="Arial"/>
            <w:sz w:val="20"/>
            <w:szCs w:val="20"/>
          </w:rPr>
          <w:t>63.804 (a)(2)</w:t>
        </w:r>
      </w:hyperlink>
      <w:r w:rsidRPr="001160A2">
        <w:rPr>
          <w:rFonts w:ascii="Arial" w:hAnsi="Arial" w:cs="Arial"/>
          <w:sz w:val="20"/>
          <w:szCs w:val="20"/>
        </w:rPr>
        <w:t xml:space="preserve"> or </w:t>
      </w:r>
      <w:hyperlink r:id="rId31" w:anchor="p-63.804(d)(2)" w:history="1">
        <w:r w:rsidRPr="001160A2">
          <w:rPr>
            <w:rFonts w:ascii="Arial" w:hAnsi="Arial" w:cs="Arial"/>
            <w:sz w:val="20"/>
            <w:szCs w:val="20"/>
          </w:rPr>
          <w:t>(d)(2)</w:t>
        </w:r>
      </w:hyperlink>
      <w:r w:rsidRPr="001160A2">
        <w:rPr>
          <w:rFonts w:ascii="Arial" w:hAnsi="Arial" w:cs="Arial"/>
          <w:sz w:val="20"/>
          <w:szCs w:val="20"/>
        </w:rPr>
        <w:t xml:space="preserve">, as determined using EPA Method 311, or the viscosity of the coating in the reservoir is less than the viscosity of the initial coating. </w:t>
      </w:r>
    </w:p>
    <w:p w14:paraId="188B30B0" w14:textId="3F0B21DC" w:rsidR="003A7C95" w:rsidRPr="00C20944" w:rsidRDefault="003A7C95" w:rsidP="006255D5">
      <w:pPr>
        <w:pStyle w:val="indent-2"/>
        <w:numPr>
          <w:ilvl w:val="0"/>
          <w:numId w:val="39"/>
        </w:numPr>
        <w:jc w:val="both"/>
        <w:rPr>
          <w:rFonts w:ascii="Arial" w:hAnsi="Arial" w:cs="Arial"/>
          <w:b/>
          <w:bCs/>
          <w:sz w:val="20"/>
          <w:szCs w:val="20"/>
        </w:rPr>
      </w:pPr>
      <w:r w:rsidRPr="00C20944">
        <w:rPr>
          <w:rFonts w:ascii="Arial" w:hAnsi="Arial" w:cs="Arial"/>
          <w:sz w:val="20"/>
          <w:szCs w:val="20"/>
        </w:rPr>
        <w:t xml:space="preserve">The </w:t>
      </w:r>
      <w:r w:rsidR="00AF5BE3">
        <w:rPr>
          <w:rFonts w:ascii="Arial" w:hAnsi="Arial" w:cs="Arial"/>
          <w:sz w:val="20"/>
          <w:szCs w:val="20"/>
        </w:rPr>
        <w:t>p</w:t>
      </w:r>
      <w:r w:rsidRPr="00C20944">
        <w:rPr>
          <w:rFonts w:ascii="Arial" w:hAnsi="Arial" w:cs="Arial"/>
          <w:sz w:val="20"/>
          <w:szCs w:val="20"/>
        </w:rPr>
        <w:t xml:space="preserve">ermittee subject to the </w:t>
      </w:r>
      <w:r w:rsidRPr="001160A2">
        <w:rPr>
          <w:rFonts w:ascii="Arial" w:hAnsi="Arial" w:cs="Arial"/>
          <w:sz w:val="20"/>
          <w:szCs w:val="20"/>
        </w:rPr>
        <w:t xml:space="preserve">provisions of </w:t>
      </w:r>
      <w:hyperlink r:id="rId32" w:anchor="p-63.802(a)(2)(i)" w:history="1">
        <w:r w:rsidRPr="001160A2">
          <w:rPr>
            <w:rFonts w:ascii="Arial" w:hAnsi="Arial" w:cs="Arial"/>
            <w:sz w:val="20"/>
            <w:szCs w:val="20"/>
          </w:rPr>
          <w:t>40 CFR 63.802 (a)(2) (i)</w:t>
        </w:r>
      </w:hyperlink>
      <w:r w:rsidRPr="001160A2">
        <w:rPr>
          <w:rFonts w:ascii="Arial" w:hAnsi="Arial" w:cs="Arial"/>
          <w:sz w:val="20"/>
          <w:szCs w:val="20"/>
        </w:rPr>
        <w:t xml:space="preserve"> or </w:t>
      </w:r>
      <w:hyperlink r:id="rId33" w:anchor="p-63.802(a)(2)(ii)" w:history="1">
        <w:r w:rsidRPr="001160A2">
          <w:rPr>
            <w:rFonts w:ascii="Arial" w:hAnsi="Arial" w:cs="Arial"/>
            <w:sz w:val="20"/>
            <w:szCs w:val="20"/>
          </w:rPr>
          <w:t>(ii)</w:t>
        </w:r>
      </w:hyperlink>
      <w:r w:rsidRPr="001160A2">
        <w:rPr>
          <w:rFonts w:ascii="Arial" w:hAnsi="Arial" w:cs="Arial"/>
          <w:sz w:val="20"/>
          <w:szCs w:val="20"/>
        </w:rPr>
        <w:t xml:space="preserve"> or </w:t>
      </w:r>
      <w:hyperlink r:id="rId34" w:anchor="p-63.802(b)(2)" w:history="1">
        <w:r w:rsidRPr="001160A2">
          <w:rPr>
            <w:rFonts w:ascii="Arial" w:hAnsi="Arial" w:cs="Arial"/>
            <w:sz w:val="20"/>
            <w:szCs w:val="20"/>
          </w:rPr>
          <w:t>(b)(2)</w:t>
        </w:r>
      </w:hyperlink>
      <w:r w:rsidRPr="001160A2">
        <w:rPr>
          <w:rFonts w:ascii="Arial" w:hAnsi="Arial" w:cs="Arial"/>
          <w:sz w:val="20"/>
          <w:szCs w:val="20"/>
        </w:rPr>
        <w:t xml:space="preserve"> that comply through the procedures established in </w:t>
      </w:r>
      <w:hyperlink r:id="rId35" w:anchor="p-63.804(b)" w:history="1">
        <w:r w:rsidR="009E3D56" w:rsidRPr="001160A2">
          <w:rPr>
            <w:rFonts w:ascii="Arial" w:hAnsi="Arial" w:cs="Arial"/>
            <w:sz w:val="20"/>
            <w:szCs w:val="20"/>
          </w:rPr>
          <w:t xml:space="preserve">40 CFR </w:t>
        </w:r>
        <w:r w:rsidRPr="001160A2">
          <w:rPr>
            <w:rFonts w:ascii="Arial" w:hAnsi="Arial" w:cs="Arial"/>
            <w:sz w:val="20"/>
            <w:szCs w:val="20"/>
          </w:rPr>
          <w:t>63.804 (b)</w:t>
        </w:r>
      </w:hyperlink>
      <w:r w:rsidRPr="001160A2">
        <w:rPr>
          <w:rFonts w:ascii="Arial" w:hAnsi="Arial" w:cs="Arial"/>
          <w:sz w:val="20"/>
          <w:szCs w:val="20"/>
        </w:rPr>
        <w:t xml:space="preserve">, </w:t>
      </w:r>
      <w:hyperlink r:id="rId36" w:anchor="p-63.804(c)(1)" w:history="1">
        <w:r w:rsidRPr="001160A2">
          <w:rPr>
            <w:rFonts w:ascii="Arial" w:hAnsi="Arial" w:cs="Arial"/>
            <w:sz w:val="20"/>
            <w:szCs w:val="20"/>
          </w:rPr>
          <w:t>(c)(1)</w:t>
        </w:r>
      </w:hyperlink>
      <w:r w:rsidRPr="001160A2">
        <w:rPr>
          <w:rFonts w:ascii="Arial" w:hAnsi="Arial" w:cs="Arial"/>
          <w:sz w:val="20"/>
          <w:szCs w:val="20"/>
        </w:rPr>
        <w:t xml:space="preserve">, or </w:t>
      </w:r>
      <w:hyperlink r:id="rId37" w:anchor="p-63.804(e)(1)" w:history="1">
        <w:r w:rsidRPr="001160A2">
          <w:rPr>
            <w:rFonts w:ascii="Arial" w:hAnsi="Arial" w:cs="Arial"/>
            <w:sz w:val="20"/>
            <w:szCs w:val="20"/>
          </w:rPr>
          <w:t>(e)(1)</w:t>
        </w:r>
      </w:hyperlink>
      <w:r w:rsidRPr="001160A2">
        <w:rPr>
          <w:rFonts w:ascii="Arial" w:hAnsi="Arial" w:cs="Arial"/>
          <w:sz w:val="20"/>
          <w:szCs w:val="20"/>
        </w:rPr>
        <w:t xml:space="preserve">, shall submit a compliance certification with the semiannual report required by </w:t>
      </w:r>
      <w:hyperlink r:id="rId38" w:anchor="p-63.807(c)" w:history="1">
        <w:r w:rsidRPr="001160A2">
          <w:rPr>
            <w:rFonts w:ascii="Arial" w:hAnsi="Arial" w:cs="Arial"/>
            <w:sz w:val="20"/>
            <w:szCs w:val="20"/>
          </w:rPr>
          <w:t xml:space="preserve"> </w:t>
        </w:r>
        <w:r w:rsidR="009E3D56" w:rsidRPr="001160A2">
          <w:rPr>
            <w:rFonts w:ascii="Arial" w:hAnsi="Arial" w:cs="Arial"/>
            <w:sz w:val="20"/>
            <w:szCs w:val="20"/>
          </w:rPr>
          <w:t>40 CFR</w:t>
        </w:r>
        <w:r w:rsidRPr="001160A2">
          <w:rPr>
            <w:rFonts w:ascii="Arial" w:hAnsi="Arial" w:cs="Arial"/>
            <w:sz w:val="20"/>
            <w:szCs w:val="20"/>
          </w:rPr>
          <w:t>63.807(c)</w:t>
        </w:r>
      </w:hyperlink>
      <w:r w:rsidRPr="001160A2">
        <w:rPr>
          <w:rFonts w:ascii="Arial" w:hAnsi="Arial" w:cs="Arial"/>
          <w:sz w:val="20"/>
          <w:szCs w:val="20"/>
        </w:rPr>
        <w:t>.</w:t>
      </w:r>
      <w:r w:rsidRPr="00C20944">
        <w:rPr>
          <w:rFonts w:ascii="Arial" w:hAnsi="Arial" w:cs="Arial"/>
          <w:sz w:val="20"/>
          <w:szCs w:val="20"/>
        </w:rPr>
        <w:t xml:space="preserve"> </w:t>
      </w:r>
      <w:r w:rsidR="00B00574" w:rsidRPr="00C20944">
        <w:rPr>
          <w:rFonts w:ascii="Arial" w:hAnsi="Arial" w:cs="Arial"/>
          <w:b/>
          <w:bCs/>
          <w:sz w:val="20"/>
          <w:szCs w:val="20"/>
        </w:rPr>
        <w:t>(40 CFR 63.804</w:t>
      </w:r>
      <w:r w:rsidR="00DA4FD3">
        <w:rPr>
          <w:rFonts w:ascii="Arial" w:hAnsi="Arial" w:cs="Arial"/>
          <w:b/>
          <w:bCs/>
          <w:sz w:val="20"/>
          <w:szCs w:val="20"/>
        </w:rPr>
        <w:t>(g)</w:t>
      </w:r>
      <w:r w:rsidR="00C761D0">
        <w:rPr>
          <w:rFonts w:ascii="Arial" w:hAnsi="Arial" w:cs="Arial"/>
          <w:b/>
          <w:bCs/>
          <w:sz w:val="20"/>
          <w:szCs w:val="20"/>
        </w:rPr>
        <w:t>(</w:t>
      </w:r>
      <w:r w:rsidR="00B00574" w:rsidRPr="00C20944">
        <w:rPr>
          <w:rFonts w:ascii="Arial" w:hAnsi="Arial" w:cs="Arial"/>
          <w:b/>
          <w:bCs/>
          <w:sz w:val="20"/>
          <w:szCs w:val="20"/>
        </w:rPr>
        <w:t>5))</w:t>
      </w:r>
    </w:p>
    <w:p w14:paraId="2ED77E52" w14:textId="7FFC8CD4" w:rsidR="003A7C95" w:rsidRPr="00C20944" w:rsidRDefault="003A7C95" w:rsidP="006255D5">
      <w:pPr>
        <w:pStyle w:val="indent-3"/>
        <w:numPr>
          <w:ilvl w:val="1"/>
          <w:numId w:val="39"/>
        </w:numPr>
        <w:jc w:val="both"/>
        <w:rPr>
          <w:rFonts w:ascii="Arial" w:hAnsi="Arial" w:cs="Arial"/>
          <w:sz w:val="20"/>
          <w:szCs w:val="20"/>
        </w:rPr>
      </w:pPr>
      <w:r w:rsidRPr="00C20944">
        <w:rPr>
          <w:rFonts w:ascii="Arial" w:hAnsi="Arial" w:cs="Arial"/>
          <w:sz w:val="20"/>
          <w:szCs w:val="20"/>
        </w:rPr>
        <w:t xml:space="preserve">The compliance certification shall state that compliant contact and/or foam adhesives have been used each day in the semiannual reporting </w:t>
      </w:r>
      <w:r w:rsidR="005B1A2C" w:rsidRPr="00C20944">
        <w:rPr>
          <w:rFonts w:ascii="Arial" w:hAnsi="Arial" w:cs="Arial"/>
          <w:sz w:val="20"/>
          <w:szCs w:val="20"/>
        </w:rPr>
        <w:t>period or</w:t>
      </w:r>
      <w:r w:rsidRPr="00C20944">
        <w:rPr>
          <w:rFonts w:ascii="Arial" w:hAnsi="Arial" w:cs="Arial"/>
          <w:sz w:val="20"/>
          <w:szCs w:val="20"/>
        </w:rPr>
        <w:t xml:space="preserve"> should otherwise identify each day noncompliant contact and/or foam adhesives were used. Each day a noncompliant contact or foam adhesive is used is a single violation of the standard. </w:t>
      </w:r>
    </w:p>
    <w:p w14:paraId="1C15D3FA" w14:textId="1283C8F8" w:rsidR="003A7C95" w:rsidRPr="00C20944" w:rsidRDefault="003A7C95" w:rsidP="006255D5">
      <w:pPr>
        <w:pStyle w:val="indent-3"/>
        <w:numPr>
          <w:ilvl w:val="1"/>
          <w:numId w:val="39"/>
        </w:numPr>
        <w:jc w:val="both"/>
        <w:rPr>
          <w:rFonts w:ascii="Arial" w:hAnsi="Arial" w:cs="Arial"/>
          <w:sz w:val="20"/>
          <w:szCs w:val="20"/>
        </w:rPr>
      </w:pPr>
      <w:r w:rsidRPr="00C20944">
        <w:rPr>
          <w:rFonts w:ascii="Arial" w:hAnsi="Arial" w:cs="Arial"/>
          <w:sz w:val="20"/>
          <w:szCs w:val="20"/>
        </w:rPr>
        <w:t>The compliance certification shall be signed by a responsible official of the company that owns or operates the affected source.</w:t>
      </w:r>
    </w:p>
    <w:p w14:paraId="29D55E3B" w14:textId="1ADB35E5" w:rsidR="001C64D4" w:rsidRPr="00C25214" w:rsidRDefault="00A554D0" w:rsidP="006255D5">
      <w:pPr>
        <w:pStyle w:val="indent-2"/>
        <w:numPr>
          <w:ilvl w:val="0"/>
          <w:numId w:val="39"/>
        </w:numPr>
        <w:jc w:val="both"/>
        <w:rPr>
          <w:rFonts w:ascii="Arial" w:hAnsi="Arial" w:cs="Arial"/>
          <w:b/>
          <w:bCs/>
          <w:sz w:val="20"/>
          <w:szCs w:val="20"/>
        </w:rPr>
      </w:pPr>
      <w:r w:rsidRPr="00C25214">
        <w:rPr>
          <w:rFonts w:ascii="Arial" w:hAnsi="Arial" w:cs="Arial"/>
          <w:sz w:val="20"/>
          <w:szCs w:val="20"/>
        </w:rPr>
        <w:t xml:space="preserve">The </w:t>
      </w:r>
      <w:r w:rsidR="00AF5BE3">
        <w:rPr>
          <w:rFonts w:ascii="Arial" w:hAnsi="Arial" w:cs="Arial"/>
          <w:sz w:val="20"/>
          <w:szCs w:val="20"/>
        </w:rPr>
        <w:t>p</w:t>
      </w:r>
      <w:r w:rsidRPr="00C25214">
        <w:rPr>
          <w:rFonts w:ascii="Arial" w:hAnsi="Arial" w:cs="Arial"/>
          <w:sz w:val="20"/>
          <w:szCs w:val="20"/>
        </w:rPr>
        <w:t xml:space="preserve">ermittee subject to the </w:t>
      </w:r>
      <w:r w:rsidRPr="001160A2">
        <w:rPr>
          <w:rFonts w:ascii="Arial" w:hAnsi="Arial" w:cs="Arial"/>
          <w:sz w:val="20"/>
          <w:szCs w:val="20"/>
        </w:rPr>
        <w:t xml:space="preserve">provisions of </w:t>
      </w:r>
      <w:hyperlink r:id="rId39" w:anchor="p-63.802(a)(3)" w:history="1">
        <w:r w:rsidR="001C64D4" w:rsidRPr="001160A2">
          <w:rPr>
            <w:rFonts w:ascii="Arial" w:hAnsi="Arial" w:cs="Arial"/>
            <w:sz w:val="20"/>
            <w:szCs w:val="20"/>
          </w:rPr>
          <w:t>40 CFR</w:t>
        </w:r>
        <w:r w:rsidRPr="001160A2">
          <w:rPr>
            <w:rFonts w:ascii="Arial" w:hAnsi="Arial" w:cs="Arial"/>
            <w:sz w:val="20"/>
            <w:szCs w:val="20"/>
          </w:rPr>
          <w:t xml:space="preserve"> 63.802 (a)(3)</w:t>
        </w:r>
      </w:hyperlink>
      <w:r w:rsidRPr="001160A2">
        <w:rPr>
          <w:rFonts w:ascii="Arial" w:hAnsi="Arial" w:cs="Arial"/>
          <w:sz w:val="20"/>
          <w:szCs w:val="20"/>
        </w:rPr>
        <w:t xml:space="preserve"> or </w:t>
      </w:r>
      <w:hyperlink r:id="rId40" w:anchor="p-63.802(b)(3)" w:history="1">
        <w:r w:rsidRPr="001160A2">
          <w:rPr>
            <w:rFonts w:ascii="Arial" w:hAnsi="Arial" w:cs="Arial"/>
            <w:sz w:val="20"/>
            <w:szCs w:val="20"/>
          </w:rPr>
          <w:t>(b)(3)</w:t>
        </w:r>
      </w:hyperlink>
      <w:r w:rsidRPr="001160A2">
        <w:rPr>
          <w:rFonts w:ascii="Arial" w:hAnsi="Arial" w:cs="Arial"/>
          <w:sz w:val="20"/>
          <w:szCs w:val="20"/>
        </w:rPr>
        <w:t xml:space="preserve"> shall submit a compliance certification with the semiannual report required by </w:t>
      </w:r>
      <w:hyperlink r:id="rId41" w:anchor="p-63.807(c)" w:history="1">
        <w:r w:rsidR="001C64D4" w:rsidRPr="001160A2">
          <w:rPr>
            <w:rFonts w:ascii="Arial" w:hAnsi="Arial" w:cs="Arial"/>
            <w:sz w:val="20"/>
            <w:szCs w:val="20"/>
          </w:rPr>
          <w:t>40 CFR</w:t>
        </w:r>
        <w:r w:rsidRPr="001160A2">
          <w:rPr>
            <w:rFonts w:ascii="Arial" w:hAnsi="Arial" w:cs="Arial"/>
            <w:sz w:val="20"/>
            <w:szCs w:val="20"/>
          </w:rPr>
          <w:t xml:space="preserve"> 63.807(c)</w:t>
        </w:r>
      </w:hyperlink>
      <w:r w:rsidRPr="001160A2">
        <w:rPr>
          <w:rFonts w:ascii="Arial" w:hAnsi="Arial" w:cs="Arial"/>
          <w:sz w:val="20"/>
          <w:szCs w:val="20"/>
        </w:rPr>
        <w:t>.</w:t>
      </w:r>
      <w:r w:rsidRPr="00C25214">
        <w:rPr>
          <w:rFonts w:ascii="Arial" w:hAnsi="Arial" w:cs="Arial"/>
          <w:sz w:val="20"/>
          <w:szCs w:val="20"/>
        </w:rPr>
        <w:t xml:space="preserve"> </w:t>
      </w:r>
      <w:r w:rsidR="00AF5BE3">
        <w:rPr>
          <w:rFonts w:ascii="Arial" w:hAnsi="Arial" w:cs="Arial"/>
          <w:sz w:val="20"/>
          <w:szCs w:val="20"/>
        </w:rPr>
        <w:t xml:space="preserve"> </w:t>
      </w:r>
      <w:r w:rsidR="001C64D4" w:rsidRPr="00C25214">
        <w:rPr>
          <w:rFonts w:ascii="Arial" w:hAnsi="Arial" w:cs="Arial"/>
          <w:b/>
          <w:bCs/>
          <w:sz w:val="20"/>
          <w:szCs w:val="20"/>
        </w:rPr>
        <w:t>(40 CFR 63.804(</w:t>
      </w:r>
      <w:r w:rsidR="00DA1E92">
        <w:rPr>
          <w:rFonts w:ascii="Arial" w:hAnsi="Arial" w:cs="Arial"/>
          <w:b/>
          <w:bCs/>
          <w:sz w:val="20"/>
          <w:szCs w:val="20"/>
        </w:rPr>
        <w:t>(g)(</w:t>
      </w:r>
      <w:r w:rsidR="00C25214" w:rsidRPr="00C25214">
        <w:rPr>
          <w:rFonts w:ascii="Arial" w:hAnsi="Arial" w:cs="Arial"/>
          <w:b/>
          <w:bCs/>
          <w:sz w:val="20"/>
          <w:szCs w:val="20"/>
        </w:rPr>
        <w:t>7</w:t>
      </w:r>
      <w:r w:rsidR="001C64D4" w:rsidRPr="00C25214">
        <w:rPr>
          <w:rFonts w:ascii="Arial" w:hAnsi="Arial" w:cs="Arial"/>
          <w:b/>
          <w:bCs/>
          <w:sz w:val="20"/>
          <w:szCs w:val="20"/>
        </w:rPr>
        <w:t>))</w:t>
      </w:r>
    </w:p>
    <w:p w14:paraId="24173200" w14:textId="03036144" w:rsidR="00A554D0" w:rsidRPr="00AF5BE3" w:rsidRDefault="00A554D0" w:rsidP="006255D5">
      <w:pPr>
        <w:pStyle w:val="indent-2"/>
        <w:numPr>
          <w:ilvl w:val="1"/>
          <w:numId w:val="39"/>
        </w:numPr>
        <w:jc w:val="both"/>
        <w:rPr>
          <w:rFonts w:ascii="Arial" w:hAnsi="Arial" w:cs="Arial"/>
          <w:sz w:val="20"/>
          <w:szCs w:val="20"/>
        </w:rPr>
      </w:pPr>
      <w:r w:rsidRPr="00AF5BE3">
        <w:rPr>
          <w:rFonts w:ascii="Arial" w:hAnsi="Arial" w:cs="Arial"/>
          <w:sz w:val="20"/>
          <w:szCs w:val="20"/>
        </w:rPr>
        <w:t xml:space="preserve">The compliance certification shall state that compliant strippable spray booth coatings have been used each day in the semiannual reporting </w:t>
      </w:r>
      <w:r w:rsidR="005B1A2C" w:rsidRPr="00AF5BE3">
        <w:rPr>
          <w:rFonts w:ascii="Arial" w:hAnsi="Arial" w:cs="Arial"/>
          <w:sz w:val="20"/>
          <w:szCs w:val="20"/>
        </w:rPr>
        <w:t>period or</w:t>
      </w:r>
      <w:r w:rsidRPr="00AF5BE3">
        <w:rPr>
          <w:rFonts w:ascii="Arial" w:hAnsi="Arial" w:cs="Arial"/>
          <w:sz w:val="20"/>
          <w:szCs w:val="20"/>
        </w:rPr>
        <w:t xml:space="preserve"> should otherwise identify each day noncompliant materials were used. Each day a noncompliant strippable booth coating is used is a single violation of the standard. </w:t>
      </w:r>
    </w:p>
    <w:p w14:paraId="28E600FE" w14:textId="793F991C" w:rsidR="00A554D0" w:rsidRPr="00AF5BE3" w:rsidRDefault="00A554D0" w:rsidP="006255D5">
      <w:pPr>
        <w:pStyle w:val="indent-3"/>
        <w:numPr>
          <w:ilvl w:val="1"/>
          <w:numId w:val="39"/>
        </w:numPr>
        <w:jc w:val="both"/>
        <w:rPr>
          <w:rFonts w:ascii="Arial" w:hAnsi="Arial" w:cs="Arial"/>
          <w:sz w:val="20"/>
          <w:szCs w:val="20"/>
        </w:rPr>
      </w:pPr>
      <w:r w:rsidRPr="00AF5BE3">
        <w:rPr>
          <w:rFonts w:ascii="Arial" w:hAnsi="Arial" w:cs="Arial"/>
          <w:sz w:val="20"/>
          <w:szCs w:val="20"/>
        </w:rPr>
        <w:lastRenderedPageBreak/>
        <w:t>The compliance certification shall be signed by a responsible official of the company that owns or operates the affected source.</w:t>
      </w:r>
    </w:p>
    <w:p w14:paraId="0F766F7C" w14:textId="55E8488A" w:rsidR="00135B96" w:rsidRPr="00AF5BE3" w:rsidRDefault="00135B96" w:rsidP="006255D5">
      <w:pPr>
        <w:pStyle w:val="indent-2"/>
        <w:numPr>
          <w:ilvl w:val="0"/>
          <w:numId w:val="39"/>
        </w:numPr>
        <w:jc w:val="both"/>
        <w:rPr>
          <w:rFonts w:ascii="Arial" w:hAnsi="Arial" w:cs="Arial"/>
          <w:b/>
          <w:bCs/>
          <w:sz w:val="20"/>
          <w:szCs w:val="20"/>
        </w:rPr>
      </w:pPr>
      <w:r w:rsidRPr="00AF5BE3">
        <w:rPr>
          <w:rFonts w:ascii="Arial" w:hAnsi="Arial" w:cs="Arial"/>
          <w:sz w:val="20"/>
          <w:szCs w:val="20"/>
        </w:rPr>
        <w:t xml:space="preserve">The </w:t>
      </w:r>
      <w:r w:rsidR="00DD7E5B">
        <w:rPr>
          <w:rFonts w:ascii="Arial" w:hAnsi="Arial" w:cs="Arial"/>
          <w:sz w:val="20"/>
          <w:szCs w:val="20"/>
        </w:rPr>
        <w:t>p</w:t>
      </w:r>
      <w:r w:rsidRPr="00AF5BE3">
        <w:rPr>
          <w:rFonts w:ascii="Arial" w:hAnsi="Arial" w:cs="Arial"/>
          <w:sz w:val="20"/>
          <w:szCs w:val="20"/>
        </w:rPr>
        <w:t xml:space="preserve">ermittee subject to the work practice </w:t>
      </w:r>
      <w:r w:rsidRPr="001160A2">
        <w:rPr>
          <w:rFonts w:ascii="Arial" w:hAnsi="Arial" w:cs="Arial"/>
          <w:sz w:val="20"/>
          <w:szCs w:val="20"/>
        </w:rPr>
        <w:t xml:space="preserve">standards in </w:t>
      </w:r>
      <w:hyperlink r:id="rId42" w:history="1">
        <w:r w:rsidRPr="001160A2">
          <w:rPr>
            <w:rFonts w:ascii="Arial" w:hAnsi="Arial" w:cs="Arial"/>
            <w:sz w:val="20"/>
            <w:szCs w:val="20"/>
          </w:rPr>
          <w:t>40 CFR 63.803</w:t>
        </w:r>
      </w:hyperlink>
      <w:r w:rsidRPr="001160A2">
        <w:rPr>
          <w:rFonts w:ascii="Arial" w:hAnsi="Arial" w:cs="Arial"/>
          <w:sz w:val="20"/>
          <w:szCs w:val="20"/>
        </w:rPr>
        <w:t xml:space="preserve"> shall submit a compliance certification with the semiannual report required by </w:t>
      </w:r>
      <w:r w:rsidR="00FB521E" w:rsidRPr="001160A2">
        <w:rPr>
          <w:rFonts w:ascii="Arial" w:hAnsi="Arial" w:cs="Arial"/>
          <w:sz w:val="20"/>
          <w:szCs w:val="20"/>
        </w:rPr>
        <w:t xml:space="preserve">40 CFR </w:t>
      </w:r>
      <w:hyperlink r:id="rId43" w:anchor="p-63.807(c)" w:history="1">
        <w:r w:rsidRPr="001160A2">
          <w:rPr>
            <w:rFonts w:ascii="Arial" w:hAnsi="Arial" w:cs="Arial"/>
            <w:sz w:val="20"/>
            <w:szCs w:val="20"/>
          </w:rPr>
          <w:t>63.807(c)</w:t>
        </w:r>
      </w:hyperlink>
      <w:r w:rsidRPr="001160A2">
        <w:rPr>
          <w:rFonts w:ascii="Arial" w:hAnsi="Arial" w:cs="Arial"/>
          <w:sz w:val="20"/>
          <w:szCs w:val="20"/>
        </w:rPr>
        <w:t>.</w:t>
      </w:r>
      <w:r w:rsidR="00AF5BE3">
        <w:rPr>
          <w:rFonts w:ascii="Arial" w:hAnsi="Arial" w:cs="Arial"/>
          <w:sz w:val="20"/>
          <w:szCs w:val="20"/>
        </w:rPr>
        <w:t xml:space="preserve"> </w:t>
      </w:r>
      <w:r w:rsidRPr="00AF5BE3">
        <w:rPr>
          <w:rFonts w:ascii="Arial" w:hAnsi="Arial" w:cs="Arial"/>
          <w:sz w:val="20"/>
          <w:szCs w:val="20"/>
        </w:rPr>
        <w:t xml:space="preserve"> </w:t>
      </w:r>
      <w:r w:rsidR="00FB521E" w:rsidRPr="00AF5BE3">
        <w:rPr>
          <w:rFonts w:ascii="Arial" w:hAnsi="Arial" w:cs="Arial"/>
          <w:b/>
          <w:bCs/>
          <w:sz w:val="20"/>
          <w:szCs w:val="20"/>
        </w:rPr>
        <w:t>(40 CFR 63.804(g)(8))</w:t>
      </w:r>
    </w:p>
    <w:p w14:paraId="4D9FA9E9" w14:textId="24BF047D" w:rsidR="00135B96" w:rsidRPr="00AF5BE3" w:rsidRDefault="00135B96" w:rsidP="006255D5">
      <w:pPr>
        <w:pStyle w:val="indent-3"/>
        <w:numPr>
          <w:ilvl w:val="1"/>
          <w:numId w:val="39"/>
        </w:numPr>
        <w:jc w:val="both"/>
        <w:rPr>
          <w:rFonts w:ascii="Arial" w:hAnsi="Arial" w:cs="Arial"/>
          <w:sz w:val="20"/>
          <w:szCs w:val="20"/>
        </w:rPr>
      </w:pPr>
      <w:r w:rsidRPr="00AF5BE3">
        <w:rPr>
          <w:rFonts w:ascii="Arial" w:hAnsi="Arial" w:cs="Arial"/>
          <w:sz w:val="20"/>
          <w:szCs w:val="20"/>
        </w:rPr>
        <w:t xml:space="preserve">The compliance certification shall state that the work practice implementation plan is being </w:t>
      </w:r>
      <w:r w:rsidR="00690D45" w:rsidRPr="00AF5BE3">
        <w:rPr>
          <w:rFonts w:ascii="Arial" w:hAnsi="Arial" w:cs="Arial"/>
          <w:sz w:val="20"/>
          <w:szCs w:val="20"/>
        </w:rPr>
        <w:t>followed or</w:t>
      </w:r>
      <w:r w:rsidRPr="00AF5BE3">
        <w:rPr>
          <w:rFonts w:ascii="Arial" w:hAnsi="Arial" w:cs="Arial"/>
          <w:sz w:val="20"/>
          <w:szCs w:val="20"/>
        </w:rPr>
        <w:t xml:space="preserve"> should otherwise identify the provisions of the plan that have not been implemented and each day the provisions were not implemented. During any period of time that an owner or operator is required to implement the provisions of the plan, each failure to implement an obligation under the plan during any particular day is a violation. </w:t>
      </w:r>
    </w:p>
    <w:p w14:paraId="01461C86" w14:textId="4CB228A8" w:rsidR="00135B96" w:rsidRPr="00AF5BE3" w:rsidRDefault="00135B96" w:rsidP="00BA162F">
      <w:pPr>
        <w:pStyle w:val="indent-3"/>
        <w:numPr>
          <w:ilvl w:val="1"/>
          <w:numId w:val="39"/>
        </w:numPr>
        <w:jc w:val="both"/>
        <w:rPr>
          <w:rFonts w:ascii="Arial" w:hAnsi="Arial" w:cs="Arial"/>
          <w:sz w:val="20"/>
          <w:szCs w:val="20"/>
        </w:rPr>
      </w:pPr>
      <w:r w:rsidRPr="00AF5BE3">
        <w:rPr>
          <w:rFonts w:ascii="Arial" w:hAnsi="Arial" w:cs="Arial"/>
          <w:sz w:val="20"/>
          <w:szCs w:val="20"/>
        </w:rPr>
        <w:t>The compliance certification shall be signed by a responsible official of the company that owns or operates the affected source.</w:t>
      </w:r>
    </w:p>
    <w:p w14:paraId="1AC5E547" w14:textId="4AE7D44F" w:rsidR="005459DA" w:rsidRPr="00AF5BE3" w:rsidRDefault="005459DA" w:rsidP="006255D5">
      <w:pPr>
        <w:numPr>
          <w:ilvl w:val="0"/>
          <w:numId w:val="39"/>
        </w:numPr>
        <w:jc w:val="both"/>
        <w:rPr>
          <w:rFonts w:cs="Arial"/>
          <w:sz w:val="20"/>
        </w:rPr>
      </w:pPr>
      <w:r w:rsidRPr="00AF5BE3">
        <w:rPr>
          <w:rFonts w:cs="Arial"/>
          <w:sz w:val="20"/>
        </w:rPr>
        <w:t>The permittee shall maintain records in accordance with the requirements of 40 CFR 63.806.</w:t>
      </w:r>
      <w:r w:rsidRPr="00AF5BE3">
        <w:rPr>
          <w:rFonts w:cs="Arial"/>
          <w:sz w:val="20"/>
          <w:vertAlign w:val="superscript"/>
        </w:rPr>
        <w:t>2</w:t>
      </w:r>
      <w:r w:rsidRPr="00AF5BE3">
        <w:rPr>
          <w:rFonts w:cs="Arial"/>
          <w:sz w:val="20"/>
        </w:rPr>
        <w:t xml:space="preserve">  </w:t>
      </w:r>
      <w:r w:rsidRPr="00AF5BE3">
        <w:rPr>
          <w:rFonts w:cs="Arial"/>
          <w:b/>
          <w:sz w:val="20"/>
        </w:rPr>
        <w:t>(40 CFR 63.806)</w:t>
      </w:r>
    </w:p>
    <w:p w14:paraId="34F999F4" w14:textId="77777777" w:rsidR="005459DA" w:rsidRPr="00AF5BE3" w:rsidRDefault="005459DA" w:rsidP="005459DA">
      <w:pPr>
        <w:ind w:left="360" w:hanging="360"/>
        <w:jc w:val="both"/>
        <w:rPr>
          <w:rFonts w:cs="Arial"/>
          <w:sz w:val="20"/>
        </w:rPr>
      </w:pPr>
    </w:p>
    <w:p w14:paraId="6693F237" w14:textId="45B60DCC" w:rsidR="005459DA" w:rsidRPr="00AF5BE3" w:rsidRDefault="005459DA" w:rsidP="006255D5">
      <w:pPr>
        <w:numPr>
          <w:ilvl w:val="0"/>
          <w:numId w:val="39"/>
        </w:numPr>
        <w:jc w:val="both"/>
        <w:rPr>
          <w:rFonts w:cs="Arial"/>
          <w:sz w:val="20"/>
        </w:rPr>
      </w:pPr>
      <w:r w:rsidRPr="00AF5BE3">
        <w:rPr>
          <w:rFonts w:cs="Arial"/>
          <w:sz w:val="20"/>
        </w:rPr>
        <w:t>The permittee shall maintain all records in accordance with the requirements of 40 CFR 63.10(b)(1).</w:t>
      </w:r>
      <w:r w:rsidRPr="00AF5BE3">
        <w:rPr>
          <w:rFonts w:cs="Arial"/>
          <w:sz w:val="20"/>
          <w:vertAlign w:val="superscript"/>
        </w:rPr>
        <w:t>2</w:t>
      </w:r>
      <w:r w:rsidRPr="00AF5BE3">
        <w:rPr>
          <w:rFonts w:cs="Arial"/>
          <w:sz w:val="20"/>
        </w:rPr>
        <w:t xml:space="preserve">  </w:t>
      </w:r>
      <w:r w:rsidRPr="00AF5BE3">
        <w:rPr>
          <w:rFonts w:cs="Arial"/>
          <w:b/>
          <w:sz w:val="20"/>
        </w:rPr>
        <w:t>(40 CFR 63.806(j))</w:t>
      </w:r>
    </w:p>
    <w:p w14:paraId="42794EEA" w14:textId="77777777" w:rsidR="00AD3716" w:rsidRDefault="00AD3716" w:rsidP="00AD3716">
      <w:pPr>
        <w:pStyle w:val="ListParagraph"/>
        <w:rPr>
          <w:sz w:val="20"/>
        </w:rPr>
      </w:pPr>
    </w:p>
    <w:p w14:paraId="68BBBCCC" w14:textId="58C4DA06" w:rsidR="005459DA" w:rsidRDefault="005459DA" w:rsidP="006255D5">
      <w:pPr>
        <w:numPr>
          <w:ilvl w:val="0"/>
          <w:numId w:val="39"/>
        </w:numPr>
        <w:jc w:val="both"/>
        <w:rPr>
          <w:sz w:val="20"/>
        </w:rPr>
      </w:pPr>
      <w:r w:rsidRPr="00AD3716">
        <w:rPr>
          <w:sz w:val="20"/>
        </w:rPr>
        <w:t>The permittee shall maintain records of the following:</w:t>
      </w:r>
    </w:p>
    <w:p w14:paraId="12ECF5D8" w14:textId="77777777" w:rsidR="00AF5BE3" w:rsidRPr="00AD3716" w:rsidRDefault="00AF5BE3" w:rsidP="00AF5BE3">
      <w:pPr>
        <w:ind w:left="360"/>
        <w:jc w:val="both"/>
        <w:rPr>
          <w:sz w:val="20"/>
        </w:rPr>
      </w:pPr>
    </w:p>
    <w:p w14:paraId="0546DD1E" w14:textId="27A014E5" w:rsidR="005459DA" w:rsidRDefault="005459DA" w:rsidP="005459DA">
      <w:pPr>
        <w:ind w:left="720" w:hanging="360"/>
        <w:jc w:val="both"/>
        <w:rPr>
          <w:b/>
          <w:sz w:val="20"/>
        </w:rPr>
      </w:pPr>
      <w:r>
        <w:rPr>
          <w:sz w:val="20"/>
        </w:rPr>
        <w:t>a.</w:t>
      </w:r>
      <w:r>
        <w:rPr>
          <w:sz w:val="20"/>
        </w:rPr>
        <w:tab/>
        <w:t>A certified product data sheet for each coating, finishing material, thinner, contact adhesive and strippable spray booth coating subject to the emission limits in 40 CFR 63.802.</w:t>
      </w:r>
      <w:r>
        <w:rPr>
          <w:rFonts w:cs="Arial"/>
          <w:sz w:val="20"/>
          <w:vertAlign w:val="superscript"/>
        </w:rPr>
        <w:t>2</w:t>
      </w:r>
      <w:r>
        <w:rPr>
          <w:sz w:val="20"/>
        </w:rPr>
        <w:t xml:space="preserve">  </w:t>
      </w:r>
      <w:r>
        <w:rPr>
          <w:b/>
          <w:sz w:val="20"/>
        </w:rPr>
        <w:t>(40 CFR 63.806(b)(1))</w:t>
      </w:r>
    </w:p>
    <w:p w14:paraId="434E5C39" w14:textId="77777777" w:rsidR="00AF5BE3" w:rsidRDefault="00AF5BE3" w:rsidP="005459DA">
      <w:pPr>
        <w:ind w:left="720" w:hanging="360"/>
        <w:jc w:val="both"/>
        <w:rPr>
          <w:sz w:val="20"/>
        </w:rPr>
      </w:pPr>
    </w:p>
    <w:p w14:paraId="0A9D76CF" w14:textId="3034D80A" w:rsidR="005459DA" w:rsidRDefault="005459DA" w:rsidP="005459DA">
      <w:pPr>
        <w:ind w:left="720" w:hanging="360"/>
        <w:jc w:val="both"/>
        <w:rPr>
          <w:b/>
          <w:sz w:val="20"/>
        </w:rPr>
      </w:pPr>
      <w:r>
        <w:rPr>
          <w:sz w:val="20"/>
        </w:rPr>
        <w:t>b.</w:t>
      </w:r>
      <w:r>
        <w:rPr>
          <w:sz w:val="20"/>
        </w:rPr>
        <w:tab/>
        <w:t>The VHAP content, in kg VHAP/kg solids (lb VHAP/lb solids), as applied, of each coating, finishing material and contact adhesive subject to the emission limits in 40 CFR 63.802.</w:t>
      </w:r>
      <w:r>
        <w:rPr>
          <w:rFonts w:cs="Arial"/>
          <w:sz w:val="20"/>
          <w:vertAlign w:val="superscript"/>
        </w:rPr>
        <w:t>2</w:t>
      </w:r>
      <w:r>
        <w:rPr>
          <w:sz w:val="20"/>
        </w:rPr>
        <w:t xml:space="preserve">  </w:t>
      </w:r>
      <w:r>
        <w:rPr>
          <w:b/>
          <w:sz w:val="20"/>
        </w:rPr>
        <w:t>(40 CFR 63.806(b)(2))</w:t>
      </w:r>
    </w:p>
    <w:p w14:paraId="7650CF98" w14:textId="77777777" w:rsidR="00AF5BE3" w:rsidRDefault="00AF5BE3" w:rsidP="005459DA">
      <w:pPr>
        <w:ind w:left="720" w:hanging="360"/>
        <w:jc w:val="both"/>
        <w:rPr>
          <w:sz w:val="20"/>
        </w:rPr>
      </w:pPr>
    </w:p>
    <w:p w14:paraId="7BE4185C" w14:textId="153903DD" w:rsidR="00AD3716" w:rsidRDefault="005459DA" w:rsidP="005459DA">
      <w:pPr>
        <w:ind w:left="720" w:hanging="360"/>
        <w:jc w:val="both"/>
        <w:rPr>
          <w:b/>
          <w:sz w:val="20"/>
        </w:rPr>
      </w:pPr>
      <w:r>
        <w:rPr>
          <w:sz w:val="20"/>
        </w:rPr>
        <w:t>c.</w:t>
      </w:r>
      <w:r>
        <w:rPr>
          <w:sz w:val="20"/>
        </w:rPr>
        <w:tab/>
        <w:t>The VOC content, in kg VOC/kg solids (lb VOC/lb solids), as applied, of each strippable booth coating subject to the emission limits in 40 CFR 63.802(a)(3) or 40 CFR 63.802(b)(3).</w:t>
      </w:r>
      <w:r w:rsidRPr="00210A10">
        <w:rPr>
          <w:sz w:val="20"/>
          <w:vertAlign w:val="superscript"/>
        </w:rPr>
        <w:t>2</w:t>
      </w:r>
      <w:r>
        <w:rPr>
          <w:sz w:val="20"/>
        </w:rPr>
        <w:t xml:space="preserve">  </w:t>
      </w:r>
      <w:r>
        <w:rPr>
          <w:b/>
          <w:sz w:val="20"/>
        </w:rPr>
        <w:t>(40 CFR 63.806(b)(3))</w:t>
      </w:r>
    </w:p>
    <w:p w14:paraId="475602B0" w14:textId="77777777" w:rsidR="00AF5BE3" w:rsidRPr="00AF5BE3" w:rsidRDefault="00AF5BE3" w:rsidP="005459DA">
      <w:pPr>
        <w:ind w:left="720" w:hanging="360"/>
        <w:jc w:val="both"/>
        <w:rPr>
          <w:bCs/>
          <w:sz w:val="20"/>
        </w:rPr>
      </w:pPr>
    </w:p>
    <w:p w14:paraId="105C3E70" w14:textId="2133412F" w:rsidR="00716182" w:rsidRPr="00185AF1" w:rsidRDefault="00767340" w:rsidP="005459DA">
      <w:pPr>
        <w:ind w:left="720" w:hanging="360"/>
        <w:jc w:val="both"/>
        <w:rPr>
          <w:b/>
          <w:sz w:val="20"/>
        </w:rPr>
      </w:pPr>
      <w:r w:rsidRPr="00AF5BE3">
        <w:rPr>
          <w:bCs/>
          <w:sz w:val="20"/>
        </w:rPr>
        <w:t xml:space="preserve">d. </w:t>
      </w:r>
      <w:r w:rsidRPr="00AF5BE3">
        <w:rPr>
          <w:bCs/>
          <w:sz w:val="20"/>
        </w:rPr>
        <w:tab/>
        <w:t>The formaldehyde content (C</w:t>
      </w:r>
      <w:r w:rsidRPr="00AF5BE3">
        <w:rPr>
          <w:bCs/>
          <w:sz w:val="18"/>
          <w:szCs w:val="18"/>
          <w:vertAlign w:val="subscript"/>
        </w:rPr>
        <w:t>f</w:t>
      </w:r>
      <w:r w:rsidRPr="00AF5BE3">
        <w:rPr>
          <w:bCs/>
          <w:sz w:val="20"/>
        </w:rPr>
        <w:t>)</w:t>
      </w:r>
      <w:r w:rsidR="00E45ED4" w:rsidRPr="00AF5BE3">
        <w:rPr>
          <w:bCs/>
          <w:sz w:val="20"/>
        </w:rPr>
        <w:t xml:space="preserve"> in lb/gal as applied, of each finishing materials</w:t>
      </w:r>
      <w:r w:rsidR="002C6F38" w:rsidRPr="00AF5BE3">
        <w:rPr>
          <w:bCs/>
          <w:sz w:val="20"/>
        </w:rPr>
        <w:t xml:space="preserve"> </w:t>
      </w:r>
      <w:r w:rsidR="00AF5BE3">
        <w:rPr>
          <w:bCs/>
          <w:sz w:val="20"/>
        </w:rPr>
        <w:t>and</w:t>
      </w:r>
      <w:r w:rsidR="002C6F38" w:rsidRPr="00AF5BE3">
        <w:rPr>
          <w:bCs/>
          <w:sz w:val="20"/>
        </w:rPr>
        <w:t xml:space="preserve"> contact adhesives (G</w:t>
      </w:r>
      <w:r w:rsidR="002C6F38" w:rsidRPr="00AF5BE3">
        <w:rPr>
          <w:bCs/>
          <w:sz w:val="18"/>
          <w:szCs w:val="18"/>
          <w:vertAlign w:val="subscript"/>
        </w:rPr>
        <w:t>f</w:t>
      </w:r>
      <w:r w:rsidR="002C6F38" w:rsidRPr="00AF5BE3">
        <w:rPr>
          <w:bCs/>
          <w:sz w:val="20"/>
        </w:rPr>
        <w:t>)</w:t>
      </w:r>
      <w:r w:rsidR="00497085" w:rsidRPr="00AF5BE3">
        <w:rPr>
          <w:bCs/>
          <w:sz w:val="20"/>
        </w:rPr>
        <w:t xml:space="preserve"> in</w:t>
      </w:r>
      <w:r w:rsidR="00497085" w:rsidRPr="00E40E16">
        <w:rPr>
          <w:bCs/>
          <w:sz w:val="20"/>
        </w:rPr>
        <w:t xml:space="preserve"> lb/gal subject to the emission limi</w:t>
      </w:r>
      <w:r w:rsidR="00967AD4" w:rsidRPr="00E40E16">
        <w:rPr>
          <w:bCs/>
          <w:sz w:val="20"/>
        </w:rPr>
        <w:t>t in 40 CFR 63.802(a)(4) or (b)(4)</w:t>
      </w:r>
      <w:r w:rsidR="005D3969" w:rsidRPr="00E40E16">
        <w:rPr>
          <w:bCs/>
          <w:sz w:val="20"/>
        </w:rPr>
        <w:t xml:space="preserve"> </w:t>
      </w:r>
      <w:r w:rsidR="00AF5BE3">
        <w:rPr>
          <w:bCs/>
          <w:sz w:val="20"/>
        </w:rPr>
        <w:t>and</w:t>
      </w:r>
      <w:r w:rsidR="005D3969" w:rsidRPr="00E40E16">
        <w:rPr>
          <w:bCs/>
          <w:sz w:val="20"/>
        </w:rPr>
        <w:t xml:space="preserve"> </w:t>
      </w:r>
      <w:bookmarkStart w:id="85" w:name="_Hlk106975934"/>
      <w:r w:rsidR="005D3969" w:rsidRPr="00E40E16">
        <w:rPr>
          <w:bCs/>
          <w:sz w:val="20"/>
        </w:rPr>
        <w:t>choose to comply with the 400 lbs/yr</w:t>
      </w:r>
      <w:r w:rsidR="00AB360A" w:rsidRPr="00E40E16">
        <w:rPr>
          <w:bCs/>
          <w:sz w:val="20"/>
        </w:rPr>
        <w:t xml:space="preserve"> limit on formaldehyde in </w:t>
      </w:r>
      <w:r w:rsidR="008F78E4" w:rsidRPr="00E40E16">
        <w:rPr>
          <w:bCs/>
          <w:sz w:val="20"/>
        </w:rPr>
        <w:t>40 CFR 63.802(a)(4)(i) or (b)(4)(i)</w:t>
      </w:r>
      <w:r w:rsidR="00A34580" w:rsidRPr="00E40E16">
        <w:rPr>
          <w:bCs/>
          <w:sz w:val="20"/>
        </w:rPr>
        <w:t>.</w:t>
      </w:r>
      <w:r w:rsidR="00A34580">
        <w:rPr>
          <w:b/>
          <w:sz w:val="20"/>
        </w:rPr>
        <w:t xml:space="preserve"> </w:t>
      </w:r>
      <w:bookmarkEnd w:id="85"/>
      <w:r w:rsidR="00C4429E" w:rsidRPr="00C4429E">
        <w:rPr>
          <w:b/>
          <w:sz w:val="20"/>
        </w:rPr>
        <w:t>(40 CFR 63.806(b)(</w:t>
      </w:r>
      <w:r w:rsidR="00C4429E">
        <w:rPr>
          <w:b/>
          <w:sz w:val="20"/>
        </w:rPr>
        <w:t>4</w:t>
      </w:r>
      <w:r w:rsidR="00C4429E" w:rsidRPr="00C4429E">
        <w:rPr>
          <w:b/>
          <w:sz w:val="20"/>
        </w:rPr>
        <w:t>))</w:t>
      </w:r>
      <w:r w:rsidR="00A34580">
        <w:rPr>
          <w:b/>
          <w:sz w:val="20"/>
        </w:rPr>
        <w:t xml:space="preserve"> </w:t>
      </w:r>
    </w:p>
    <w:p w14:paraId="15690FEC" w14:textId="77777777" w:rsidR="005459DA" w:rsidRDefault="005459DA" w:rsidP="005459DA">
      <w:pPr>
        <w:jc w:val="both"/>
        <w:rPr>
          <w:sz w:val="20"/>
        </w:rPr>
      </w:pPr>
    </w:p>
    <w:p w14:paraId="7A94881A" w14:textId="5C77EF24" w:rsidR="005459DA" w:rsidRDefault="00185AF1" w:rsidP="005459DA">
      <w:pPr>
        <w:ind w:left="360" w:hanging="360"/>
        <w:jc w:val="both"/>
        <w:rPr>
          <w:sz w:val="20"/>
        </w:rPr>
      </w:pPr>
      <w:r>
        <w:rPr>
          <w:sz w:val="20"/>
        </w:rPr>
        <w:t>10</w:t>
      </w:r>
      <w:r w:rsidR="005459DA">
        <w:rPr>
          <w:sz w:val="20"/>
        </w:rPr>
        <w:t>.</w:t>
      </w:r>
      <w:r w:rsidR="005459DA">
        <w:rPr>
          <w:sz w:val="20"/>
        </w:rPr>
        <w:tab/>
        <w:t>Finishing Operations – Averaging Approach:</w:t>
      </w:r>
    </w:p>
    <w:p w14:paraId="52A3BBBC" w14:textId="67A61A2D" w:rsidR="005459DA" w:rsidRDefault="005459DA" w:rsidP="005459DA">
      <w:pPr>
        <w:ind w:left="360"/>
        <w:jc w:val="both"/>
        <w:rPr>
          <w:sz w:val="20"/>
        </w:rPr>
      </w:pPr>
      <w:r>
        <w:rPr>
          <w:sz w:val="20"/>
        </w:rPr>
        <w:t>The permittee following the compliance method in 40 CFR 63.804(a)(1) or (d)(1), shall maintain copies of the averaging calculation for each month following the compliance date, as well as the data on the quantity of coatings and thinners used that is necessary to support the calculation of the emission limit (E) in Equation 1.</w:t>
      </w:r>
      <w:r w:rsidRPr="00210A10">
        <w:rPr>
          <w:sz w:val="20"/>
          <w:vertAlign w:val="superscript"/>
        </w:rPr>
        <w:t>2</w:t>
      </w:r>
      <w:r w:rsidR="00AF5BE3">
        <w:rPr>
          <w:sz w:val="20"/>
          <w:vertAlign w:val="superscript"/>
        </w:rPr>
        <w:t xml:space="preserve">  </w:t>
      </w:r>
      <w:r>
        <w:rPr>
          <w:b/>
          <w:sz w:val="20"/>
        </w:rPr>
        <w:t>(40 CFR 63.806(c))</w:t>
      </w:r>
    </w:p>
    <w:p w14:paraId="6E660AF0" w14:textId="77777777" w:rsidR="005459DA" w:rsidRDefault="005459DA" w:rsidP="005459DA">
      <w:pPr>
        <w:jc w:val="both"/>
        <w:rPr>
          <w:sz w:val="20"/>
        </w:rPr>
      </w:pPr>
    </w:p>
    <w:p w14:paraId="5BBE8BC0" w14:textId="6A36B245" w:rsidR="005459DA" w:rsidRDefault="00185AF1" w:rsidP="005459DA">
      <w:pPr>
        <w:ind w:left="360" w:hanging="360"/>
        <w:jc w:val="both"/>
        <w:rPr>
          <w:sz w:val="20"/>
        </w:rPr>
      </w:pPr>
      <w:r>
        <w:rPr>
          <w:sz w:val="20"/>
        </w:rPr>
        <w:t>11</w:t>
      </w:r>
      <w:r w:rsidR="005459DA">
        <w:rPr>
          <w:sz w:val="20"/>
        </w:rPr>
        <w:t>.</w:t>
      </w:r>
      <w:r w:rsidR="005459DA">
        <w:rPr>
          <w:sz w:val="20"/>
        </w:rPr>
        <w:tab/>
        <w:t>Finishing Operations – Continuous Coating/Compliant Finishing Materials:</w:t>
      </w:r>
    </w:p>
    <w:p w14:paraId="38043A9D" w14:textId="6A471ECA" w:rsidR="005459DA" w:rsidRDefault="005459DA" w:rsidP="005459DA">
      <w:pPr>
        <w:ind w:left="360"/>
        <w:jc w:val="both"/>
        <w:rPr>
          <w:sz w:val="20"/>
        </w:rPr>
      </w:pPr>
      <w:r>
        <w:rPr>
          <w:sz w:val="20"/>
        </w:rPr>
        <w:t>The permittee following the compliance method in 40 CFR 63.804(f)(3)(ii) or 40 CFR 63.804(g)(3)(ii), shall maintain the records required by 40 CFR 63.806(b), as well as records of the following:</w:t>
      </w:r>
    </w:p>
    <w:p w14:paraId="4575218B" w14:textId="77777777" w:rsidR="00AF5BE3" w:rsidRDefault="00AF5BE3" w:rsidP="005459DA">
      <w:pPr>
        <w:ind w:left="360"/>
        <w:jc w:val="both"/>
        <w:rPr>
          <w:sz w:val="20"/>
        </w:rPr>
      </w:pPr>
    </w:p>
    <w:p w14:paraId="1549682A" w14:textId="76344A5B" w:rsidR="005459DA" w:rsidRDefault="005459DA" w:rsidP="005459DA">
      <w:pPr>
        <w:ind w:left="720" w:hanging="360"/>
        <w:jc w:val="both"/>
        <w:rPr>
          <w:b/>
          <w:sz w:val="20"/>
        </w:rPr>
      </w:pPr>
      <w:r>
        <w:rPr>
          <w:kern w:val="28"/>
          <w:sz w:val="20"/>
        </w:rPr>
        <w:t>a.</w:t>
      </w:r>
      <w:r>
        <w:rPr>
          <w:kern w:val="28"/>
          <w:sz w:val="20"/>
        </w:rPr>
        <w:tab/>
        <w:t>Solvent and coating additions to the continuous coater reservoir.</w:t>
      </w:r>
      <w:r>
        <w:rPr>
          <w:rFonts w:cs="Arial"/>
          <w:sz w:val="20"/>
          <w:vertAlign w:val="superscript"/>
        </w:rPr>
        <w:t>2</w:t>
      </w:r>
      <w:r>
        <w:rPr>
          <w:kern w:val="28"/>
          <w:sz w:val="20"/>
        </w:rPr>
        <w:t xml:space="preserve">  </w:t>
      </w:r>
      <w:r>
        <w:rPr>
          <w:b/>
          <w:kern w:val="28"/>
          <w:sz w:val="20"/>
        </w:rPr>
        <w:t xml:space="preserve">(40 CFR </w:t>
      </w:r>
      <w:r>
        <w:rPr>
          <w:b/>
          <w:sz w:val="20"/>
        </w:rPr>
        <w:t>63.806(d)(1))</w:t>
      </w:r>
    </w:p>
    <w:p w14:paraId="4F1582B6" w14:textId="77777777" w:rsidR="00AF5BE3" w:rsidRDefault="00AF5BE3" w:rsidP="005459DA">
      <w:pPr>
        <w:ind w:left="720" w:hanging="360"/>
        <w:jc w:val="both"/>
        <w:rPr>
          <w:sz w:val="20"/>
          <w:vertAlign w:val="superscript"/>
        </w:rPr>
      </w:pPr>
    </w:p>
    <w:p w14:paraId="3C2DBF8A" w14:textId="3994BC7F" w:rsidR="005459DA" w:rsidRDefault="005459DA" w:rsidP="005459DA">
      <w:pPr>
        <w:ind w:left="720" w:hanging="360"/>
        <w:jc w:val="both"/>
        <w:rPr>
          <w:b/>
          <w:sz w:val="20"/>
        </w:rPr>
      </w:pPr>
      <w:r>
        <w:rPr>
          <w:sz w:val="20"/>
        </w:rPr>
        <w:t>b.</w:t>
      </w:r>
      <w:r>
        <w:rPr>
          <w:sz w:val="20"/>
        </w:rPr>
        <w:tab/>
        <w:t>Viscosity measurements.</w:t>
      </w:r>
      <w:r>
        <w:rPr>
          <w:rFonts w:cs="Arial"/>
          <w:sz w:val="20"/>
          <w:vertAlign w:val="superscript"/>
        </w:rPr>
        <w:t>2</w:t>
      </w:r>
      <w:r>
        <w:rPr>
          <w:sz w:val="20"/>
        </w:rPr>
        <w:t xml:space="preserve">  </w:t>
      </w:r>
      <w:r>
        <w:rPr>
          <w:b/>
          <w:sz w:val="20"/>
        </w:rPr>
        <w:t>(40 CFR 63.806(d)(2))</w:t>
      </w:r>
    </w:p>
    <w:p w14:paraId="1A10164D" w14:textId="77777777" w:rsidR="00AF5BE3" w:rsidRDefault="00AF5BE3" w:rsidP="005459DA">
      <w:pPr>
        <w:ind w:left="720" w:hanging="360"/>
        <w:jc w:val="both"/>
        <w:rPr>
          <w:sz w:val="20"/>
        </w:rPr>
      </w:pPr>
    </w:p>
    <w:p w14:paraId="4219F862" w14:textId="142BA504" w:rsidR="005459DA" w:rsidRDefault="005459DA" w:rsidP="005459DA">
      <w:pPr>
        <w:ind w:left="720" w:hanging="360"/>
        <w:jc w:val="both"/>
        <w:rPr>
          <w:b/>
          <w:strike/>
          <w:sz w:val="20"/>
        </w:rPr>
      </w:pPr>
      <w:r>
        <w:rPr>
          <w:sz w:val="20"/>
        </w:rPr>
        <w:t>c.</w:t>
      </w:r>
      <w:r>
        <w:rPr>
          <w:sz w:val="20"/>
        </w:rPr>
        <w:tab/>
        <w:t>Data demonstrating that viscosity is an appropriate parameter for demonstrating compliance.</w:t>
      </w:r>
      <w:r w:rsidRPr="00210A10">
        <w:rPr>
          <w:sz w:val="20"/>
          <w:vertAlign w:val="superscript"/>
        </w:rPr>
        <w:t>2</w:t>
      </w:r>
      <w:r>
        <w:rPr>
          <w:sz w:val="20"/>
          <w:vertAlign w:val="superscript"/>
        </w:rPr>
        <w:t xml:space="preserve">  </w:t>
      </w:r>
      <w:r>
        <w:rPr>
          <w:b/>
          <w:sz w:val="20"/>
        </w:rPr>
        <w:t>(40 CFR 63.806(</w:t>
      </w:r>
      <w:r w:rsidR="00791174">
        <w:rPr>
          <w:b/>
          <w:sz w:val="20"/>
        </w:rPr>
        <w:t>d)(3))</w:t>
      </w:r>
    </w:p>
    <w:p w14:paraId="795AACFA" w14:textId="13D70993" w:rsidR="005459DA" w:rsidRDefault="005459DA" w:rsidP="005459DA">
      <w:pPr>
        <w:jc w:val="both"/>
        <w:rPr>
          <w:sz w:val="20"/>
        </w:rPr>
      </w:pPr>
    </w:p>
    <w:p w14:paraId="26AAE9CF" w14:textId="68ACE302" w:rsidR="005459DA" w:rsidRDefault="00185AF1" w:rsidP="00C6375D">
      <w:pPr>
        <w:ind w:left="360" w:hanging="360"/>
        <w:jc w:val="both"/>
        <w:rPr>
          <w:sz w:val="20"/>
        </w:rPr>
      </w:pPr>
      <w:r>
        <w:rPr>
          <w:sz w:val="20"/>
        </w:rPr>
        <w:t>12</w:t>
      </w:r>
      <w:r w:rsidR="005459DA">
        <w:rPr>
          <w:sz w:val="20"/>
        </w:rPr>
        <w:t>.</w:t>
      </w:r>
      <w:r w:rsidR="005459DA">
        <w:rPr>
          <w:sz w:val="20"/>
        </w:rPr>
        <w:tab/>
        <w:t>Control System:</w:t>
      </w:r>
    </w:p>
    <w:p w14:paraId="05D86EC3" w14:textId="6BD69C35" w:rsidR="005459DA" w:rsidRDefault="005A29AA" w:rsidP="000E1FDD">
      <w:pPr>
        <w:ind w:left="360" w:hanging="360"/>
        <w:jc w:val="both"/>
        <w:rPr>
          <w:b/>
          <w:sz w:val="20"/>
        </w:rPr>
      </w:pPr>
      <w:r>
        <w:rPr>
          <w:sz w:val="20"/>
        </w:rPr>
        <w:tab/>
      </w:r>
      <w:r w:rsidR="005459DA">
        <w:rPr>
          <w:sz w:val="20"/>
        </w:rPr>
        <w:t>The permittee following the compliance method of 40 CFR 63.804(f)(4) or 40 CFR 63.804(g)(4), shall maintain copies of the calculations demonstrating that the overall control efficiency (R) of the control system results in the value of the emission limit after the control (E</w:t>
      </w:r>
      <w:r w:rsidR="005459DA">
        <w:rPr>
          <w:sz w:val="20"/>
          <w:vertAlign w:val="subscript"/>
        </w:rPr>
        <w:t>ac</w:t>
      </w:r>
      <w:r w:rsidR="005459DA">
        <w:rPr>
          <w:sz w:val="20"/>
        </w:rPr>
        <w:t>) required by Equation 2, records of the operating parameter values and copies of the semiannual compliance reports required by 40 CFR 63.807(d</w:t>
      </w:r>
      <w:r w:rsidR="005459DA" w:rsidRPr="00210A10">
        <w:rPr>
          <w:sz w:val="20"/>
        </w:rPr>
        <w:t>).</w:t>
      </w:r>
      <w:r w:rsidR="00C33BCB" w:rsidRPr="00210A10">
        <w:rPr>
          <w:sz w:val="20"/>
          <w:vertAlign w:val="superscript"/>
        </w:rPr>
        <w:t>2</w:t>
      </w:r>
      <w:r w:rsidR="00C33BCB">
        <w:t xml:space="preserve"> </w:t>
      </w:r>
      <w:r w:rsidR="00AF5BE3">
        <w:t xml:space="preserve"> </w:t>
      </w:r>
      <w:r w:rsidR="00C33BCB">
        <w:t>(</w:t>
      </w:r>
      <w:r w:rsidR="005459DA">
        <w:rPr>
          <w:b/>
          <w:sz w:val="20"/>
        </w:rPr>
        <w:t>40 CFR 63.806(f))</w:t>
      </w:r>
    </w:p>
    <w:p w14:paraId="23338F86" w14:textId="77777777" w:rsidR="00C90CC4" w:rsidRPr="003F4958" w:rsidRDefault="00C90CC4" w:rsidP="000E1FDD">
      <w:pPr>
        <w:ind w:left="360" w:hanging="360"/>
        <w:jc w:val="both"/>
      </w:pPr>
    </w:p>
    <w:p w14:paraId="25A821C7" w14:textId="47CCB3CB" w:rsidR="005459DA" w:rsidRDefault="00185AF1" w:rsidP="005459DA">
      <w:pPr>
        <w:ind w:left="360" w:hanging="360"/>
        <w:jc w:val="both"/>
        <w:rPr>
          <w:sz w:val="20"/>
        </w:rPr>
      </w:pPr>
      <w:r>
        <w:rPr>
          <w:sz w:val="20"/>
        </w:rPr>
        <w:lastRenderedPageBreak/>
        <w:t>1</w:t>
      </w:r>
      <w:r w:rsidR="00BF0D8B">
        <w:rPr>
          <w:sz w:val="20"/>
        </w:rPr>
        <w:t>3</w:t>
      </w:r>
      <w:r w:rsidR="005459DA">
        <w:rPr>
          <w:sz w:val="20"/>
        </w:rPr>
        <w:t>.</w:t>
      </w:r>
      <w:r w:rsidR="005459DA">
        <w:rPr>
          <w:sz w:val="20"/>
        </w:rPr>
        <w:tab/>
        <w:t>Finishing Operations – Combination of Compliance Methods:</w:t>
      </w:r>
    </w:p>
    <w:p w14:paraId="3E24A636" w14:textId="77777777" w:rsidR="005459DA" w:rsidRPr="003F4958" w:rsidRDefault="005459DA" w:rsidP="005459DA">
      <w:pPr>
        <w:ind w:left="360"/>
        <w:jc w:val="both"/>
      </w:pPr>
      <w:r>
        <w:rPr>
          <w:sz w:val="20"/>
        </w:rPr>
        <w:t>The permittee following the compliance method of 40 CFR 63.804(f)(6) or 40 CFR 63.804(g)(6), shall maintain copies of the calculations demonstrating that the overall control efficiency (R) of the control system results in the applicable value of VHAP limit of contact adhesives (G</w:t>
      </w:r>
      <w:r>
        <w:rPr>
          <w:sz w:val="20"/>
          <w:vertAlign w:val="subscript"/>
        </w:rPr>
        <w:t>ac</w:t>
      </w:r>
      <w:r>
        <w:rPr>
          <w:sz w:val="20"/>
        </w:rPr>
        <w:t>) calculated using Equation 3, records of the operating parameter values and copies of the semiannual compliance reports required by 40 CFR 63.807(d).</w:t>
      </w:r>
      <w:r w:rsidRPr="00210A10">
        <w:rPr>
          <w:sz w:val="20"/>
          <w:vertAlign w:val="superscript"/>
        </w:rPr>
        <w:t>2</w:t>
      </w:r>
      <w:r>
        <w:t xml:space="preserve">  </w:t>
      </w:r>
      <w:r>
        <w:rPr>
          <w:b/>
          <w:sz w:val="20"/>
        </w:rPr>
        <w:t>(40 CFR 63.806(g))</w:t>
      </w:r>
    </w:p>
    <w:p w14:paraId="1F093412" w14:textId="77777777" w:rsidR="005459DA" w:rsidRDefault="005459DA" w:rsidP="005459DA">
      <w:pPr>
        <w:jc w:val="both"/>
        <w:rPr>
          <w:sz w:val="20"/>
        </w:rPr>
      </w:pPr>
    </w:p>
    <w:p w14:paraId="3F1F50D5" w14:textId="024493A8" w:rsidR="005459DA" w:rsidRDefault="00185AF1" w:rsidP="005459DA">
      <w:pPr>
        <w:ind w:left="360" w:hanging="360"/>
        <w:jc w:val="both"/>
        <w:rPr>
          <w:sz w:val="20"/>
        </w:rPr>
      </w:pPr>
      <w:r>
        <w:rPr>
          <w:sz w:val="20"/>
        </w:rPr>
        <w:t>1</w:t>
      </w:r>
      <w:r w:rsidR="00BF0D8B">
        <w:rPr>
          <w:sz w:val="20"/>
        </w:rPr>
        <w:t>4</w:t>
      </w:r>
      <w:r w:rsidR="005459DA">
        <w:rPr>
          <w:sz w:val="20"/>
        </w:rPr>
        <w:t>.</w:t>
      </w:r>
      <w:r w:rsidR="005459DA">
        <w:rPr>
          <w:sz w:val="20"/>
        </w:rPr>
        <w:tab/>
        <w:t>Work Practice Plan:</w:t>
      </w:r>
    </w:p>
    <w:p w14:paraId="2F6CE15C" w14:textId="34905398" w:rsidR="005459DA" w:rsidRDefault="005459DA" w:rsidP="005459DA">
      <w:pPr>
        <w:tabs>
          <w:tab w:val="left" w:pos="-2880"/>
        </w:tabs>
        <w:ind w:left="360"/>
        <w:jc w:val="both"/>
        <w:rPr>
          <w:sz w:val="20"/>
        </w:rPr>
      </w:pPr>
      <w:r>
        <w:rPr>
          <w:sz w:val="20"/>
        </w:rPr>
        <w:t>The permittee shall maintain, on-site, the work practice implementation plan and all records associated with fulfilling the requirements of that plan, including, but not limited to:</w:t>
      </w:r>
    </w:p>
    <w:p w14:paraId="1FE3B747" w14:textId="77777777" w:rsidR="00AF5BE3" w:rsidRDefault="00AF5BE3" w:rsidP="005459DA">
      <w:pPr>
        <w:tabs>
          <w:tab w:val="left" w:pos="-2880"/>
        </w:tabs>
        <w:ind w:left="360"/>
        <w:jc w:val="both"/>
        <w:rPr>
          <w:sz w:val="20"/>
        </w:rPr>
      </w:pPr>
    </w:p>
    <w:p w14:paraId="7F0E4210" w14:textId="7DFAD616" w:rsidR="005459DA" w:rsidRDefault="005459DA" w:rsidP="005459DA">
      <w:pPr>
        <w:tabs>
          <w:tab w:val="left" w:pos="-2880"/>
        </w:tabs>
        <w:ind w:left="720" w:hanging="360"/>
        <w:jc w:val="both"/>
        <w:rPr>
          <w:b/>
          <w:sz w:val="20"/>
        </w:rPr>
      </w:pPr>
      <w:r>
        <w:rPr>
          <w:sz w:val="20"/>
        </w:rPr>
        <w:t>a.</w:t>
      </w:r>
      <w:r>
        <w:rPr>
          <w:sz w:val="20"/>
        </w:rPr>
        <w:tab/>
        <w:t>Records demonstrating that the operator training program required by 40 CFR 63.803(b) is in place.</w:t>
      </w:r>
      <w:r>
        <w:rPr>
          <w:rFonts w:cs="Arial"/>
          <w:sz w:val="20"/>
          <w:vertAlign w:val="superscript"/>
        </w:rPr>
        <w:t>2</w:t>
      </w:r>
      <w:r>
        <w:rPr>
          <w:sz w:val="20"/>
        </w:rPr>
        <w:t xml:space="preserve">  </w:t>
      </w:r>
      <w:r>
        <w:rPr>
          <w:b/>
          <w:sz w:val="20"/>
        </w:rPr>
        <w:t>(40 CFR 63.806(e)(1))</w:t>
      </w:r>
    </w:p>
    <w:p w14:paraId="1AF40C25" w14:textId="77777777" w:rsidR="00AF5BE3" w:rsidRDefault="00AF5BE3" w:rsidP="005459DA">
      <w:pPr>
        <w:tabs>
          <w:tab w:val="left" w:pos="-2880"/>
        </w:tabs>
        <w:ind w:left="720" w:hanging="360"/>
        <w:jc w:val="both"/>
        <w:rPr>
          <w:sz w:val="20"/>
        </w:rPr>
      </w:pPr>
    </w:p>
    <w:p w14:paraId="61095021" w14:textId="1F82AE8D" w:rsidR="005459DA" w:rsidRDefault="005459DA" w:rsidP="005459DA">
      <w:pPr>
        <w:tabs>
          <w:tab w:val="left" w:pos="-2880"/>
        </w:tabs>
        <w:ind w:left="720" w:hanging="360"/>
        <w:jc w:val="both"/>
        <w:rPr>
          <w:b/>
          <w:sz w:val="20"/>
        </w:rPr>
      </w:pPr>
      <w:r>
        <w:rPr>
          <w:sz w:val="20"/>
        </w:rPr>
        <w:t>b.</w:t>
      </w:r>
      <w:r>
        <w:rPr>
          <w:sz w:val="20"/>
        </w:rPr>
        <w:tab/>
        <w:t>Records collected in accordance with the inspection and maintenance plan required by 40 CFR 63.803(c).</w:t>
      </w:r>
      <w:r>
        <w:rPr>
          <w:rFonts w:cs="Arial"/>
          <w:sz w:val="20"/>
          <w:vertAlign w:val="superscript"/>
        </w:rPr>
        <w:t>2</w:t>
      </w:r>
      <w:r>
        <w:rPr>
          <w:sz w:val="20"/>
        </w:rPr>
        <w:t xml:space="preserve"> </w:t>
      </w:r>
      <w:r>
        <w:rPr>
          <w:b/>
          <w:sz w:val="20"/>
        </w:rPr>
        <w:t>(40 CFR 63.806(e)(2))</w:t>
      </w:r>
    </w:p>
    <w:p w14:paraId="736F1928" w14:textId="77777777" w:rsidR="00AF5BE3" w:rsidRDefault="00AF5BE3" w:rsidP="005459DA">
      <w:pPr>
        <w:tabs>
          <w:tab w:val="left" w:pos="-2880"/>
        </w:tabs>
        <w:ind w:left="720" w:hanging="360"/>
        <w:jc w:val="both"/>
        <w:rPr>
          <w:sz w:val="20"/>
        </w:rPr>
      </w:pPr>
    </w:p>
    <w:p w14:paraId="3D53E69E" w14:textId="08250DBE" w:rsidR="005459DA" w:rsidRDefault="005459DA" w:rsidP="005459DA">
      <w:pPr>
        <w:tabs>
          <w:tab w:val="left" w:pos="-2880"/>
        </w:tabs>
        <w:ind w:left="720" w:hanging="360"/>
        <w:jc w:val="both"/>
        <w:rPr>
          <w:b/>
          <w:sz w:val="20"/>
        </w:rPr>
      </w:pPr>
      <w:r>
        <w:rPr>
          <w:sz w:val="20"/>
        </w:rPr>
        <w:t>c.</w:t>
      </w:r>
      <w:r>
        <w:rPr>
          <w:sz w:val="20"/>
        </w:rPr>
        <w:tab/>
        <w:t>Records associated with the cleaning solvent accounting system required by 40 CFR 63.803(d).</w:t>
      </w:r>
      <w:r>
        <w:rPr>
          <w:rFonts w:cs="Arial"/>
          <w:sz w:val="20"/>
          <w:vertAlign w:val="superscript"/>
        </w:rPr>
        <w:t>2</w:t>
      </w:r>
      <w:r>
        <w:rPr>
          <w:sz w:val="20"/>
        </w:rPr>
        <w:t xml:space="preserve">  </w:t>
      </w:r>
      <w:r>
        <w:rPr>
          <w:b/>
          <w:sz w:val="20"/>
        </w:rPr>
        <w:t>(40 CFR 63.806(e)(3))</w:t>
      </w:r>
    </w:p>
    <w:p w14:paraId="108CEF65" w14:textId="77777777" w:rsidR="00AF5BE3" w:rsidRDefault="00AF5BE3" w:rsidP="005459DA">
      <w:pPr>
        <w:tabs>
          <w:tab w:val="left" w:pos="-2880"/>
        </w:tabs>
        <w:ind w:left="720" w:hanging="360"/>
        <w:jc w:val="both"/>
        <w:rPr>
          <w:sz w:val="20"/>
        </w:rPr>
      </w:pPr>
    </w:p>
    <w:p w14:paraId="14BF3A96" w14:textId="45456DE5" w:rsidR="005459DA" w:rsidRDefault="005459DA" w:rsidP="005459DA">
      <w:pPr>
        <w:tabs>
          <w:tab w:val="left" w:pos="-2880"/>
        </w:tabs>
        <w:ind w:left="720" w:hanging="360"/>
        <w:jc w:val="both"/>
        <w:rPr>
          <w:b/>
          <w:sz w:val="20"/>
        </w:rPr>
      </w:pPr>
      <w:r>
        <w:rPr>
          <w:sz w:val="20"/>
        </w:rPr>
        <w:t>d.</w:t>
      </w:r>
      <w:r>
        <w:rPr>
          <w:sz w:val="20"/>
        </w:rPr>
        <w:tab/>
        <w:t>Records associated with the formulation assessment plan required by 40 CFR 63.803(l).</w:t>
      </w:r>
      <w:r>
        <w:rPr>
          <w:rFonts w:cs="Arial"/>
          <w:sz w:val="20"/>
          <w:vertAlign w:val="superscript"/>
        </w:rPr>
        <w:t>2</w:t>
      </w:r>
      <w:r>
        <w:rPr>
          <w:sz w:val="20"/>
        </w:rPr>
        <w:t xml:space="preserve">  </w:t>
      </w:r>
      <w:r>
        <w:rPr>
          <w:b/>
          <w:sz w:val="20"/>
        </w:rPr>
        <w:t>(40 CFR 63.806(e)(5))</w:t>
      </w:r>
    </w:p>
    <w:p w14:paraId="0DD372EA" w14:textId="77777777" w:rsidR="00312938" w:rsidRDefault="00312938" w:rsidP="005459DA">
      <w:pPr>
        <w:tabs>
          <w:tab w:val="left" w:pos="-2880"/>
        </w:tabs>
        <w:ind w:left="720" w:hanging="360"/>
        <w:jc w:val="both"/>
        <w:rPr>
          <w:sz w:val="20"/>
        </w:rPr>
      </w:pPr>
    </w:p>
    <w:p w14:paraId="073743F1" w14:textId="09C8A01B" w:rsidR="005459DA" w:rsidRDefault="00312938" w:rsidP="005459DA">
      <w:pPr>
        <w:tabs>
          <w:tab w:val="left" w:pos="-2880"/>
        </w:tabs>
        <w:ind w:left="720" w:hanging="360"/>
        <w:jc w:val="both"/>
        <w:rPr>
          <w:sz w:val="20"/>
        </w:rPr>
      </w:pPr>
      <w:r>
        <w:rPr>
          <w:sz w:val="20"/>
        </w:rPr>
        <w:t>e</w:t>
      </w:r>
      <w:r w:rsidR="005459DA">
        <w:rPr>
          <w:sz w:val="20"/>
        </w:rPr>
        <w:t>.</w:t>
      </w:r>
      <w:r w:rsidR="005459DA">
        <w:rPr>
          <w:sz w:val="20"/>
        </w:rPr>
        <w:tab/>
        <w:t>Copies of documentation such as logs developed to demonstrate that the other provisions of the work practice implementation plan are followed.</w:t>
      </w:r>
      <w:r w:rsidR="00BF0D8B" w:rsidRPr="00210A10">
        <w:rPr>
          <w:sz w:val="20"/>
          <w:vertAlign w:val="superscript"/>
        </w:rPr>
        <w:t>2</w:t>
      </w:r>
      <w:r w:rsidR="00BF0D8B">
        <w:rPr>
          <w:sz w:val="20"/>
        </w:rPr>
        <w:t xml:space="preserve"> </w:t>
      </w:r>
      <w:r w:rsidR="00AF5BE3">
        <w:rPr>
          <w:sz w:val="20"/>
        </w:rPr>
        <w:t xml:space="preserve"> </w:t>
      </w:r>
      <w:r w:rsidR="00BF0D8B">
        <w:rPr>
          <w:sz w:val="20"/>
        </w:rPr>
        <w:t>(</w:t>
      </w:r>
      <w:r w:rsidR="005459DA">
        <w:rPr>
          <w:b/>
          <w:sz w:val="20"/>
        </w:rPr>
        <w:t>40 CFR 63.806(e)(6))</w:t>
      </w:r>
    </w:p>
    <w:p w14:paraId="2F12D15A" w14:textId="77777777" w:rsidR="000D4C31" w:rsidRDefault="000D4C31" w:rsidP="005459DA">
      <w:pPr>
        <w:rPr>
          <w:sz w:val="20"/>
        </w:rPr>
      </w:pPr>
    </w:p>
    <w:p w14:paraId="187689C6" w14:textId="70CA5516" w:rsidR="00723EC9" w:rsidRDefault="000D4C31" w:rsidP="005A7897">
      <w:pPr>
        <w:tabs>
          <w:tab w:val="left" w:pos="360"/>
        </w:tabs>
        <w:jc w:val="both"/>
        <w:rPr>
          <w:b/>
          <w:sz w:val="20"/>
        </w:rPr>
      </w:pPr>
      <w:r>
        <w:rPr>
          <w:sz w:val="20"/>
        </w:rPr>
        <w:t>1</w:t>
      </w:r>
      <w:r w:rsidR="00BF0D8B">
        <w:rPr>
          <w:sz w:val="20"/>
        </w:rPr>
        <w:t>5</w:t>
      </w:r>
      <w:r>
        <w:rPr>
          <w:sz w:val="20"/>
        </w:rPr>
        <w:t>.</w:t>
      </w:r>
      <w:r w:rsidR="002E3EAB">
        <w:rPr>
          <w:sz w:val="20"/>
        </w:rPr>
        <w:t xml:space="preserve"> The permittee shall calculate total </w:t>
      </w:r>
      <w:r w:rsidR="00C01C15">
        <w:rPr>
          <w:sz w:val="20"/>
        </w:rPr>
        <w:t>formaldehyde</w:t>
      </w:r>
      <w:r w:rsidR="002E3EAB">
        <w:rPr>
          <w:sz w:val="20"/>
        </w:rPr>
        <w:t xml:space="preserve"> emissions</w:t>
      </w:r>
      <w:r w:rsidR="00C01C15">
        <w:rPr>
          <w:sz w:val="20"/>
        </w:rPr>
        <w:t xml:space="preserve"> from all finishing materials </w:t>
      </w:r>
      <w:r w:rsidR="005A7897">
        <w:rPr>
          <w:sz w:val="20"/>
        </w:rPr>
        <w:t>and</w:t>
      </w:r>
      <w:r w:rsidR="00C01C15">
        <w:rPr>
          <w:sz w:val="20"/>
        </w:rPr>
        <w:t xml:space="preserve"> contact adhesives </w:t>
      </w:r>
      <w:r w:rsidR="005A7897">
        <w:rPr>
          <w:sz w:val="20"/>
        </w:rPr>
        <w:tab/>
      </w:r>
      <w:r w:rsidR="00C01C15">
        <w:rPr>
          <w:sz w:val="20"/>
        </w:rPr>
        <w:t xml:space="preserve">used in the facility </w:t>
      </w:r>
      <w:r w:rsidR="002845D3">
        <w:rPr>
          <w:sz w:val="20"/>
        </w:rPr>
        <w:t>and</w:t>
      </w:r>
      <w:r w:rsidR="00C01C15">
        <w:rPr>
          <w:sz w:val="20"/>
        </w:rPr>
        <w:t xml:space="preserve"> maintain a value</w:t>
      </w:r>
      <w:r w:rsidR="00A56DE8">
        <w:rPr>
          <w:sz w:val="20"/>
        </w:rPr>
        <w:t xml:space="preserve"> of F</w:t>
      </w:r>
      <w:r w:rsidR="00A56DE8" w:rsidRPr="00312938">
        <w:rPr>
          <w:sz w:val="18"/>
          <w:szCs w:val="18"/>
        </w:rPr>
        <w:t>total</w:t>
      </w:r>
      <w:r w:rsidR="00A56DE8">
        <w:rPr>
          <w:sz w:val="20"/>
        </w:rPr>
        <w:t xml:space="preserve"> </w:t>
      </w:r>
      <w:r w:rsidR="00D2115F">
        <w:rPr>
          <w:sz w:val="20"/>
        </w:rPr>
        <w:t xml:space="preserve">by using the equation below if the permittee </w:t>
      </w:r>
      <w:r w:rsidR="00D2115F" w:rsidRPr="00D2115F">
        <w:rPr>
          <w:bCs/>
          <w:sz w:val="20"/>
        </w:rPr>
        <w:t xml:space="preserve">chooses to </w:t>
      </w:r>
      <w:r w:rsidR="00BF0D8B">
        <w:rPr>
          <w:bCs/>
          <w:sz w:val="20"/>
        </w:rPr>
        <w:tab/>
      </w:r>
      <w:r w:rsidR="00D2115F" w:rsidRPr="00D2115F">
        <w:rPr>
          <w:bCs/>
          <w:sz w:val="20"/>
        </w:rPr>
        <w:t>comply with the 400 lbs/yr limit on formaldehyde in 40 CFR 63.802(a)(4)(i) or (b)(4)(i)</w:t>
      </w:r>
      <w:r w:rsidR="007337EF">
        <w:rPr>
          <w:bCs/>
          <w:sz w:val="20"/>
        </w:rPr>
        <w:t>:</w:t>
      </w:r>
      <w:r w:rsidR="00D2115F" w:rsidRPr="00D2115F">
        <w:rPr>
          <w:b/>
          <w:sz w:val="20"/>
        </w:rPr>
        <w:t xml:space="preserve"> </w:t>
      </w:r>
    </w:p>
    <w:p w14:paraId="33E56F0A" w14:textId="77777777" w:rsidR="00723EC9" w:rsidRDefault="00723EC9" w:rsidP="005459DA">
      <w:pPr>
        <w:rPr>
          <w:b/>
          <w:sz w:val="20"/>
        </w:rPr>
      </w:pPr>
    </w:p>
    <w:p w14:paraId="24B1F703" w14:textId="3D722EEF" w:rsidR="00682C99" w:rsidRDefault="00723EC9" w:rsidP="005459DA">
      <w:pPr>
        <w:rPr>
          <w:rFonts w:cs="Arial"/>
          <w:b/>
          <w:sz w:val="20"/>
        </w:rPr>
      </w:pPr>
      <w:r>
        <w:rPr>
          <w:b/>
          <w:sz w:val="20"/>
        </w:rPr>
        <w:tab/>
      </w:r>
      <w:r>
        <w:rPr>
          <w:b/>
          <w:sz w:val="20"/>
        </w:rPr>
        <w:tab/>
        <w:t>F</w:t>
      </w:r>
      <w:r w:rsidR="0004257A" w:rsidRPr="00312938">
        <w:rPr>
          <w:b/>
          <w:sz w:val="18"/>
          <w:szCs w:val="18"/>
          <w:vertAlign w:val="subscript"/>
        </w:rPr>
        <w:t xml:space="preserve">total </w:t>
      </w:r>
      <w:r>
        <w:rPr>
          <w:b/>
          <w:sz w:val="20"/>
        </w:rPr>
        <w:t>+ C</w:t>
      </w:r>
      <w:r w:rsidRPr="00312938">
        <w:rPr>
          <w:b/>
          <w:sz w:val="20"/>
          <w:vertAlign w:val="subscript"/>
        </w:rPr>
        <w:t>f1</w:t>
      </w:r>
      <w:r>
        <w:rPr>
          <w:b/>
          <w:sz w:val="20"/>
        </w:rPr>
        <w:t>V</w:t>
      </w:r>
      <w:r w:rsidR="006A0944" w:rsidRPr="00312938">
        <w:rPr>
          <w:b/>
          <w:sz w:val="20"/>
          <w:vertAlign w:val="subscript"/>
        </w:rPr>
        <w:t>c1</w:t>
      </w:r>
      <w:r w:rsidR="006A0944">
        <w:rPr>
          <w:b/>
          <w:sz w:val="20"/>
        </w:rPr>
        <w:t xml:space="preserve"> + C</w:t>
      </w:r>
      <w:r w:rsidR="006A0944" w:rsidRPr="00312938">
        <w:rPr>
          <w:b/>
          <w:sz w:val="20"/>
          <w:vertAlign w:val="subscript"/>
        </w:rPr>
        <w:t>f2</w:t>
      </w:r>
      <w:r w:rsidR="006A0944">
        <w:rPr>
          <w:b/>
          <w:sz w:val="20"/>
        </w:rPr>
        <w:t>V</w:t>
      </w:r>
      <w:r w:rsidR="006A0944" w:rsidRPr="00312938">
        <w:rPr>
          <w:b/>
          <w:sz w:val="20"/>
          <w:vertAlign w:val="subscript"/>
        </w:rPr>
        <w:t>c2</w:t>
      </w:r>
      <w:r w:rsidR="006A0944">
        <w:rPr>
          <w:b/>
          <w:sz w:val="20"/>
        </w:rPr>
        <w:t xml:space="preserve"> + </w:t>
      </w:r>
      <w:r w:rsidR="009106F7">
        <w:rPr>
          <w:rFonts w:cs="Arial"/>
          <w:b/>
          <w:sz w:val="20"/>
        </w:rPr>
        <w:t>∙∙∙</w:t>
      </w:r>
      <w:r w:rsidR="00682C99">
        <w:rPr>
          <w:rFonts w:cs="Arial"/>
          <w:b/>
          <w:sz w:val="20"/>
        </w:rPr>
        <w:t xml:space="preserve"> </w:t>
      </w:r>
      <w:r w:rsidR="000F3997">
        <w:rPr>
          <w:rFonts w:cs="Arial"/>
          <w:b/>
          <w:sz w:val="20"/>
        </w:rPr>
        <w:t>+ C</w:t>
      </w:r>
      <w:r w:rsidR="000F3997" w:rsidRPr="00312938">
        <w:rPr>
          <w:rFonts w:cs="Arial"/>
          <w:b/>
          <w:sz w:val="20"/>
          <w:vertAlign w:val="subscript"/>
        </w:rPr>
        <w:t>fn</w:t>
      </w:r>
      <w:r w:rsidR="000F3997">
        <w:rPr>
          <w:rFonts w:cs="Arial"/>
          <w:b/>
          <w:sz w:val="20"/>
        </w:rPr>
        <w:t>V</w:t>
      </w:r>
      <w:r w:rsidR="000F3997" w:rsidRPr="00312938">
        <w:rPr>
          <w:rFonts w:cs="Arial"/>
          <w:b/>
          <w:sz w:val="20"/>
          <w:vertAlign w:val="subscript"/>
        </w:rPr>
        <w:t>cn</w:t>
      </w:r>
      <w:r w:rsidR="00756253">
        <w:rPr>
          <w:b/>
          <w:sz w:val="20"/>
        </w:rPr>
        <w:t xml:space="preserve"> + G</w:t>
      </w:r>
      <w:r w:rsidR="00756253" w:rsidRPr="00312938">
        <w:rPr>
          <w:b/>
          <w:sz w:val="20"/>
          <w:vertAlign w:val="subscript"/>
        </w:rPr>
        <w:t>f1</w:t>
      </w:r>
      <w:r w:rsidR="00756253">
        <w:rPr>
          <w:b/>
          <w:sz w:val="20"/>
        </w:rPr>
        <w:t>Vg</w:t>
      </w:r>
      <w:r w:rsidR="00756253" w:rsidRPr="00312938">
        <w:rPr>
          <w:b/>
          <w:sz w:val="20"/>
          <w:vertAlign w:val="subscript"/>
        </w:rPr>
        <w:t>1</w:t>
      </w:r>
      <w:r w:rsidR="00756253">
        <w:rPr>
          <w:b/>
          <w:sz w:val="20"/>
        </w:rPr>
        <w:t xml:space="preserve"> + G</w:t>
      </w:r>
      <w:r w:rsidR="00756253" w:rsidRPr="00312938">
        <w:rPr>
          <w:b/>
          <w:sz w:val="20"/>
          <w:vertAlign w:val="subscript"/>
        </w:rPr>
        <w:t>f2</w:t>
      </w:r>
      <w:r w:rsidR="00756253">
        <w:rPr>
          <w:b/>
          <w:sz w:val="20"/>
        </w:rPr>
        <w:t>Vg</w:t>
      </w:r>
      <w:r w:rsidR="00756253" w:rsidRPr="00312938">
        <w:rPr>
          <w:b/>
          <w:sz w:val="20"/>
          <w:vertAlign w:val="subscript"/>
        </w:rPr>
        <w:t>2</w:t>
      </w:r>
      <w:r w:rsidR="0099577B">
        <w:rPr>
          <w:b/>
          <w:sz w:val="20"/>
        </w:rPr>
        <w:t xml:space="preserve"> +</w:t>
      </w:r>
      <w:r w:rsidR="00682C99">
        <w:rPr>
          <w:b/>
          <w:sz w:val="20"/>
        </w:rPr>
        <w:t xml:space="preserve"> </w:t>
      </w:r>
      <w:r w:rsidR="0099577B">
        <w:rPr>
          <w:rFonts w:cs="Arial"/>
          <w:b/>
          <w:sz w:val="20"/>
        </w:rPr>
        <w:t>∙∙∙</w:t>
      </w:r>
      <w:r w:rsidR="00682C99">
        <w:rPr>
          <w:rFonts w:cs="Arial"/>
          <w:b/>
          <w:sz w:val="20"/>
        </w:rPr>
        <w:t xml:space="preserve"> + GfnV</w:t>
      </w:r>
      <w:r w:rsidR="00682C99" w:rsidRPr="00312938">
        <w:rPr>
          <w:rFonts w:cs="Arial"/>
          <w:b/>
          <w:sz w:val="20"/>
          <w:vertAlign w:val="subscript"/>
        </w:rPr>
        <w:t>gn</w:t>
      </w:r>
    </w:p>
    <w:p w14:paraId="62749D60" w14:textId="77777777" w:rsidR="00682C99" w:rsidRDefault="00682C99" w:rsidP="005459DA">
      <w:pPr>
        <w:rPr>
          <w:rFonts w:cs="Arial"/>
          <w:b/>
          <w:sz w:val="20"/>
        </w:rPr>
      </w:pPr>
    </w:p>
    <w:p w14:paraId="76F81673" w14:textId="77F2EEF3" w:rsidR="006615F9" w:rsidRDefault="006615F9" w:rsidP="00BF0D8B">
      <w:pPr>
        <w:ind w:left="720"/>
        <w:rPr>
          <w:sz w:val="20"/>
        </w:rPr>
      </w:pPr>
      <w:r>
        <w:rPr>
          <w:sz w:val="20"/>
        </w:rPr>
        <w:t>Where:</w:t>
      </w:r>
    </w:p>
    <w:p w14:paraId="268222C1" w14:textId="7661D56C" w:rsidR="006615F9" w:rsidRDefault="00A27879" w:rsidP="00BF0D8B">
      <w:pPr>
        <w:ind w:left="720"/>
        <w:rPr>
          <w:sz w:val="20"/>
        </w:rPr>
      </w:pPr>
      <w:r>
        <w:rPr>
          <w:sz w:val="20"/>
        </w:rPr>
        <w:t>Ftotal</w:t>
      </w:r>
      <w:r w:rsidR="006615F9">
        <w:rPr>
          <w:sz w:val="20"/>
        </w:rPr>
        <w:t xml:space="preserve"> =</w:t>
      </w:r>
      <w:r>
        <w:rPr>
          <w:sz w:val="20"/>
        </w:rPr>
        <w:t xml:space="preserve"> formaldehyde</w:t>
      </w:r>
      <w:r w:rsidR="006615F9">
        <w:rPr>
          <w:sz w:val="20"/>
        </w:rPr>
        <w:t xml:space="preserve"> emission  (lb /</w:t>
      </w:r>
      <w:r w:rsidR="007C4C98">
        <w:rPr>
          <w:sz w:val="20"/>
        </w:rPr>
        <w:t>12-</w:t>
      </w:r>
      <w:r w:rsidR="00BC33BC">
        <w:rPr>
          <w:sz w:val="20"/>
        </w:rPr>
        <w:t>mon</w:t>
      </w:r>
      <w:r w:rsidR="006615F9">
        <w:rPr>
          <w:sz w:val="20"/>
        </w:rPr>
        <w:t>)</w:t>
      </w:r>
    </w:p>
    <w:p w14:paraId="697C0C05" w14:textId="492B6EBC" w:rsidR="006615F9" w:rsidRDefault="00BC33BC" w:rsidP="00BF0D8B">
      <w:pPr>
        <w:ind w:left="720"/>
        <w:rPr>
          <w:sz w:val="20"/>
        </w:rPr>
      </w:pPr>
      <w:bookmarkStart w:id="86" w:name="_Hlk106976715"/>
      <w:r>
        <w:rPr>
          <w:sz w:val="20"/>
        </w:rPr>
        <w:t>V</w:t>
      </w:r>
      <w:r w:rsidR="006615F9">
        <w:rPr>
          <w:sz w:val="20"/>
          <w:vertAlign w:val="subscript"/>
        </w:rPr>
        <w:t xml:space="preserve">c </w:t>
      </w:r>
      <w:r w:rsidR="006615F9">
        <w:rPr>
          <w:sz w:val="20"/>
        </w:rPr>
        <w:t xml:space="preserve">= </w:t>
      </w:r>
      <w:r w:rsidR="00FF78EA">
        <w:rPr>
          <w:sz w:val="20"/>
        </w:rPr>
        <w:t>finishing materials used in a 12-</w:t>
      </w:r>
      <w:r w:rsidR="006615F9">
        <w:rPr>
          <w:sz w:val="20"/>
        </w:rPr>
        <w:t>m</w:t>
      </w:r>
      <w:r w:rsidR="00FF78EA">
        <w:rPr>
          <w:sz w:val="20"/>
        </w:rPr>
        <w:t>onth rolling time period</w:t>
      </w:r>
      <w:r w:rsidR="00303F7E">
        <w:rPr>
          <w:sz w:val="20"/>
        </w:rPr>
        <w:t xml:space="preserve"> </w:t>
      </w:r>
      <w:r w:rsidR="006615F9">
        <w:rPr>
          <w:sz w:val="20"/>
        </w:rPr>
        <w:t>(</w:t>
      </w:r>
      <w:r w:rsidR="00303F7E">
        <w:rPr>
          <w:sz w:val="20"/>
        </w:rPr>
        <w:t>gal</w:t>
      </w:r>
      <w:r w:rsidR="006615F9">
        <w:rPr>
          <w:sz w:val="20"/>
        </w:rPr>
        <w:t>/</w:t>
      </w:r>
      <w:r w:rsidR="00E67703">
        <w:rPr>
          <w:sz w:val="20"/>
        </w:rPr>
        <w:t>12-</w:t>
      </w:r>
      <w:r w:rsidR="006615F9">
        <w:rPr>
          <w:sz w:val="20"/>
        </w:rPr>
        <w:t>month)</w:t>
      </w:r>
    </w:p>
    <w:p w14:paraId="56E607B6" w14:textId="1C8A9558" w:rsidR="006615F9" w:rsidRDefault="006615F9" w:rsidP="00BF0D8B">
      <w:pPr>
        <w:ind w:left="720"/>
        <w:rPr>
          <w:sz w:val="20"/>
        </w:rPr>
      </w:pPr>
      <w:r>
        <w:rPr>
          <w:sz w:val="20"/>
        </w:rPr>
        <w:t>C</w:t>
      </w:r>
      <w:r w:rsidR="006D5D21">
        <w:rPr>
          <w:sz w:val="20"/>
          <w:vertAlign w:val="subscript"/>
        </w:rPr>
        <w:t>f</w:t>
      </w:r>
      <w:r>
        <w:rPr>
          <w:sz w:val="20"/>
        </w:rPr>
        <w:t xml:space="preserve"> = </w:t>
      </w:r>
      <w:r w:rsidR="006D5D21">
        <w:rPr>
          <w:sz w:val="20"/>
        </w:rPr>
        <w:t xml:space="preserve">formaldehyde </w:t>
      </w:r>
      <w:r>
        <w:rPr>
          <w:sz w:val="20"/>
        </w:rPr>
        <w:t>content of the finishing material (</w:t>
      </w:r>
      <w:r w:rsidR="0075324F">
        <w:rPr>
          <w:sz w:val="20"/>
        </w:rPr>
        <w:t>C</w:t>
      </w:r>
      <w:r>
        <w:rPr>
          <w:sz w:val="20"/>
        </w:rPr>
        <w:t>) (lb /</w:t>
      </w:r>
      <w:r w:rsidR="008C6698">
        <w:rPr>
          <w:sz w:val="20"/>
        </w:rPr>
        <w:t xml:space="preserve"> gal</w:t>
      </w:r>
      <w:r>
        <w:rPr>
          <w:sz w:val="20"/>
        </w:rPr>
        <w:t>)</w:t>
      </w:r>
    </w:p>
    <w:bookmarkEnd w:id="86"/>
    <w:p w14:paraId="207DD99E" w14:textId="3F9E1A7C" w:rsidR="00746258" w:rsidRPr="00746258" w:rsidRDefault="00746258" w:rsidP="00BF0D8B">
      <w:pPr>
        <w:ind w:left="720"/>
        <w:rPr>
          <w:sz w:val="20"/>
        </w:rPr>
      </w:pPr>
      <w:r w:rsidRPr="00746258">
        <w:rPr>
          <w:sz w:val="20"/>
        </w:rPr>
        <w:t>V</w:t>
      </w:r>
      <w:r>
        <w:rPr>
          <w:sz w:val="20"/>
          <w:vertAlign w:val="subscript"/>
        </w:rPr>
        <w:t>g</w:t>
      </w:r>
      <w:r w:rsidRPr="00746258">
        <w:rPr>
          <w:sz w:val="20"/>
          <w:vertAlign w:val="subscript"/>
        </w:rPr>
        <w:t xml:space="preserve"> </w:t>
      </w:r>
      <w:r w:rsidRPr="00746258">
        <w:rPr>
          <w:sz w:val="20"/>
        </w:rPr>
        <w:t xml:space="preserve">= </w:t>
      </w:r>
      <w:r w:rsidR="0075324F">
        <w:rPr>
          <w:sz w:val="20"/>
        </w:rPr>
        <w:t>contact adhesive</w:t>
      </w:r>
      <w:r w:rsidRPr="00746258">
        <w:rPr>
          <w:sz w:val="20"/>
        </w:rPr>
        <w:t xml:space="preserve"> used in a 12-month rolling time period (gal/12-month)</w:t>
      </w:r>
    </w:p>
    <w:p w14:paraId="1712513A" w14:textId="7B02A2B7" w:rsidR="00746258" w:rsidRPr="00746258" w:rsidRDefault="00746258" w:rsidP="00BF0D8B">
      <w:pPr>
        <w:ind w:left="720"/>
        <w:rPr>
          <w:sz w:val="20"/>
        </w:rPr>
      </w:pPr>
      <w:r>
        <w:rPr>
          <w:sz w:val="20"/>
        </w:rPr>
        <w:t>G</w:t>
      </w:r>
      <w:r w:rsidRPr="00746258">
        <w:rPr>
          <w:sz w:val="20"/>
          <w:vertAlign w:val="subscript"/>
        </w:rPr>
        <w:t>f</w:t>
      </w:r>
      <w:r w:rsidRPr="00746258">
        <w:rPr>
          <w:sz w:val="20"/>
        </w:rPr>
        <w:t xml:space="preserve"> = formaldehyde content of the </w:t>
      </w:r>
      <w:r w:rsidR="0075324F">
        <w:rPr>
          <w:sz w:val="20"/>
        </w:rPr>
        <w:t>contact adhesive</w:t>
      </w:r>
      <w:r w:rsidRPr="00746258">
        <w:rPr>
          <w:sz w:val="20"/>
        </w:rPr>
        <w:t xml:space="preserve"> (</w:t>
      </w:r>
      <w:r w:rsidR="0004257A">
        <w:rPr>
          <w:sz w:val="20"/>
        </w:rPr>
        <w:t>G</w:t>
      </w:r>
      <w:r w:rsidRPr="00746258">
        <w:rPr>
          <w:sz w:val="20"/>
        </w:rPr>
        <w:t>) (lb / gal)</w:t>
      </w:r>
    </w:p>
    <w:p w14:paraId="24E5C8C0" w14:textId="0416DE89" w:rsidR="006615F9" w:rsidRDefault="006615F9" w:rsidP="00BF0D8B">
      <w:pPr>
        <w:tabs>
          <w:tab w:val="left" w:pos="-2430"/>
        </w:tabs>
        <w:ind w:left="720"/>
        <w:rPr>
          <w:sz w:val="20"/>
        </w:rPr>
      </w:pPr>
      <w:r>
        <w:rPr>
          <w:sz w:val="20"/>
        </w:rPr>
        <w:t>n = number of finishing materials</w:t>
      </w:r>
      <w:r w:rsidR="00746258">
        <w:rPr>
          <w:sz w:val="20"/>
        </w:rPr>
        <w:t xml:space="preserve"> or contact adhesives</w:t>
      </w:r>
      <w:r>
        <w:rPr>
          <w:sz w:val="20"/>
        </w:rPr>
        <w:t xml:space="preserve"> used</w:t>
      </w:r>
    </w:p>
    <w:p w14:paraId="310BCACD" w14:textId="77777777" w:rsidR="005459DA" w:rsidRDefault="005459DA" w:rsidP="005459DA">
      <w:pPr>
        <w:tabs>
          <w:tab w:val="left" w:pos="-2880"/>
        </w:tabs>
        <w:rPr>
          <w:sz w:val="20"/>
        </w:rPr>
      </w:pPr>
    </w:p>
    <w:p w14:paraId="2C6FD658" w14:textId="6F255794" w:rsidR="005459DA" w:rsidRDefault="00185AF1" w:rsidP="005459DA">
      <w:pPr>
        <w:ind w:left="360" w:hanging="450"/>
        <w:jc w:val="both"/>
        <w:rPr>
          <w:b/>
          <w:sz w:val="20"/>
        </w:rPr>
      </w:pPr>
      <w:r>
        <w:rPr>
          <w:sz w:val="20"/>
        </w:rPr>
        <w:t>1</w:t>
      </w:r>
      <w:r w:rsidR="00BF0D8B">
        <w:rPr>
          <w:sz w:val="20"/>
        </w:rPr>
        <w:t>6</w:t>
      </w:r>
      <w:r w:rsidR="005459DA">
        <w:rPr>
          <w:sz w:val="20"/>
        </w:rPr>
        <w:t>.</w:t>
      </w:r>
      <w:r w:rsidR="005459DA">
        <w:rPr>
          <w:sz w:val="20"/>
        </w:rPr>
        <w:tab/>
        <w:t>The permittee following the compliance provisions of 40 CFR 63.804(f)(1), (2), (3), (5), (7), and (8) and 40 CFR 63.804(g)(1), (2), (3), (5), (7), and (8) shall maintain records of the compliance certification submitted in accordance with 40 CFR 63.807(c) for each semiannual period following the compliance date.</w:t>
      </w:r>
      <w:r w:rsidR="005459DA" w:rsidRPr="00210A10">
        <w:rPr>
          <w:sz w:val="20"/>
          <w:vertAlign w:val="superscript"/>
        </w:rPr>
        <w:t>2</w:t>
      </w:r>
      <w:r w:rsidR="005459DA">
        <w:rPr>
          <w:sz w:val="20"/>
          <w:vertAlign w:val="superscript"/>
        </w:rPr>
        <w:t xml:space="preserve">  </w:t>
      </w:r>
      <w:r w:rsidR="005459DA">
        <w:rPr>
          <w:b/>
          <w:sz w:val="20"/>
        </w:rPr>
        <w:t>(40 CFR 63.806(h))</w:t>
      </w:r>
    </w:p>
    <w:p w14:paraId="597EA677" w14:textId="77777777" w:rsidR="005459DA" w:rsidRDefault="005459DA" w:rsidP="005459DA">
      <w:pPr>
        <w:tabs>
          <w:tab w:val="left" w:pos="-2880"/>
        </w:tabs>
        <w:ind w:left="360" w:hanging="360"/>
        <w:rPr>
          <w:sz w:val="20"/>
        </w:rPr>
      </w:pPr>
    </w:p>
    <w:p w14:paraId="6AC4FB6B" w14:textId="6B9345FB" w:rsidR="005459DA" w:rsidRDefault="00185AF1" w:rsidP="005459DA">
      <w:pPr>
        <w:tabs>
          <w:tab w:val="left" w:pos="-2880"/>
        </w:tabs>
        <w:ind w:left="360" w:hanging="360"/>
        <w:jc w:val="both"/>
        <w:rPr>
          <w:sz w:val="20"/>
        </w:rPr>
      </w:pPr>
      <w:r>
        <w:rPr>
          <w:sz w:val="20"/>
        </w:rPr>
        <w:t>1</w:t>
      </w:r>
      <w:r w:rsidR="00BF0D8B">
        <w:rPr>
          <w:sz w:val="20"/>
        </w:rPr>
        <w:t>7</w:t>
      </w:r>
      <w:r w:rsidR="005459DA">
        <w:rPr>
          <w:sz w:val="20"/>
        </w:rPr>
        <w:t>.</w:t>
      </w:r>
      <w:r w:rsidR="005459DA">
        <w:rPr>
          <w:sz w:val="20"/>
        </w:rPr>
        <w:tab/>
        <w:t>The owner or operator shall maintain records of all other information submitted with the compliance status report required by 40 CFR 63.9(h) and 40 CFR 63.807(b) and the semiannual reports required by 40 CFR 63.807(c</w:t>
      </w:r>
      <w:r w:rsidR="005459DA" w:rsidRPr="00210A10">
        <w:rPr>
          <w:sz w:val="20"/>
        </w:rPr>
        <w:t>).</w:t>
      </w:r>
      <w:r w:rsidR="005459DA" w:rsidRPr="00210A10">
        <w:rPr>
          <w:sz w:val="20"/>
          <w:vertAlign w:val="superscript"/>
        </w:rPr>
        <w:t>2</w:t>
      </w:r>
      <w:r w:rsidR="005459DA">
        <w:rPr>
          <w:sz w:val="20"/>
          <w:vertAlign w:val="superscript"/>
        </w:rPr>
        <w:t xml:space="preserve">  </w:t>
      </w:r>
      <w:r w:rsidR="005459DA">
        <w:rPr>
          <w:b/>
          <w:sz w:val="20"/>
        </w:rPr>
        <w:t>(40 CFR 63.806(i))</w:t>
      </w:r>
    </w:p>
    <w:p w14:paraId="21EE300F" w14:textId="77777777" w:rsidR="005459DA" w:rsidRPr="00FE0AD0" w:rsidRDefault="005459DA" w:rsidP="005459DA">
      <w:pPr>
        <w:jc w:val="both"/>
        <w:rPr>
          <w:sz w:val="20"/>
        </w:rPr>
      </w:pPr>
    </w:p>
    <w:p w14:paraId="49B67069" w14:textId="77777777" w:rsidR="005459DA" w:rsidRPr="00FE0AD0" w:rsidRDefault="005459DA" w:rsidP="005459DA">
      <w:pPr>
        <w:jc w:val="both"/>
        <w:rPr>
          <w:b/>
          <w:sz w:val="20"/>
        </w:rPr>
      </w:pPr>
      <w:r w:rsidRPr="00376AC9">
        <w:rPr>
          <w:b/>
          <w:sz w:val="20"/>
        </w:rPr>
        <w:t>See Appendices 7 and 9</w:t>
      </w:r>
    </w:p>
    <w:p w14:paraId="374D790D" w14:textId="77777777" w:rsidR="00C43966" w:rsidRPr="008B5C27" w:rsidRDefault="00C43966" w:rsidP="001A652A">
      <w:pPr>
        <w:jc w:val="both"/>
        <w:rPr>
          <w:sz w:val="20"/>
        </w:rPr>
      </w:pPr>
    </w:p>
    <w:p w14:paraId="3229B952" w14:textId="77777777" w:rsidR="00C43966" w:rsidRDefault="00C43966" w:rsidP="001A652A">
      <w:pPr>
        <w:jc w:val="both"/>
        <w:rPr>
          <w:b/>
          <w:u w:val="single"/>
        </w:rPr>
      </w:pPr>
      <w:r>
        <w:rPr>
          <w:b/>
        </w:rPr>
        <w:t xml:space="preserve">VII.  </w:t>
      </w:r>
      <w:r>
        <w:rPr>
          <w:b/>
          <w:u w:val="single"/>
        </w:rPr>
        <w:t>REPORTING</w:t>
      </w:r>
    </w:p>
    <w:p w14:paraId="05B75137" w14:textId="77777777" w:rsidR="00C43966" w:rsidRPr="008B5C27" w:rsidRDefault="00C43966" w:rsidP="001A652A">
      <w:pPr>
        <w:jc w:val="both"/>
        <w:rPr>
          <w:sz w:val="20"/>
        </w:rPr>
      </w:pPr>
    </w:p>
    <w:p w14:paraId="64B356F6" w14:textId="42C35C19" w:rsidR="00C43966" w:rsidRPr="003360BF" w:rsidRDefault="00C43966" w:rsidP="006255D5">
      <w:pPr>
        <w:pStyle w:val="ListParagraph"/>
        <w:numPr>
          <w:ilvl w:val="0"/>
          <w:numId w:val="47"/>
        </w:numPr>
        <w:jc w:val="both"/>
        <w:rPr>
          <w:b/>
          <w:sz w:val="20"/>
        </w:rPr>
      </w:pPr>
      <w:r w:rsidRPr="003360BF">
        <w:rPr>
          <w:sz w:val="20"/>
        </w:rPr>
        <w:t xml:space="preserve">Prompt reporting of deviations pursuant to General Conditions 21 and 22 of Part A.  </w:t>
      </w:r>
      <w:r w:rsidRPr="003360BF">
        <w:rPr>
          <w:b/>
          <w:sz w:val="20"/>
        </w:rPr>
        <w:t>(R 336.1213(3)(c)(ii))</w:t>
      </w:r>
    </w:p>
    <w:p w14:paraId="4F1C0D1C" w14:textId="77777777" w:rsidR="00C43966" w:rsidRPr="00C0388E" w:rsidRDefault="00C43966" w:rsidP="00F30023">
      <w:pPr>
        <w:ind w:left="360" w:hanging="360"/>
        <w:jc w:val="both"/>
        <w:rPr>
          <w:sz w:val="20"/>
        </w:rPr>
      </w:pPr>
    </w:p>
    <w:p w14:paraId="022FBAAD" w14:textId="324DDEC0" w:rsidR="00C43966" w:rsidRPr="003360BF" w:rsidRDefault="00C43966" w:rsidP="006255D5">
      <w:pPr>
        <w:pStyle w:val="ListParagraph"/>
        <w:numPr>
          <w:ilvl w:val="0"/>
          <w:numId w:val="47"/>
        </w:numPr>
        <w:jc w:val="both"/>
        <w:rPr>
          <w:b/>
          <w:sz w:val="20"/>
        </w:rPr>
      </w:pPr>
      <w:r w:rsidRPr="003360BF">
        <w:rPr>
          <w:sz w:val="20"/>
        </w:rPr>
        <w:lastRenderedPageBreak/>
        <w:t>Semiannual reporting of monitoring and deviations pursuant to General Condition 23 of Part A.  The report shall be postmarked or</w:t>
      </w:r>
      <w:r w:rsidRPr="003360BF">
        <w:rPr>
          <w:b/>
          <w:i/>
          <w:sz w:val="20"/>
        </w:rPr>
        <w:t xml:space="preserve"> </w:t>
      </w:r>
      <w:r w:rsidRPr="003360BF">
        <w:rPr>
          <w:sz w:val="20"/>
        </w:rPr>
        <w:t xml:space="preserve">received by the appropriate AQD District Office by March 15 for reporting period July 1 to December 31 and September 15 for reporting period January 1 to June 30.  </w:t>
      </w:r>
      <w:r w:rsidRPr="003360BF">
        <w:rPr>
          <w:b/>
          <w:sz w:val="20"/>
        </w:rPr>
        <w:t>(R 336.1213(3)(c)(i))</w:t>
      </w:r>
    </w:p>
    <w:p w14:paraId="7C19279B" w14:textId="77777777" w:rsidR="00C43966" w:rsidRPr="00C0388E" w:rsidRDefault="00C43966" w:rsidP="00F30023">
      <w:pPr>
        <w:ind w:left="360" w:hanging="360"/>
        <w:jc w:val="both"/>
        <w:rPr>
          <w:sz w:val="20"/>
        </w:rPr>
      </w:pPr>
    </w:p>
    <w:p w14:paraId="6C115E51" w14:textId="7067375A" w:rsidR="00C43966" w:rsidRPr="007A26DB" w:rsidRDefault="00C43966" w:rsidP="006255D5">
      <w:pPr>
        <w:pStyle w:val="ListParagraph"/>
        <w:numPr>
          <w:ilvl w:val="0"/>
          <w:numId w:val="47"/>
        </w:numPr>
        <w:jc w:val="both"/>
        <w:rPr>
          <w:b/>
          <w:sz w:val="20"/>
        </w:rPr>
      </w:pPr>
      <w:r w:rsidRPr="007A26DB">
        <w:rPr>
          <w:sz w:val="20"/>
        </w:rPr>
        <w:t>Annual certification of compliance pursuant to General Conditions 19 and 20 of Part A.  The report shall be postmarked or</w:t>
      </w:r>
      <w:r w:rsidRPr="007A26DB">
        <w:rPr>
          <w:b/>
          <w:i/>
          <w:sz w:val="20"/>
        </w:rPr>
        <w:t xml:space="preserve"> </w:t>
      </w:r>
      <w:r w:rsidRPr="007A26DB">
        <w:rPr>
          <w:sz w:val="20"/>
        </w:rPr>
        <w:t xml:space="preserve">received by the appropriate AQD District Office by March 15 for the previous calendar year.  </w:t>
      </w:r>
      <w:r w:rsidRPr="007A26DB">
        <w:rPr>
          <w:b/>
          <w:sz w:val="20"/>
        </w:rPr>
        <w:t>(R 336.1213(4)(c))</w:t>
      </w:r>
    </w:p>
    <w:p w14:paraId="715C47AD" w14:textId="77777777" w:rsidR="00C43966" w:rsidRPr="0007707C" w:rsidRDefault="00C43966" w:rsidP="000D28AE">
      <w:pPr>
        <w:ind w:right="72"/>
        <w:jc w:val="both"/>
        <w:rPr>
          <w:rFonts w:cs="Arial"/>
          <w:sz w:val="20"/>
        </w:rPr>
      </w:pPr>
    </w:p>
    <w:p w14:paraId="4421B4E1" w14:textId="6AD393FC" w:rsidR="00B63CD4" w:rsidRPr="003F4958" w:rsidRDefault="005E1CA6" w:rsidP="006255D5">
      <w:pPr>
        <w:numPr>
          <w:ilvl w:val="0"/>
          <w:numId w:val="47"/>
        </w:numPr>
        <w:jc w:val="both"/>
        <w:rPr>
          <w:sz w:val="20"/>
        </w:rPr>
      </w:pPr>
      <w:r>
        <w:rPr>
          <w:rFonts w:cs="Arial"/>
          <w:b/>
          <w:color w:val="FF0000"/>
          <w:sz w:val="20"/>
        </w:rPr>
        <w:t xml:space="preserve"> </w:t>
      </w:r>
      <w:r w:rsidR="00B63CD4" w:rsidRPr="000F7161">
        <w:rPr>
          <w:sz w:val="20"/>
        </w:rPr>
        <w:t xml:space="preserve">All emission units subject to 40 CFR </w:t>
      </w:r>
      <w:r w:rsidR="00B63CD4">
        <w:rPr>
          <w:sz w:val="20"/>
        </w:rPr>
        <w:t xml:space="preserve">Part </w:t>
      </w:r>
      <w:r w:rsidR="00B63CD4" w:rsidRPr="000F7161">
        <w:rPr>
          <w:sz w:val="20"/>
        </w:rPr>
        <w:t>63</w:t>
      </w:r>
      <w:r w:rsidR="00B63CD4">
        <w:rPr>
          <w:sz w:val="20"/>
        </w:rPr>
        <w:t>,</w:t>
      </w:r>
      <w:r w:rsidR="00B63CD4" w:rsidRPr="000F7161">
        <w:rPr>
          <w:sz w:val="20"/>
        </w:rPr>
        <w:t xml:space="preserve"> Subpart JJ, shall comply with the Reporting Requirements in 40</w:t>
      </w:r>
      <w:r w:rsidR="00B63CD4">
        <w:rPr>
          <w:sz w:val="20"/>
        </w:rPr>
        <w:t> </w:t>
      </w:r>
      <w:r w:rsidR="00B63CD4" w:rsidRPr="000F7161">
        <w:rPr>
          <w:sz w:val="20"/>
        </w:rPr>
        <w:t xml:space="preserve">CFR </w:t>
      </w:r>
      <w:r w:rsidR="003360BF" w:rsidRPr="000F7161">
        <w:rPr>
          <w:sz w:val="20"/>
        </w:rPr>
        <w:t>63.807.</w:t>
      </w:r>
      <w:r w:rsidR="003360BF" w:rsidRPr="00210A10">
        <w:rPr>
          <w:sz w:val="20"/>
          <w:vertAlign w:val="superscript"/>
        </w:rPr>
        <w:t>2</w:t>
      </w:r>
      <w:r w:rsidR="003360BF">
        <w:rPr>
          <w:sz w:val="20"/>
        </w:rPr>
        <w:t xml:space="preserve"> </w:t>
      </w:r>
      <w:r w:rsidR="005A7897">
        <w:rPr>
          <w:sz w:val="20"/>
        </w:rPr>
        <w:t xml:space="preserve"> </w:t>
      </w:r>
      <w:r w:rsidR="003360BF">
        <w:rPr>
          <w:sz w:val="20"/>
        </w:rPr>
        <w:t>(</w:t>
      </w:r>
      <w:r w:rsidR="00B63CD4" w:rsidRPr="000F7161">
        <w:rPr>
          <w:b/>
          <w:sz w:val="20"/>
        </w:rPr>
        <w:t>40 CFR 63.807)</w:t>
      </w:r>
    </w:p>
    <w:p w14:paraId="5C25004A" w14:textId="77777777" w:rsidR="00B63CD4" w:rsidRPr="000F7161" w:rsidRDefault="00B63CD4" w:rsidP="00B63CD4">
      <w:pPr>
        <w:ind w:left="360" w:hanging="360"/>
        <w:jc w:val="both"/>
        <w:rPr>
          <w:sz w:val="20"/>
        </w:rPr>
      </w:pPr>
    </w:p>
    <w:p w14:paraId="12890DF2" w14:textId="51E12B93" w:rsidR="00B63CD4" w:rsidRPr="00EF094B" w:rsidRDefault="00B63CD4" w:rsidP="006255D5">
      <w:pPr>
        <w:numPr>
          <w:ilvl w:val="0"/>
          <w:numId w:val="47"/>
        </w:numPr>
        <w:jc w:val="both"/>
        <w:rPr>
          <w:sz w:val="20"/>
        </w:rPr>
      </w:pPr>
      <w:r w:rsidRPr="000F7161">
        <w:rPr>
          <w:sz w:val="20"/>
        </w:rPr>
        <w:t>The permittee demonstrating compli</w:t>
      </w:r>
      <w:r>
        <w:rPr>
          <w:sz w:val="20"/>
        </w:rPr>
        <w:t xml:space="preserve">ance in accordance with 40 CFR </w:t>
      </w:r>
      <w:r w:rsidRPr="000F7161">
        <w:rPr>
          <w:sz w:val="20"/>
        </w:rPr>
        <w:t>63.804 (g)(1), (2), (3), (5), (7), and (8), shall submit semiannual reports according to 40 CFR 63.807(c).</w:t>
      </w:r>
      <w:r w:rsidR="003F32F1" w:rsidRPr="00210A10">
        <w:rPr>
          <w:sz w:val="20"/>
          <w:vertAlign w:val="superscript"/>
        </w:rPr>
        <w:t>2</w:t>
      </w:r>
      <w:r w:rsidR="003F32F1">
        <w:rPr>
          <w:b/>
          <w:sz w:val="20"/>
          <w:vertAlign w:val="superscript"/>
        </w:rPr>
        <w:t xml:space="preserve"> </w:t>
      </w:r>
      <w:r w:rsidR="005A7897">
        <w:rPr>
          <w:b/>
          <w:sz w:val="20"/>
          <w:vertAlign w:val="superscript"/>
        </w:rPr>
        <w:t xml:space="preserve"> </w:t>
      </w:r>
      <w:r w:rsidR="003F32F1" w:rsidRPr="000F7161">
        <w:rPr>
          <w:sz w:val="20"/>
        </w:rPr>
        <w:t>(</w:t>
      </w:r>
      <w:r w:rsidRPr="000F7161">
        <w:rPr>
          <w:b/>
          <w:sz w:val="20"/>
        </w:rPr>
        <w:t>40 CFR 63.807(c))</w:t>
      </w:r>
    </w:p>
    <w:p w14:paraId="7C08C2BB" w14:textId="77777777" w:rsidR="00EF094B" w:rsidRDefault="00EF094B" w:rsidP="00EF094B">
      <w:pPr>
        <w:pStyle w:val="ListParagraph"/>
        <w:rPr>
          <w:sz w:val="20"/>
        </w:rPr>
      </w:pPr>
    </w:p>
    <w:p w14:paraId="64CBDDCC" w14:textId="4656524B" w:rsidR="00EF094B" w:rsidRDefault="00600CE6" w:rsidP="006255D5">
      <w:pPr>
        <w:numPr>
          <w:ilvl w:val="0"/>
          <w:numId w:val="47"/>
        </w:numPr>
        <w:jc w:val="both"/>
        <w:rPr>
          <w:b/>
          <w:bCs/>
          <w:sz w:val="20"/>
        </w:rPr>
      </w:pPr>
      <w:r w:rsidRPr="00DA4427">
        <w:rPr>
          <w:sz w:val="20"/>
        </w:rPr>
        <w:t>The semiannual reports</w:t>
      </w:r>
      <w:r w:rsidR="00DA4427">
        <w:rPr>
          <w:sz w:val="20"/>
        </w:rPr>
        <w:t xml:space="preserve"> specified in SC VII.5</w:t>
      </w:r>
      <w:r w:rsidRPr="00DA4427">
        <w:rPr>
          <w:sz w:val="20"/>
        </w:rPr>
        <w:t xml:space="preserve"> shall include the information required by </w:t>
      </w:r>
      <w:r w:rsidR="00DA4427">
        <w:rPr>
          <w:sz w:val="20"/>
        </w:rPr>
        <w:t xml:space="preserve">40 </w:t>
      </w:r>
      <w:r w:rsidR="002845D3">
        <w:rPr>
          <w:sz w:val="20"/>
        </w:rPr>
        <w:t>CFR</w:t>
      </w:r>
      <w:hyperlink r:id="rId44" w:anchor="p-63.804(g)(1)" w:history="1">
        <w:r w:rsidR="002845D3" w:rsidRPr="001160A2">
          <w:rPr>
            <w:sz w:val="20"/>
          </w:rPr>
          <w:t xml:space="preserve"> </w:t>
        </w:r>
        <w:r w:rsidRPr="001160A2">
          <w:rPr>
            <w:sz w:val="20"/>
          </w:rPr>
          <w:t>63.804(g) (1)</w:t>
        </w:r>
      </w:hyperlink>
      <w:r w:rsidRPr="00DA4427">
        <w:rPr>
          <w:sz w:val="20"/>
        </w:rPr>
        <w:t xml:space="preserve">, </w:t>
      </w:r>
      <w:hyperlink r:id="rId45" w:anchor="p-63.804(g)(2)" w:history="1">
        <w:r w:rsidRPr="001160A2">
          <w:rPr>
            <w:sz w:val="20"/>
          </w:rPr>
          <w:t>(2)</w:t>
        </w:r>
      </w:hyperlink>
      <w:r w:rsidRPr="00DA4427">
        <w:rPr>
          <w:sz w:val="20"/>
        </w:rPr>
        <w:t xml:space="preserve">, </w:t>
      </w:r>
      <w:hyperlink r:id="rId46" w:anchor="p-63.804(g)(3)" w:history="1">
        <w:r w:rsidRPr="001160A2">
          <w:rPr>
            <w:sz w:val="20"/>
          </w:rPr>
          <w:t>(3)</w:t>
        </w:r>
      </w:hyperlink>
      <w:r w:rsidRPr="00DA4427">
        <w:rPr>
          <w:sz w:val="20"/>
        </w:rPr>
        <w:t xml:space="preserve">, </w:t>
      </w:r>
      <w:hyperlink r:id="rId47" w:anchor="p-63.804(g)(5)" w:history="1">
        <w:r w:rsidRPr="001160A2">
          <w:rPr>
            <w:sz w:val="20"/>
          </w:rPr>
          <w:t>(5)</w:t>
        </w:r>
      </w:hyperlink>
      <w:r w:rsidRPr="00DA4427">
        <w:rPr>
          <w:sz w:val="20"/>
        </w:rPr>
        <w:t xml:space="preserve">, </w:t>
      </w:r>
      <w:hyperlink r:id="rId48" w:anchor="p-63.804(g)(7)" w:history="1">
        <w:r w:rsidRPr="001160A2">
          <w:rPr>
            <w:sz w:val="20"/>
          </w:rPr>
          <w:t>(7)</w:t>
        </w:r>
      </w:hyperlink>
      <w:r w:rsidRPr="00DA4427">
        <w:rPr>
          <w:sz w:val="20"/>
        </w:rPr>
        <w:t xml:space="preserve">, </w:t>
      </w:r>
      <w:hyperlink r:id="rId49" w:anchor="p-63.804(g)(8)" w:history="1">
        <w:r w:rsidRPr="001160A2">
          <w:rPr>
            <w:sz w:val="20"/>
          </w:rPr>
          <w:t>(8)</w:t>
        </w:r>
      </w:hyperlink>
      <w:r w:rsidRPr="00DA4427">
        <w:rPr>
          <w:sz w:val="20"/>
        </w:rPr>
        <w:t xml:space="preserve">, </w:t>
      </w:r>
      <w:hyperlink r:id="rId50" w:anchor="p-63.804(h)(1)" w:history="1">
        <w:r w:rsidRPr="001160A2">
          <w:rPr>
            <w:sz w:val="20"/>
          </w:rPr>
          <w:t>(h)(1)</w:t>
        </w:r>
      </w:hyperlink>
      <w:r w:rsidRPr="00DA4427">
        <w:rPr>
          <w:sz w:val="20"/>
        </w:rPr>
        <w:t xml:space="preserve">, and </w:t>
      </w:r>
      <w:hyperlink r:id="rId51" w:anchor="p-63.804(h)(3)" w:history="1">
        <w:r w:rsidRPr="001160A2">
          <w:rPr>
            <w:sz w:val="20"/>
          </w:rPr>
          <w:t>(h)(3)</w:t>
        </w:r>
      </w:hyperlink>
      <w:r w:rsidRPr="00DA4427">
        <w:rPr>
          <w:sz w:val="20"/>
        </w:rPr>
        <w:t>, a statement of whether the affected source was in compliance or noncompliance, and, if the affected source was in noncompliance, the measures taken to bring the affected source into compliance. If there was a malfunction during the reporting period, the report shall also include the number, duration and a brief description for each type of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w:t>
      </w:r>
      <w:r w:rsidR="002845D3">
        <w:rPr>
          <w:sz w:val="20"/>
        </w:rPr>
        <w:t xml:space="preserve"> 40 CFR</w:t>
      </w:r>
      <w:hyperlink r:id="rId52" w:anchor="p-63.802(c)" w:history="1">
        <w:r w:rsidR="002845D3" w:rsidRPr="001160A2">
          <w:rPr>
            <w:sz w:val="20"/>
          </w:rPr>
          <w:t xml:space="preserve"> </w:t>
        </w:r>
        <w:r w:rsidRPr="001160A2">
          <w:rPr>
            <w:sz w:val="20"/>
          </w:rPr>
          <w:t>63.802(c)</w:t>
        </w:r>
      </w:hyperlink>
      <w:r w:rsidRPr="00DA4427">
        <w:rPr>
          <w:sz w:val="20"/>
        </w:rPr>
        <w:t>, including actions taken to correct a malfunction.</w:t>
      </w:r>
      <w:r w:rsidR="00F15D8B">
        <w:rPr>
          <w:sz w:val="20"/>
        </w:rPr>
        <w:t xml:space="preserve"> </w:t>
      </w:r>
      <w:r w:rsidR="002845D3">
        <w:rPr>
          <w:sz w:val="20"/>
        </w:rPr>
        <w:t xml:space="preserve"> </w:t>
      </w:r>
      <w:r w:rsidR="00F15D8B" w:rsidRPr="00F15D8B">
        <w:rPr>
          <w:b/>
          <w:bCs/>
          <w:sz w:val="20"/>
        </w:rPr>
        <w:t>(40</w:t>
      </w:r>
      <w:r w:rsidR="002845D3">
        <w:rPr>
          <w:b/>
          <w:bCs/>
          <w:sz w:val="20"/>
        </w:rPr>
        <w:t> </w:t>
      </w:r>
      <w:r w:rsidR="00F15D8B" w:rsidRPr="00F15D8B">
        <w:rPr>
          <w:b/>
          <w:bCs/>
          <w:sz w:val="20"/>
        </w:rPr>
        <w:t>CFR 63.807(c)(3))</w:t>
      </w:r>
    </w:p>
    <w:p w14:paraId="55E5A87D" w14:textId="77777777" w:rsidR="00181258" w:rsidRDefault="00181258" w:rsidP="00181258">
      <w:pPr>
        <w:ind w:left="360"/>
        <w:jc w:val="both"/>
        <w:rPr>
          <w:b/>
          <w:bCs/>
          <w:sz w:val="20"/>
        </w:rPr>
      </w:pPr>
    </w:p>
    <w:p w14:paraId="212E3B1E" w14:textId="5F6492EA" w:rsidR="00873FF8" w:rsidRPr="00A02146" w:rsidRDefault="00181258" w:rsidP="006255D5">
      <w:pPr>
        <w:numPr>
          <w:ilvl w:val="0"/>
          <w:numId w:val="47"/>
        </w:numPr>
        <w:jc w:val="both"/>
        <w:rPr>
          <w:b/>
          <w:bCs/>
          <w:sz w:val="20"/>
        </w:rPr>
      </w:pPr>
      <w:r w:rsidRPr="00431F44">
        <w:rPr>
          <w:sz w:val="20"/>
        </w:rPr>
        <w:t xml:space="preserve">The </w:t>
      </w:r>
      <w:r w:rsidR="00431F44" w:rsidRPr="00431F44">
        <w:rPr>
          <w:sz w:val="20"/>
        </w:rPr>
        <w:t xml:space="preserve">permittee </w:t>
      </w:r>
      <w:r w:rsidRPr="00431F44">
        <w:rPr>
          <w:sz w:val="20"/>
        </w:rPr>
        <w:t xml:space="preserve">required to provide a written notification under </w:t>
      </w:r>
      <w:r w:rsidR="00431F44" w:rsidRPr="00431F44">
        <w:rPr>
          <w:sz w:val="20"/>
        </w:rPr>
        <w:t>40 CFR</w:t>
      </w:r>
      <w:hyperlink r:id="rId53" w:anchor="p-63.803(1)(4)" w:history="1">
        <w:r w:rsidR="002845D3" w:rsidRPr="001160A2">
          <w:rPr>
            <w:sz w:val="20"/>
          </w:rPr>
          <w:t xml:space="preserve"> </w:t>
        </w:r>
        <w:r w:rsidRPr="001160A2">
          <w:rPr>
            <w:sz w:val="20"/>
          </w:rPr>
          <w:t>63.803(</w:t>
        </w:r>
        <w:r w:rsidR="00C54852" w:rsidRPr="001160A2">
          <w:rPr>
            <w:sz w:val="20"/>
          </w:rPr>
          <w:t>l</w:t>
        </w:r>
        <w:r w:rsidRPr="001160A2">
          <w:rPr>
            <w:sz w:val="20"/>
          </w:rPr>
          <w:t>)(4)</w:t>
        </w:r>
      </w:hyperlink>
      <w:r w:rsidRPr="00431F44">
        <w:rPr>
          <w:sz w:val="20"/>
        </w:rPr>
        <w:t xml:space="preserve"> shall include in the notification one or more statements that explains the reasons for the usage increase. The notification shall be submitted no later than 30 calendar days after the end of the annual period in which the usage increase occurred.</w:t>
      </w:r>
      <w:r w:rsidR="00A02146">
        <w:rPr>
          <w:sz w:val="20"/>
        </w:rPr>
        <w:t xml:space="preserve"> </w:t>
      </w:r>
      <w:r w:rsidR="005A7897">
        <w:rPr>
          <w:sz w:val="20"/>
        </w:rPr>
        <w:t xml:space="preserve"> </w:t>
      </w:r>
      <w:r w:rsidR="00A02146" w:rsidRPr="00A02146">
        <w:rPr>
          <w:b/>
          <w:bCs/>
          <w:sz w:val="20"/>
        </w:rPr>
        <w:t>(40 CFR 63.807(e))</w:t>
      </w:r>
    </w:p>
    <w:p w14:paraId="7ABC984E" w14:textId="77777777" w:rsidR="00C43966" w:rsidRPr="00FE0AD0" w:rsidRDefault="00C43966" w:rsidP="001A652A">
      <w:pPr>
        <w:ind w:right="72"/>
        <w:jc w:val="both"/>
        <w:rPr>
          <w:rFonts w:cs="Arial"/>
          <w:sz w:val="20"/>
        </w:rPr>
      </w:pPr>
    </w:p>
    <w:p w14:paraId="302BEC83" w14:textId="77777777" w:rsidR="00C43966" w:rsidRPr="00FE0AD0" w:rsidRDefault="00C43966" w:rsidP="001A652A">
      <w:pPr>
        <w:jc w:val="both"/>
        <w:rPr>
          <w:rFonts w:cs="Arial"/>
          <w:b/>
          <w:sz w:val="20"/>
        </w:rPr>
      </w:pPr>
      <w:r w:rsidRPr="00FE0AD0">
        <w:rPr>
          <w:rFonts w:cs="Arial"/>
          <w:b/>
          <w:sz w:val="20"/>
        </w:rPr>
        <w:t>See Appendix 8</w:t>
      </w:r>
    </w:p>
    <w:p w14:paraId="201D20F4" w14:textId="77777777" w:rsidR="00C43966" w:rsidRPr="00E111A8" w:rsidRDefault="00C43966" w:rsidP="001A652A">
      <w:pPr>
        <w:jc w:val="both"/>
        <w:rPr>
          <w:rFonts w:cs="Arial"/>
          <w:sz w:val="20"/>
        </w:rPr>
      </w:pPr>
    </w:p>
    <w:p w14:paraId="1885EF6F" w14:textId="77777777" w:rsidR="00C43966" w:rsidRDefault="00C43966" w:rsidP="001A652A">
      <w:pPr>
        <w:jc w:val="both"/>
      </w:pPr>
      <w:r>
        <w:rPr>
          <w:b/>
        </w:rPr>
        <w:t xml:space="preserve">VIII.  </w:t>
      </w:r>
      <w:r>
        <w:rPr>
          <w:b/>
          <w:u w:val="single"/>
        </w:rPr>
        <w:t>STACK/VENT RESTRICTION(S)</w:t>
      </w:r>
    </w:p>
    <w:p w14:paraId="653F310A" w14:textId="77777777" w:rsidR="00C43966" w:rsidRDefault="00C43966" w:rsidP="001A652A">
      <w:pPr>
        <w:jc w:val="both"/>
        <w:rPr>
          <w:sz w:val="20"/>
        </w:rPr>
      </w:pPr>
    </w:p>
    <w:p w14:paraId="4C8C92DB" w14:textId="0C55666F" w:rsidR="00C43966" w:rsidRPr="00D90C96" w:rsidRDefault="00C43966" w:rsidP="00421959">
      <w:pPr>
        <w:jc w:val="both"/>
        <w:rPr>
          <w:rFonts w:cs="Arial"/>
          <w:sz w:val="20"/>
        </w:rPr>
      </w:pPr>
      <w:r w:rsidRPr="00D90C96">
        <w:rPr>
          <w:sz w:val="20"/>
        </w:rPr>
        <w:t>NA</w:t>
      </w:r>
    </w:p>
    <w:p w14:paraId="47EACC67" w14:textId="77777777" w:rsidR="00C43966" w:rsidRPr="0007707C" w:rsidRDefault="00C43966" w:rsidP="00421959">
      <w:pPr>
        <w:jc w:val="both"/>
        <w:rPr>
          <w:sz w:val="20"/>
        </w:rPr>
      </w:pPr>
    </w:p>
    <w:p w14:paraId="58001FE1" w14:textId="77777777" w:rsidR="00FA2EFF" w:rsidRDefault="00C43966" w:rsidP="00FA2EFF">
      <w:pPr>
        <w:jc w:val="both"/>
        <w:rPr>
          <w:b/>
          <w:u w:val="single"/>
        </w:rPr>
      </w:pPr>
      <w:r>
        <w:rPr>
          <w:b/>
        </w:rPr>
        <w:t xml:space="preserve">IX.  </w:t>
      </w:r>
      <w:r>
        <w:rPr>
          <w:b/>
          <w:u w:val="single"/>
        </w:rPr>
        <w:t>OTHER REQUIREMENT(S</w:t>
      </w:r>
    </w:p>
    <w:p w14:paraId="35C2959A" w14:textId="77777777" w:rsidR="00FA2EFF" w:rsidRDefault="00FA2EFF" w:rsidP="00FA2EFF">
      <w:pPr>
        <w:jc w:val="both"/>
        <w:rPr>
          <w:b/>
          <w:u w:val="single"/>
        </w:rPr>
      </w:pPr>
    </w:p>
    <w:p w14:paraId="2D8BA473" w14:textId="285B2A82" w:rsidR="00FA2EFF" w:rsidRPr="001B1EBD" w:rsidRDefault="00FA2EFF" w:rsidP="006255D5">
      <w:pPr>
        <w:pStyle w:val="ListParagraph"/>
        <w:numPr>
          <w:ilvl w:val="0"/>
          <w:numId w:val="40"/>
        </w:numPr>
        <w:jc w:val="both"/>
      </w:pPr>
      <w:r w:rsidRPr="00FA2EFF">
        <w:rPr>
          <w:sz w:val="20"/>
        </w:rPr>
        <w:t>The permittee shall meet all applicable requirements of 40 CFR Part 63, Subpart A and Subpart JJ.</w:t>
      </w:r>
      <w:r w:rsidR="0088041A" w:rsidRPr="00FA2EFF">
        <w:rPr>
          <w:sz w:val="20"/>
          <w:vertAlign w:val="superscript"/>
        </w:rPr>
        <w:t>2</w:t>
      </w:r>
      <w:r w:rsidR="0088041A" w:rsidRPr="00FA2EFF">
        <w:rPr>
          <w:sz w:val="20"/>
        </w:rPr>
        <w:t xml:space="preserve"> </w:t>
      </w:r>
      <w:r w:rsidR="002845D3">
        <w:rPr>
          <w:sz w:val="20"/>
        </w:rPr>
        <w:t xml:space="preserve"> </w:t>
      </w:r>
      <w:r w:rsidR="0088041A" w:rsidRPr="00FA2EFF">
        <w:rPr>
          <w:sz w:val="20"/>
        </w:rPr>
        <w:t>(</w:t>
      </w:r>
      <w:r w:rsidRPr="00FA2EFF">
        <w:rPr>
          <w:b/>
          <w:sz w:val="20"/>
        </w:rPr>
        <w:t>40 CFR Part 63, Subparts A and JJ)</w:t>
      </w:r>
    </w:p>
    <w:p w14:paraId="625088E4" w14:textId="77777777" w:rsidR="00E80FFE" w:rsidRDefault="00E80FFE" w:rsidP="001B1EBD">
      <w:pPr>
        <w:pStyle w:val="ListParagraph"/>
        <w:ind w:left="360"/>
        <w:jc w:val="both"/>
        <w:rPr>
          <w:sz w:val="20"/>
        </w:rPr>
      </w:pPr>
    </w:p>
    <w:p w14:paraId="52D308B6" w14:textId="5C33EF1E" w:rsidR="00C43966" w:rsidRDefault="00543937" w:rsidP="001A652A">
      <w:pPr>
        <w:jc w:val="both"/>
        <w:rPr>
          <w:sz w:val="20"/>
        </w:rPr>
      </w:pPr>
      <w:r w:rsidRPr="00543937">
        <w:rPr>
          <w:sz w:val="20"/>
        </w:rPr>
        <w:t>See Appendix 9</w:t>
      </w:r>
    </w:p>
    <w:p w14:paraId="4F693255" w14:textId="77777777" w:rsidR="00E80FFE" w:rsidRPr="00FE0AD0" w:rsidRDefault="00E80FFE" w:rsidP="001A652A">
      <w:pPr>
        <w:jc w:val="both"/>
        <w:rPr>
          <w:sz w:val="20"/>
        </w:rPr>
      </w:pPr>
    </w:p>
    <w:p w14:paraId="05020EA1" w14:textId="77777777" w:rsidR="00C43966" w:rsidRPr="00B90185" w:rsidRDefault="00C43966" w:rsidP="001A652A">
      <w:pPr>
        <w:jc w:val="both"/>
        <w:rPr>
          <w:b/>
          <w:sz w:val="20"/>
        </w:rPr>
      </w:pPr>
      <w:r w:rsidRPr="00B90185">
        <w:rPr>
          <w:b/>
          <w:sz w:val="20"/>
          <w:u w:val="single"/>
        </w:rPr>
        <w:t>Footnotes</w:t>
      </w:r>
      <w:r w:rsidRPr="00B90185">
        <w:rPr>
          <w:b/>
          <w:sz w:val="20"/>
        </w:rPr>
        <w:t>:</w:t>
      </w:r>
    </w:p>
    <w:p w14:paraId="3AF7E82B" w14:textId="01D8EC34" w:rsidR="00C43966" w:rsidRDefault="00C43966" w:rsidP="0041605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3927D81" w14:textId="44BC2B60" w:rsidR="00C43966" w:rsidRPr="003A4A19" w:rsidRDefault="00C43966" w:rsidP="0041605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9C9074" w14:textId="77777777" w:rsidR="007014BE" w:rsidRPr="007014BE" w:rsidRDefault="00E14632" w:rsidP="007014BE">
      <w:pPr>
        <w:rPr>
          <w:sz w:val="20"/>
        </w:rPr>
      </w:pPr>
      <w:r w:rsidRPr="00FE0AD0">
        <w:br w:type="page"/>
      </w:r>
      <w:bookmarkStart w:id="87" w:name="_Toc1453518"/>
      <w:bookmarkEnd w:id="63"/>
      <w:bookmarkEnd w:id="64"/>
      <w:bookmarkEnd w:id="65"/>
    </w:p>
    <w:p w14:paraId="6B5E7F64" w14:textId="77777777" w:rsidR="005E5399" w:rsidRPr="00440957" w:rsidRDefault="00FE2A0A" w:rsidP="001B5E34">
      <w:pPr>
        <w:pStyle w:val="Heading1"/>
        <w:rPr>
          <w:sz w:val="20"/>
          <w:szCs w:val="20"/>
        </w:rPr>
      </w:pPr>
      <w:bookmarkStart w:id="88" w:name="_Toc117065702"/>
      <w:r w:rsidRPr="001B5E34">
        <w:lastRenderedPageBreak/>
        <w:t>E</w:t>
      </w:r>
      <w:r w:rsidR="005E5399" w:rsidRPr="001B5E34">
        <w:t>.  NON-APPLICABLE REQUIREMENTS</w:t>
      </w:r>
      <w:bookmarkEnd w:id="87"/>
      <w:bookmarkEnd w:id="88"/>
    </w:p>
    <w:p w14:paraId="161EF10D" w14:textId="7953E68F" w:rsidR="005E5399" w:rsidRPr="009E40D6" w:rsidRDefault="00FA2EFF" w:rsidP="004F09CF">
      <w:pPr>
        <w:jc w:val="both"/>
        <w:rPr>
          <w:sz w:val="20"/>
        </w:rPr>
      </w:pPr>
      <w:r>
        <w:rPr>
          <w:rFonts w:cs="Arial"/>
          <w:sz w:val="20"/>
        </w:rPr>
        <w:t xml:space="preserve"> </w:t>
      </w:r>
    </w:p>
    <w:p w14:paraId="3C124E06" w14:textId="77777777" w:rsidR="00FD265B" w:rsidRPr="00EE5F4E" w:rsidRDefault="00FD265B" w:rsidP="004F09CF">
      <w:pPr>
        <w:jc w:val="both"/>
        <w:rPr>
          <w:sz w:val="20"/>
        </w:rPr>
      </w:pPr>
    </w:p>
    <w:p w14:paraId="25480EE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8707BC6" w14:textId="77777777" w:rsidR="000822B4" w:rsidRDefault="000822B4" w:rsidP="00D10803">
      <w:pPr>
        <w:jc w:val="both"/>
      </w:pPr>
    </w:p>
    <w:p w14:paraId="6E493C2F" w14:textId="77777777" w:rsidR="00447D64" w:rsidRDefault="00447D64" w:rsidP="00D10803">
      <w:pPr>
        <w:jc w:val="both"/>
      </w:pPr>
    </w:p>
    <w:p w14:paraId="0A96CE70"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FBA0F65" w14:textId="77777777" w:rsidTr="00B10CBB">
        <w:trPr>
          <w:cantSplit/>
          <w:trHeight w:val="226"/>
        </w:trPr>
        <w:tc>
          <w:tcPr>
            <w:tcW w:w="10271" w:type="dxa"/>
          </w:tcPr>
          <w:p w14:paraId="567A5FC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9" w:name="_Toc367698521"/>
            <w:bookmarkStart w:id="90" w:name="_Toc117065703"/>
            <w:r w:rsidRPr="00253A7B">
              <w:rPr>
                <w:b/>
                <w:kern w:val="28"/>
                <w:sz w:val="28"/>
                <w:szCs w:val="28"/>
              </w:rPr>
              <w:t>APPENDICES</w:t>
            </w:r>
            <w:bookmarkEnd w:id="89"/>
            <w:bookmarkEnd w:id="90"/>
          </w:p>
        </w:tc>
      </w:tr>
    </w:tbl>
    <w:p w14:paraId="0FED59F4" w14:textId="77777777" w:rsidR="00FC3D76" w:rsidRPr="00FC1F2C" w:rsidRDefault="005C07D8" w:rsidP="005C07D8">
      <w:pPr>
        <w:pStyle w:val="Heading2"/>
        <w:numPr>
          <w:ilvl w:val="0"/>
          <w:numId w:val="0"/>
        </w:numPr>
        <w:spacing w:before="0" w:after="0"/>
        <w:jc w:val="left"/>
        <w:rPr>
          <w:b w:val="0"/>
          <w:sz w:val="22"/>
          <w:szCs w:val="22"/>
        </w:rPr>
      </w:pPr>
      <w:bookmarkStart w:id="91" w:name="_Toc117065704"/>
      <w:bookmarkStart w:id="9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1"/>
    </w:p>
    <w:tbl>
      <w:tblPr>
        <w:tblW w:w="5000" w:type="pct"/>
        <w:jc w:val="center"/>
        <w:tblLook w:val="0000" w:firstRow="0" w:lastRow="0" w:firstColumn="0" w:lastColumn="0" w:noHBand="0" w:noVBand="0"/>
      </w:tblPr>
      <w:tblGrid>
        <w:gridCol w:w="1344"/>
        <w:gridCol w:w="3845"/>
        <w:gridCol w:w="803"/>
        <w:gridCol w:w="4202"/>
      </w:tblGrid>
      <w:tr w:rsidR="00FC3D76" w:rsidRPr="000B6AFE" w14:paraId="3C306EDC"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FA0AB54"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1D96624"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E3E232F" w14:textId="77777777" w:rsidTr="00232A18">
        <w:trPr>
          <w:cantSplit/>
          <w:trHeight w:val="245"/>
          <w:jc w:val="center"/>
        </w:trPr>
        <w:tc>
          <w:tcPr>
            <w:tcW w:w="659" w:type="pct"/>
            <w:tcBorders>
              <w:top w:val="single" w:sz="4" w:space="0" w:color="auto"/>
              <w:left w:val="double" w:sz="4" w:space="0" w:color="auto"/>
            </w:tcBorders>
          </w:tcPr>
          <w:p w14:paraId="2919CA7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D78D0D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EF1400A"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832C1B6"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BDA6801" w14:textId="77777777" w:rsidTr="00232A18">
        <w:trPr>
          <w:cantSplit/>
          <w:trHeight w:val="245"/>
          <w:jc w:val="center"/>
        </w:trPr>
        <w:tc>
          <w:tcPr>
            <w:tcW w:w="659" w:type="pct"/>
            <w:tcBorders>
              <w:left w:val="double" w:sz="4" w:space="0" w:color="auto"/>
            </w:tcBorders>
          </w:tcPr>
          <w:p w14:paraId="50D8812A"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CDFFFD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8670EA2"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04A93EC9"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2CB906B" w14:textId="77777777" w:rsidTr="00232A18">
        <w:trPr>
          <w:cantSplit/>
          <w:trHeight w:val="245"/>
          <w:jc w:val="center"/>
        </w:trPr>
        <w:tc>
          <w:tcPr>
            <w:tcW w:w="659" w:type="pct"/>
            <w:tcBorders>
              <w:left w:val="double" w:sz="4" w:space="0" w:color="auto"/>
            </w:tcBorders>
          </w:tcPr>
          <w:p w14:paraId="34D4D70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44A6B07"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5F8E7ED"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8E636A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8ECFE6E" w14:textId="77777777" w:rsidTr="00232A18">
        <w:trPr>
          <w:cantSplit/>
          <w:trHeight w:val="245"/>
          <w:jc w:val="center"/>
        </w:trPr>
        <w:tc>
          <w:tcPr>
            <w:tcW w:w="659" w:type="pct"/>
            <w:tcBorders>
              <w:left w:val="double" w:sz="4" w:space="0" w:color="auto"/>
            </w:tcBorders>
          </w:tcPr>
          <w:p w14:paraId="567013F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4BBB6D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0613B9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D386E5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FABBFAC" w14:textId="77777777" w:rsidTr="00232A18">
        <w:trPr>
          <w:cantSplit/>
          <w:trHeight w:val="245"/>
          <w:jc w:val="center"/>
        </w:trPr>
        <w:tc>
          <w:tcPr>
            <w:tcW w:w="659" w:type="pct"/>
            <w:tcBorders>
              <w:left w:val="double" w:sz="4" w:space="0" w:color="auto"/>
            </w:tcBorders>
          </w:tcPr>
          <w:p w14:paraId="76E9961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A3062F8"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51CA4B"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5CA5F0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0F366584" w14:textId="77777777" w:rsidTr="00232A18">
        <w:trPr>
          <w:cantSplit/>
          <w:trHeight w:val="245"/>
          <w:jc w:val="center"/>
        </w:trPr>
        <w:tc>
          <w:tcPr>
            <w:tcW w:w="659" w:type="pct"/>
            <w:tcBorders>
              <w:left w:val="double" w:sz="4" w:space="0" w:color="auto"/>
            </w:tcBorders>
          </w:tcPr>
          <w:p w14:paraId="6AE4EB3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B1FC277"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C743F40"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52AB430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5858CB46" w14:textId="77777777" w:rsidTr="00232A18">
        <w:trPr>
          <w:cantSplit/>
          <w:trHeight w:val="245"/>
          <w:jc w:val="center"/>
        </w:trPr>
        <w:tc>
          <w:tcPr>
            <w:tcW w:w="659" w:type="pct"/>
            <w:tcBorders>
              <w:left w:val="double" w:sz="4" w:space="0" w:color="auto"/>
            </w:tcBorders>
          </w:tcPr>
          <w:p w14:paraId="34E13ED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403569D2"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C296658"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B481BA1"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0E2D356" w14:textId="77777777" w:rsidTr="00232A18">
        <w:trPr>
          <w:cantSplit/>
          <w:trHeight w:val="245"/>
          <w:jc w:val="center"/>
        </w:trPr>
        <w:tc>
          <w:tcPr>
            <w:tcW w:w="659" w:type="pct"/>
            <w:tcBorders>
              <w:left w:val="double" w:sz="4" w:space="0" w:color="auto"/>
            </w:tcBorders>
          </w:tcPr>
          <w:p w14:paraId="617B29D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4D0064F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32EEF8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5AA757D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82D4B26" w14:textId="77777777" w:rsidTr="00232A18">
        <w:trPr>
          <w:cantSplit/>
          <w:trHeight w:val="218"/>
          <w:jc w:val="center"/>
        </w:trPr>
        <w:tc>
          <w:tcPr>
            <w:tcW w:w="659" w:type="pct"/>
            <w:vMerge w:val="restart"/>
            <w:tcBorders>
              <w:left w:val="double" w:sz="4" w:space="0" w:color="auto"/>
            </w:tcBorders>
          </w:tcPr>
          <w:p w14:paraId="78D27576" w14:textId="77777777" w:rsidR="002229D7" w:rsidRPr="000B6AFE" w:rsidRDefault="002229D7" w:rsidP="008256F1">
            <w:pPr>
              <w:rPr>
                <w:rFonts w:cs="Arial"/>
                <w:sz w:val="19"/>
                <w:szCs w:val="19"/>
              </w:rPr>
            </w:pPr>
            <w:r w:rsidRPr="000B6AFE">
              <w:rPr>
                <w:rFonts w:cs="Arial"/>
                <w:sz w:val="19"/>
                <w:szCs w:val="19"/>
              </w:rPr>
              <w:t>Department/</w:t>
            </w:r>
          </w:p>
          <w:p w14:paraId="3CF12D4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B63992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6F706C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DCC783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46A8BB78" w14:textId="77777777" w:rsidTr="00232A18">
        <w:trPr>
          <w:cantSplit/>
          <w:trHeight w:val="217"/>
          <w:jc w:val="center"/>
        </w:trPr>
        <w:tc>
          <w:tcPr>
            <w:tcW w:w="659" w:type="pct"/>
            <w:vMerge/>
            <w:tcBorders>
              <w:left w:val="double" w:sz="4" w:space="0" w:color="auto"/>
            </w:tcBorders>
          </w:tcPr>
          <w:p w14:paraId="3CA8B0DE" w14:textId="77777777" w:rsidR="002229D7" w:rsidRPr="000B6AFE" w:rsidRDefault="002229D7" w:rsidP="008256F1">
            <w:pPr>
              <w:rPr>
                <w:rFonts w:cs="Arial"/>
                <w:sz w:val="19"/>
                <w:szCs w:val="19"/>
              </w:rPr>
            </w:pPr>
          </w:p>
        </w:tc>
        <w:tc>
          <w:tcPr>
            <w:tcW w:w="1886" w:type="pct"/>
            <w:vMerge/>
            <w:tcBorders>
              <w:right w:val="single" w:sz="4" w:space="0" w:color="auto"/>
            </w:tcBorders>
          </w:tcPr>
          <w:p w14:paraId="2E961A1A" w14:textId="77777777" w:rsidR="002229D7" w:rsidRPr="000B6AFE" w:rsidRDefault="002229D7" w:rsidP="00FC3D76">
            <w:pPr>
              <w:rPr>
                <w:rFonts w:cs="Arial"/>
                <w:sz w:val="19"/>
                <w:szCs w:val="19"/>
              </w:rPr>
            </w:pPr>
          </w:p>
        </w:tc>
        <w:tc>
          <w:tcPr>
            <w:tcW w:w="394" w:type="pct"/>
            <w:tcBorders>
              <w:left w:val="single" w:sz="4" w:space="0" w:color="auto"/>
            </w:tcBorders>
          </w:tcPr>
          <w:p w14:paraId="4F742F0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73D5312"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3577BB3" w14:textId="77777777" w:rsidTr="00232A18">
        <w:trPr>
          <w:cantSplit/>
          <w:trHeight w:val="245"/>
          <w:jc w:val="center"/>
        </w:trPr>
        <w:tc>
          <w:tcPr>
            <w:tcW w:w="659" w:type="pct"/>
            <w:vMerge w:val="restart"/>
            <w:tcBorders>
              <w:left w:val="double" w:sz="4" w:space="0" w:color="auto"/>
            </w:tcBorders>
          </w:tcPr>
          <w:p w14:paraId="522CD3F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CCBAD3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CC15A65"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0B5A3BE"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C5B7D49" w14:textId="77777777" w:rsidTr="00232A18">
        <w:trPr>
          <w:cantSplit/>
          <w:trHeight w:val="245"/>
          <w:jc w:val="center"/>
        </w:trPr>
        <w:tc>
          <w:tcPr>
            <w:tcW w:w="659" w:type="pct"/>
            <w:vMerge/>
            <w:tcBorders>
              <w:left w:val="double" w:sz="4" w:space="0" w:color="auto"/>
            </w:tcBorders>
          </w:tcPr>
          <w:p w14:paraId="0E316D67" w14:textId="77777777" w:rsidR="003B1CC9" w:rsidRDefault="003B1CC9" w:rsidP="003B1CC9">
            <w:pPr>
              <w:rPr>
                <w:rFonts w:cs="Arial"/>
                <w:sz w:val="19"/>
                <w:szCs w:val="19"/>
              </w:rPr>
            </w:pPr>
          </w:p>
        </w:tc>
        <w:tc>
          <w:tcPr>
            <w:tcW w:w="1886" w:type="pct"/>
            <w:vMerge/>
            <w:tcBorders>
              <w:right w:val="single" w:sz="4" w:space="0" w:color="auto"/>
            </w:tcBorders>
          </w:tcPr>
          <w:p w14:paraId="193EC710" w14:textId="77777777" w:rsidR="003B1CC9" w:rsidRPr="000B6AFE" w:rsidRDefault="003B1CC9" w:rsidP="003B1CC9">
            <w:pPr>
              <w:rPr>
                <w:rFonts w:cs="Arial"/>
                <w:sz w:val="19"/>
                <w:szCs w:val="19"/>
              </w:rPr>
            </w:pPr>
          </w:p>
        </w:tc>
        <w:tc>
          <w:tcPr>
            <w:tcW w:w="394" w:type="pct"/>
            <w:tcBorders>
              <w:left w:val="single" w:sz="4" w:space="0" w:color="auto"/>
            </w:tcBorders>
          </w:tcPr>
          <w:p w14:paraId="18675E99"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50A4C66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8B6E751" w14:textId="77777777" w:rsidTr="00232A18">
        <w:trPr>
          <w:cantSplit/>
          <w:trHeight w:val="245"/>
          <w:jc w:val="center"/>
        </w:trPr>
        <w:tc>
          <w:tcPr>
            <w:tcW w:w="659" w:type="pct"/>
            <w:tcBorders>
              <w:left w:val="double" w:sz="4" w:space="0" w:color="auto"/>
            </w:tcBorders>
          </w:tcPr>
          <w:p w14:paraId="3CE231A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C970511"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8AA489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7B0E7BC"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790F9DE" w14:textId="77777777" w:rsidTr="00232A18">
        <w:trPr>
          <w:cantSplit/>
          <w:trHeight w:val="245"/>
          <w:jc w:val="center"/>
        </w:trPr>
        <w:tc>
          <w:tcPr>
            <w:tcW w:w="659" w:type="pct"/>
            <w:tcBorders>
              <w:left w:val="double" w:sz="4" w:space="0" w:color="auto"/>
            </w:tcBorders>
          </w:tcPr>
          <w:p w14:paraId="1BD50E5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79388C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1F21E97"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08C75D3"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16EC52F" w14:textId="77777777" w:rsidTr="00232A18">
        <w:trPr>
          <w:cantSplit/>
          <w:trHeight w:val="245"/>
          <w:jc w:val="center"/>
        </w:trPr>
        <w:tc>
          <w:tcPr>
            <w:tcW w:w="659" w:type="pct"/>
            <w:tcBorders>
              <w:left w:val="double" w:sz="4" w:space="0" w:color="auto"/>
            </w:tcBorders>
          </w:tcPr>
          <w:p w14:paraId="4FCE87C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413C8842"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A441C1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1F5E56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CBCF68C" w14:textId="77777777" w:rsidTr="00232A18">
        <w:trPr>
          <w:cantSplit/>
          <w:trHeight w:val="245"/>
          <w:jc w:val="center"/>
        </w:trPr>
        <w:tc>
          <w:tcPr>
            <w:tcW w:w="659" w:type="pct"/>
            <w:tcBorders>
              <w:left w:val="double" w:sz="4" w:space="0" w:color="auto"/>
            </w:tcBorders>
          </w:tcPr>
          <w:p w14:paraId="518F865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A20E75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B5879A8"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C3FF59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40572CA" w14:textId="77777777" w:rsidTr="00232A18">
        <w:trPr>
          <w:cantSplit/>
          <w:trHeight w:val="245"/>
          <w:jc w:val="center"/>
        </w:trPr>
        <w:tc>
          <w:tcPr>
            <w:tcW w:w="659" w:type="pct"/>
            <w:tcBorders>
              <w:left w:val="double" w:sz="4" w:space="0" w:color="auto"/>
            </w:tcBorders>
          </w:tcPr>
          <w:p w14:paraId="384B334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7FBCDAA"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20DD18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72C92B7"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05609941" w14:textId="77777777" w:rsidTr="00232A18">
        <w:trPr>
          <w:cantSplit/>
          <w:trHeight w:val="245"/>
          <w:jc w:val="center"/>
        </w:trPr>
        <w:tc>
          <w:tcPr>
            <w:tcW w:w="659" w:type="pct"/>
            <w:tcBorders>
              <w:left w:val="double" w:sz="4" w:space="0" w:color="auto"/>
            </w:tcBorders>
          </w:tcPr>
          <w:p w14:paraId="6011700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18044CD6"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804645D"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B8B2D9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0DECDC4" w14:textId="77777777" w:rsidTr="00232A18">
        <w:trPr>
          <w:cantSplit/>
          <w:trHeight w:val="245"/>
          <w:jc w:val="center"/>
        </w:trPr>
        <w:tc>
          <w:tcPr>
            <w:tcW w:w="659" w:type="pct"/>
            <w:tcBorders>
              <w:left w:val="double" w:sz="4" w:space="0" w:color="auto"/>
            </w:tcBorders>
          </w:tcPr>
          <w:p w14:paraId="65E40A35"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8688AE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DA60FE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6BD8D3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CD53454" w14:textId="77777777" w:rsidTr="00232A18">
        <w:trPr>
          <w:cantSplit/>
          <w:trHeight w:val="245"/>
          <w:jc w:val="center"/>
        </w:trPr>
        <w:tc>
          <w:tcPr>
            <w:tcW w:w="659" w:type="pct"/>
            <w:tcBorders>
              <w:left w:val="double" w:sz="4" w:space="0" w:color="auto"/>
            </w:tcBorders>
          </w:tcPr>
          <w:p w14:paraId="2E88DC2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372991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E66CCE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8D0C9A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589BF3E" w14:textId="77777777" w:rsidTr="00232A18">
        <w:trPr>
          <w:cantSplit/>
          <w:trHeight w:val="245"/>
          <w:jc w:val="center"/>
        </w:trPr>
        <w:tc>
          <w:tcPr>
            <w:tcW w:w="659" w:type="pct"/>
            <w:tcBorders>
              <w:left w:val="double" w:sz="4" w:space="0" w:color="auto"/>
            </w:tcBorders>
          </w:tcPr>
          <w:p w14:paraId="1A4575E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5C9BED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7AC263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242BE4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6E7F674" w14:textId="77777777" w:rsidTr="00232A18">
        <w:trPr>
          <w:cantSplit/>
          <w:trHeight w:val="245"/>
          <w:jc w:val="center"/>
        </w:trPr>
        <w:tc>
          <w:tcPr>
            <w:tcW w:w="659" w:type="pct"/>
            <w:tcBorders>
              <w:left w:val="double" w:sz="4" w:space="0" w:color="auto"/>
            </w:tcBorders>
          </w:tcPr>
          <w:p w14:paraId="207AA27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BB874A6"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E5FB29D"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0853EE4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2475D1E" w14:textId="77777777" w:rsidTr="00232A18">
        <w:trPr>
          <w:cantSplit/>
          <w:trHeight w:val="245"/>
          <w:jc w:val="center"/>
        </w:trPr>
        <w:tc>
          <w:tcPr>
            <w:tcW w:w="659" w:type="pct"/>
            <w:tcBorders>
              <w:left w:val="double" w:sz="4" w:space="0" w:color="auto"/>
            </w:tcBorders>
          </w:tcPr>
          <w:p w14:paraId="5BE67484"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310C485"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54FF09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6CEB02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CE22E87" w14:textId="77777777" w:rsidTr="00232A18">
        <w:trPr>
          <w:cantSplit/>
          <w:trHeight w:val="245"/>
          <w:jc w:val="center"/>
        </w:trPr>
        <w:tc>
          <w:tcPr>
            <w:tcW w:w="659" w:type="pct"/>
            <w:tcBorders>
              <w:left w:val="double" w:sz="4" w:space="0" w:color="auto"/>
            </w:tcBorders>
          </w:tcPr>
          <w:p w14:paraId="46CC2928"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153B48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341867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3CF905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AFE693B" w14:textId="77777777" w:rsidTr="00232A18">
        <w:trPr>
          <w:cantSplit/>
          <w:trHeight w:val="218"/>
          <w:jc w:val="center"/>
        </w:trPr>
        <w:tc>
          <w:tcPr>
            <w:tcW w:w="659" w:type="pct"/>
            <w:tcBorders>
              <w:left w:val="double" w:sz="4" w:space="0" w:color="auto"/>
            </w:tcBorders>
          </w:tcPr>
          <w:p w14:paraId="3C1FDCB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D633312"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1AB042B"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8CBBC2A"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C059420" w14:textId="77777777" w:rsidTr="00232A18">
        <w:trPr>
          <w:cantSplit/>
          <w:trHeight w:val="245"/>
          <w:jc w:val="center"/>
        </w:trPr>
        <w:tc>
          <w:tcPr>
            <w:tcW w:w="659" w:type="pct"/>
            <w:tcBorders>
              <w:left w:val="double" w:sz="4" w:space="0" w:color="auto"/>
            </w:tcBorders>
          </w:tcPr>
          <w:p w14:paraId="7D17CB54"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4E05FFC"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ECF13C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9375D5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6EF6D43" w14:textId="77777777" w:rsidTr="00232A18">
        <w:trPr>
          <w:cantSplit/>
          <w:trHeight w:val="245"/>
          <w:jc w:val="center"/>
        </w:trPr>
        <w:tc>
          <w:tcPr>
            <w:tcW w:w="659" w:type="pct"/>
            <w:tcBorders>
              <w:left w:val="double" w:sz="4" w:space="0" w:color="auto"/>
            </w:tcBorders>
          </w:tcPr>
          <w:p w14:paraId="4D10533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655125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8AC5CC9" w14:textId="77777777" w:rsidR="002229D7" w:rsidRPr="000B6AFE" w:rsidRDefault="002229D7" w:rsidP="002229D7">
            <w:pPr>
              <w:rPr>
                <w:rFonts w:cs="Arial"/>
                <w:sz w:val="19"/>
                <w:szCs w:val="19"/>
              </w:rPr>
            </w:pPr>
          </w:p>
        </w:tc>
        <w:tc>
          <w:tcPr>
            <w:tcW w:w="2061" w:type="pct"/>
            <w:vMerge/>
            <w:tcBorders>
              <w:right w:val="double" w:sz="4" w:space="0" w:color="auto"/>
            </w:tcBorders>
          </w:tcPr>
          <w:p w14:paraId="577036B4" w14:textId="77777777" w:rsidR="002229D7" w:rsidRPr="000B6AFE" w:rsidRDefault="002229D7" w:rsidP="002229D7">
            <w:pPr>
              <w:rPr>
                <w:rFonts w:cs="Arial"/>
                <w:sz w:val="19"/>
                <w:szCs w:val="19"/>
              </w:rPr>
            </w:pPr>
          </w:p>
        </w:tc>
      </w:tr>
      <w:tr w:rsidR="002229D7" w:rsidRPr="000B6AFE" w14:paraId="4195FE90" w14:textId="77777777" w:rsidTr="00232A18">
        <w:trPr>
          <w:cantSplit/>
          <w:trHeight w:val="218"/>
          <w:jc w:val="center"/>
        </w:trPr>
        <w:tc>
          <w:tcPr>
            <w:tcW w:w="659" w:type="pct"/>
            <w:tcBorders>
              <w:left w:val="double" w:sz="4" w:space="0" w:color="auto"/>
              <w:bottom w:val="nil"/>
            </w:tcBorders>
          </w:tcPr>
          <w:p w14:paraId="2A3F5CF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BDE16F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224EF01"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DF1E65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41D42B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7BA4C5F" w14:textId="77777777" w:rsidTr="00232A18">
        <w:trPr>
          <w:cantSplit/>
          <w:trHeight w:val="218"/>
          <w:jc w:val="center"/>
        </w:trPr>
        <w:tc>
          <w:tcPr>
            <w:tcW w:w="659" w:type="pct"/>
            <w:vMerge w:val="restart"/>
            <w:tcBorders>
              <w:left w:val="double" w:sz="4" w:space="0" w:color="auto"/>
            </w:tcBorders>
          </w:tcPr>
          <w:p w14:paraId="3253B31B"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00ACFA6"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9CD0006"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5886D58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07DC4511" w14:textId="77777777" w:rsidTr="00232A18">
        <w:trPr>
          <w:cantSplit/>
          <w:trHeight w:val="217"/>
          <w:jc w:val="center"/>
        </w:trPr>
        <w:tc>
          <w:tcPr>
            <w:tcW w:w="659" w:type="pct"/>
            <w:vMerge/>
            <w:tcBorders>
              <w:left w:val="double" w:sz="4" w:space="0" w:color="auto"/>
              <w:bottom w:val="nil"/>
            </w:tcBorders>
          </w:tcPr>
          <w:p w14:paraId="5110B86B" w14:textId="77777777" w:rsidR="002229D7" w:rsidRPr="000B6AFE" w:rsidRDefault="002229D7" w:rsidP="002229D7">
            <w:pPr>
              <w:rPr>
                <w:rFonts w:cs="Arial"/>
                <w:sz w:val="19"/>
                <w:szCs w:val="19"/>
              </w:rPr>
            </w:pPr>
          </w:p>
        </w:tc>
        <w:tc>
          <w:tcPr>
            <w:tcW w:w="1886" w:type="pct"/>
            <w:vMerge/>
            <w:tcBorders>
              <w:right w:val="single" w:sz="4" w:space="0" w:color="auto"/>
            </w:tcBorders>
          </w:tcPr>
          <w:p w14:paraId="097FCDE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70A88AF"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A2A67C8"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D176D12" w14:textId="77777777" w:rsidTr="00232A18">
        <w:trPr>
          <w:cantSplit/>
          <w:trHeight w:val="245"/>
          <w:jc w:val="center"/>
        </w:trPr>
        <w:tc>
          <w:tcPr>
            <w:tcW w:w="659" w:type="pct"/>
            <w:tcBorders>
              <w:left w:val="double" w:sz="4" w:space="0" w:color="auto"/>
            </w:tcBorders>
          </w:tcPr>
          <w:p w14:paraId="285255C0"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9B05F8B"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E4E4B8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1CB594BA"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2B7D319C" w14:textId="77777777" w:rsidTr="00232A18">
        <w:trPr>
          <w:cantSplit/>
          <w:trHeight w:val="245"/>
          <w:jc w:val="center"/>
        </w:trPr>
        <w:tc>
          <w:tcPr>
            <w:tcW w:w="659" w:type="pct"/>
            <w:tcBorders>
              <w:left w:val="double" w:sz="4" w:space="0" w:color="auto"/>
            </w:tcBorders>
          </w:tcPr>
          <w:p w14:paraId="06C0530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B3D5D27"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C2B6A73"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489F89FB"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77E4E4A" w14:textId="77777777" w:rsidTr="00232A18">
        <w:trPr>
          <w:cantSplit/>
          <w:trHeight w:val="245"/>
          <w:jc w:val="center"/>
        </w:trPr>
        <w:tc>
          <w:tcPr>
            <w:tcW w:w="659" w:type="pct"/>
            <w:tcBorders>
              <w:left w:val="double" w:sz="4" w:space="0" w:color="auto"/>
            </w:tcBorders>
          </w:tcPr>
          <w:p w14:paraId="7CE4F5D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6B79CC8"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D068BA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F29891E" w14:textId="77777777" w:rsidR="002229D7" w:rsidRPr="000B6AFE" w:rsidRDefault="002229D7" w:rsidP="002229D7">
            <w:pPr>
              <w:rPr>
                <w:rFonts w:cs="Arial"/>
                <w:sz w:val="19"/>
                <w:szCs w:val="19"/>
              </w:rPr>
            </w:pPr>
            <w:r>
              <w:rPr>
                <w:rFonts w:cs="Arial"/>
                <w:sz w:val="19"/>
                <w:szCs w:val="19"/>
              </w:rPr>
              <w:t>Percent</w:t>
            </w:r>
          </w:p>
        </w:tc>
      </w:tr>
      <w:tr w:rsidR="002229D7" w:rsidRPr="000B6AFE" w14:paraId="1B30CBED" w14:textId="77777777" w:rsidTr="00232A18">
        <w:trPr>
          <w:cantSplit/>
          <w:trHeight w:val="245"/>
          <w:jc w:val="center"/>
        </w:trPr>
        <w:tc>
          <w:tcPr>
            <w:tcW w:w="659" w:type="pct"/>
            <w:tcBorders>
              <w:left w:val="double" w:sz="4" w:space="0" w:color="auto"/>
            </w:tcBorders>
          </w:tcPr>
          <w:p w14:paraId="438E599B"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710585D"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91AC57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3158233"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F04C27B" w14:textId="77777777" w:rsidTr="00232A18">
        <w:trPr>
          <w:cantSplit/>
          <w:trHeight w:val="245"/>
          <w:jc w:val="center"/>
        </w:trPr>
        <w:tc>
          <w:tcPr>
            <w:tcW w:w="659" w:type="pct"/>
            <w:tcBorders>
              <w:left w:val="double" w:sz="4" w:space="0" w:color="auto"/>
            </w:tcBorders>
          </w:tcPr>
          <w:p w14:paraId="3A0BFE1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91EAA2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8720A5C"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3A0438D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EDEA226" w14:textId="77777777" w:rsidTr="00232A18">
        <w:trPr>
          <w:cantSplit/>
          <w:trHeight w:val="245"/>
          <w:jc w:val="center"/>
        </w:trPr>
        <w:tc>
          <w:tcPr>
            <w:tcW w:w="659" w:type="pct"/>
            <w:tcBorders>
              <w:left w:val="double" w:sz="4" w:space="0" w:color="auto"/>
            </w:tcBorders>
          </w:tcPr>
          <w:p w14:paraId="04A5BBA2"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51BEC3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B432824"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5A67E59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1D2645F" w14:textId="77777777" w:rsidTr="00232A18">
        <w:trPr>
          <w:cantSplit/>
          <w:trHeight w:val="245"/>
          <w:jc w:val="center"/>
        </w:trPr>
        <w:tc>
          <w:tcPr>
            <w:tcW w:w="659" w:type="pct"/>
            <w:tcBorders>
              <w:left w:val="double" w:sz="4" w:space="0" w:color="auto"/>
            </w:tcBorders>
          </w:tcPr>
          <w:p w14:paraId="1DFF67A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A38D91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1EE577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F9E954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7327F15" w14:textId="77777777" w:rsidTr="00232A18">
        <w:trPr>
          <w:cantSplit/>
          <w:trHeight w:val="245"/>
          <w:jc w:val="center"/>
        </w:trPr>
        <w:tc>
          <w:tcPr>
            <w:tcW w:w="659" w:type="pct"/>
            <w:tcBorders>
              <w:left w:val="double" w:sz="4" w:space="0" w:color="auto"/>
            </w:tcBorders>
          </w:tcPr>
          <w:p w14:paraId="4F61493B"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6243498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A68ABDD"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C9625B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DB3A87D" w14:textId="77777777" w:rsidTr="00232A18">
        <w:trPr>
          <w:cantSplit/>
          <w:trHeight w:val="245"/>
          <w:jc w:val="center"/>
        </w:trPr>
        <w:tc>
          <w:tcPr>
            <w:tcW w:w="659" w:type="pct"/>
            <w:tcBorders>
              <w:left w:val="double" w:sz="4" w:space="0" w:color="auto"/>
            </w:tcBorders>
          </w:tcPr>
          <w:p w14:paraId="0741FDA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9ADC6C5"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AAF1CC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AEFD46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4773BD8" w14:textId="77777777" w:rsidTr="00232A18">
        <w:trPr>
          <w:cantSplit/>
          <w:trHeight w:val="245"/>
          <w:jc w:val="center"/>
        </w:trPr>
        <w:tc>
          <w:tcPr>
            <w:tcW w:w="659" w:type="pct"/>
            <w:tcBorders>
              <w:left w:val="double" w:sz="4" w:space="0" w:color="auto"/>
            </w:tcBorders>
          </w:tcPr>
          <w:p w14:paraId="3053AB0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14D55A2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7EF6001"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542F329"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240B147A" w14:textId="77777777" w:rsidTr="00232A18">
        <w:trPr>
          <w:cantSplit/>
          <w:trHeight w:val="245"/>
          <w:jc w:val="center"/>
        </w:trPr>
        <w:tc>
          <w:tcPr>
            <w:tcW w:w="659" w:type="pct"/>
            <w:tcBorders>
              <w:left w:val="double" w:sz="4" w:space="0" w:color="auto"/>
            </w:tcBorders>
          </w:tcPr>
          <w:p w14:paraId="2D3FA00B"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CEB7FEA"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1971D81"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D53D479"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64CB70C" w14:textId="77777777" w:rsidTr="00232A18">
        <w:trPr>
          <w:cantSplit/>
          <w:trHeight w:val="245"/>
          <w:jc w:val="center"/>
        </w:trPr>
        <w:tc>
          <w:tcPr>
            <w:tcW w:w="659" w:type="pct"/>
            <w:tcBorders>
              <w:left w:val="double" w:sz="4" w:space="0" w:color="auto"/>
            </w:tcBorders>
          </w:tcPr>
          <w:p w14:paraId="581D631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A6F29DE"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5A6128D"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1F226A17"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E70CF35" w14:textId="77777777" w:rsidTr="00232A18">
        <w:trPr>
          <w:cantSplit/>
          <w:trHeight w:val="245"/>
          <w:jc w:val="center"/>
        </w:trPr>
        <w:tc>
          <w:tcPr>
            <w:tcW w:w="659" w:type="pct"/>
            <w:tcBorders>
              <w:left w:val="double" w:sz="4" w:space="0" w:color="auto"/>
            </w:tcBorders>
          </w:tcPr>
          <w:p w14:paraId="4816EDCC"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2AD8BEB"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6DD83EC"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B1ACE80"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492E473" w14:textId="77777777" w:rsidTr="00232A18">
        <w:trPr>
          <w:cantSplit/>
          <w:trHeight w:val="245"/>
          <w:jc w:val="center"/>
        </w:trPr>
        <w:tc>
          <w:tcPr>
            <w:tcW w:w="659" w:type="pct"/>
            <w:tcBorders>
              <w:left w:val="double" w:sz="4" w:space="0" w:color="auto"/>
            </w:tcBorders>
          </w:tcPr>
          <w:p w14:paraId="18C9DB67"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2F2CC46"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793425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764E430"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5914E94" w14:textId="77777777" w:rsidTr="00232A18">
        <w:trPr>
          <w:cantSplit/>
          <w:trHeight w:val="245"/>
          <w:jc w:val="center"/>
        </w:trPr>
        <w:tc>
          <w:tcPr>
            <w:tcW w:w="659" w:type="pct"/>
            <w:vMerge w:val="restart"/>
            <w:tcBorders>
              <w:left w:val="double" w:sz="4" w:space="0" w:color="auto"/>
            </w:tcBorders>
          </w:tcPr>
          <w:p w14:paraId="0252CF8C"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DF0D113"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A91ADF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1CC4C21"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4B2B0CC" w14:textId="77777777" w:rsidTr="00232A18">
        <w:trPr>
          <w:cantSplit/>
          <w:trHeight w:val="245"/>
          <w:jc w:val="center"/>
        </w:trPr>
        <w:tc>
          <w:tcPr>
            <w:tcW w:w="659" w:type="pct"/>
            <w:vMerge/>
            <w:tcBorders>
              <w:left w:val="double" w:sz="4" w:space="0" w:color="auto"/>
            </w:tcBorders>
          </w:tcPr>
          <w:p w14:paraId="22804D46" w14:textId="77777777" w:rsidR="00232A18" w:rsidRPr="000B6AFE" w:rsidRDefault="00232A18" w:rsidP="002229D7">
            <w:pPr>
              <w:rPr>
                <w:rFonts w:cs="Arial"/>
                <w:sz w:val="19"/>
                <w:szCs w:val="19"/>
              </w:rPr>
            </w:pPr>
          </w:p>
        </w:tc>
        <w:tc>
          <w:tcPr>
            <w:tcW w:w="1886" w:type="pct"/>
            <w:vMerge/>
            <w:tcBorders>
              <w:right w:val="single" w:sz="4" w:space="0" w:color="auto"/>
            </w:tcBorders>
          </w:tcPr>
          <w:p w14:paraId="2F21312D"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7684E69"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6794DB6C"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21CF1B8" w14:textId="77777777" w:rsidTr="00232A18">
        <w:trPr>
          <w:cantSplit/>
          <w:trHeight w:val="245"/>
          <w:jc w:val="center"/>
        </w:trPr>
        <w:tc>
          <w:tcPr>
            <w:tcW w:w="659" w:type="pct"/>
            <w:tcBorders>
              <w:left w:val="double" w:sz="4" w:space="0" w:color="auto"/>
              <w:bottom w:val="double" w:sz="4" w:space="0" w:color="auto"/>
            </w:tcBorders>
          </w:tcPr>
          <w:p w14:paraId="663577E5"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C457AB6"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0816EE3"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0087BAFB" w14:textId="77777777" w:rsidR="00232A18" w:rsidRPr="000B6AFE" w:rsidRDefault="00232A18" w:rsidP="002229D7">
            <w:pPr>
              <w:rPr>
                <w:rFonts w:cs="Arial"/>
                <w:sz w:val="19"/>
                <w:szCs w:val="19"/>
              </w:rPr>
            </w:pPr>
          </w:p>
        </w:tc>
      </w:tr>
    </w:tbl>
    <w:p w14:paraId="5B721092"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1F291C6" w14:textId="77777777" w:rsidR="00C60E84" w:rsidRPr="00FC1F2C" w:rsidRDefault="00C60E84" w:rsidP="00461D22">
      <w:pPr>
        <w:pStyle w:val="Heading2"/>
        <w:numPr>
          <w:ilvl w:val="0"/>
          <w:numId w:val="0"/>
        </w:numPr>
        <w:jc w:val="left"/>
        <w:rPr>
          <w:b w:val="0"/>
          <w:bCs/>
          <w:sz w:val="22"/>
          <w:szCs w:val="22"/>
        </w:rPr>
      </w:pPr>
      <w:bookmarkStart w:id="93" w:name="_Toc117065705"/>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bookmarkEnd w:id="92"/>
      <w:r w:rsidRPr="00461D22">
        <w:rPr>
          <w:bCs/>
          <w:sz w:val="22"/>
          <w:szCs w:val="22"/>
        </w:rPr>
        <w:lastRenderedPageBreak/>
        <w:t>Appendix 2.  Schedule of Compliance</w:t>
      </w:r>
      <w:bookmarkEnd w:id="93"/>
    </w:p>
    <w:p w14:paraId="11CF1F84" w14:textId="17960BA6" w:rsidR="002917CF" w:rsidRDefault="002917CF" w:rsidP="002917CF">
      <w:pPr>
        <w:jc w:val="both"/>
        <w:rPr>
          <w:rFonts w:cs="Arial"/>
          <w:sz w:val="20"/>
        </w:rPr>
      </w:pPr>
    </w:p>
    <w:p w14:paraId="7249994C" w14:textId="77777777" w:rsidR="005F4142" w:rsidRDefault="005F4142" w:rsidP="002917CF">
      <w:pPr>
        <w:jc w:val="both"/>
        <w:rPr>
          <w:rFonts w:cs="Arial"/>
          <w:sz w:val="20"/>
        </w:rPr>
      </w:pPr>
    </w:p>
    <w:p w14:paraId="48A7E7B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C70947E" w14:textId="77777777" w:rsidR="00AC5663" w:rsidRPr="00B77C68" w:rsidRDefault="00AC5663" w:rsidP="00233E61">
      <w:pPr>
        <w:rPr>
          <w:sz w:val="20"/>
        </w:rPr>
      </w:pPr>
    </w:p>
    <w:p w14:paraId="35FD9724" w14:textId="77777777" w:rsidR="00C60E84" w:rsidRPr="00FC1F2C" w:rsidRDefault="00C60E84" w:rsidP="004F09CF">
      <w:pPr>
        <w:pStyle w:val="Heading2"/>
        <w:numPr>
          <w:ilvl w:val="0"/>
          <w:numId w:val="0"/>
        </w:numPr>
        <w:jc w:val="both"/>
        <w:rPr>
          <w:b w:val="0"/>
          <w:sz w:val="20"/>
        </w:rPr>
      </w:pPr>
      <w:bookmarkStart w:id="102" w:name="_Toc117065706"/>
      <w:r w:rsidRPr="00461D22">
        <w:rPr>
          <w:sz w:val="22"/>
          <w:szCs w:val="22"/>
        </w:rPr>
        <w:t>Appendix 3.  Monitoring Requirements</w:t>
      </w:r>
      <w:bookmarkEnd w:id="102"/>
    </w:p>
    <w:p w14:paraId="5C9C132C" w14:textId="77777777" w:rsidR="00C60E84" w:rsidRPr="0080590E" w:rsidRDefault="00C60E84" w:rsidP="004F09CF">
      <w:pPr>
        <w:jc w:val="both"/>
        <w:rPr>
          <w:sz w:val="20"/>
        </w:rPr>
      </w:pPr>
    </w:p>
    <w:p w14:paraId="5E78C639" w14:textId="5CE45E64" w:rsidR="00C60E84" w:rsidRPr="0080590E" w:rsidRDefault="00FA2EFF" w:rsidP="004F09CF">
      <w:pPr>
        <w:jc w:val="both"/>
        <w:rPr>
          <w:sz w:val="20"/>
        </w:rPr>
      </w:pPr>
      <w:r>
        <w:rPr>
          <w:b/>
          <w:color w:val="FF0000"/>
          <w:sz w:val="20"/>
        </w:rPr>
        <w:t xml:space="preserve"> </w:t>
      </w:r>
    </w:p>
    <w:p w14:paraId="5A5967C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2EE11EF" w14:textId="77777777" w:rsidR="00C60E84" w:rsidRPr="00B77C68" w:rsidRDefault="00C60E84" w:rsidP="004F09CF">
      <w:pPr>
        <w:jc w:val="both"/>
        <w:rPr>
          <w:sz w:val="20"/>
        </w:rPr>
      </w:pPr>
    </w:p>
    <w:p w14:paraId="7232C7DA" w14:textId="77777777" w:rsidR="00C60E84" w:rsidRPr="00FC1F2C" w:rsidRDefault="00C60E84" w:rsidP="004F09CF">
      <w:pPr>
        <w:pStyle w:val="Heading2"/>
        <w:numPr>
          <w:ilvl w:val="0"/>
          <w:numId w:val="0"/>
        </w:numPr>
        <w:jc w:val="both"/>
        <w:rPr>
          <w:b w:val="0"/>
          <w:sz w:val="22"/>
          <w:szCs w:val="22"/>
        </w:rPr>
      </w:pPr>
      <w:bookmarkStart w:id="103" w:name="_Toc117065707"/>
      <w:r w:rsidRPr="00461D22">
        <w:rPr>
          <w:sz w:val="22"/>
          <w:szCs w:val="22"/>
        </w:rPr>
        <w:t>Appendix 4.  Recordkeeping</w:t>
      </w:r>
      <w:bookmarkEnd w:id="103"/>
    </w:p>
    <w:p w14:paraId="39DCAEA1" w14:textId="7DDE31CB" w:rsidR="00C60E84" w:rsidRPr="00F70F98" w:rsidRDefault="00C60E84" w:rsidP="004F09CF">
      <w:pPr>
        <w:jc w:val="both"/>
        <w:rPr>
          <w:sz w:val="20"/>
        </w:rPr>
      </w:pPr>
    </w:p>
    <w:p w14:paraId="6224277A" w14:textId="77777777" w:rsidR="00C60E84" w:rsidRPr="00B77C68" w:rsidRDefault="00C60E84" w:rsidP="004F09CF">
      <w:pPr>
        <w:jc w:val="both"/>
        <w:rPr>
          <w:sz w:val="20"/>
        </w:rPr>
      </w:pPr>
    </w:p>
    <w:p w14:paraId="200B4B7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C59D28A" w14:textId="77777777" w:rsidR="00C60E84" w:rsidRPr="00B77C68" w:rsidRDefault="00C60E84" w:rsidP="00C60E84">
      <w:pPr>
        <w:jc w:val="both"/>
        <w:rPr>
          <w:sz w:val="20"/>
        </w:rPr>
      </w:pPr>
    </w:p>
    <w:p w14:paraId="4CEEE394" w14:textId="77777777" w:rsidR="00C60E84" w:rsidRPr="00FC1F2C" w:rsidRDefault="00C60E84" w:rsidP="004F09CF">
      <w:pPr>
        <w:pStyle w:val="Heading2"/>
        <w:numPr>
          <w:ilvl w:val="0"/>
          <w:numId w:val="0"/>
        </w:numPr>
        <w:jc w:val="both"/>
        <w:rPr>
          <w:b w:val="0"/>
          <w:sz w:val="22"/>
          <w:szCs w:val="22"/>
        </w:rPr>
      </w:pPr>
      <w:bookmarkStart w:id="104" w:name="_Toc117065708"/>
      <w:r w:rsidRPr="00461D22">
        <w:rPr>
          <w:sz w:val="22"/>
          <w:szCs w:val="22"/>
        </w:rPr>
        <w:t>Appendix 5.  Testing Procedures</w:t>
      </w:r>
      <w:bookmarkEnd w:id="104"/>
    </w:p>
    <w:p w14:paraId="039D90E4" w14:textId="77777777" w:rsidR="00C60E84" w:rsidRPr="00B77C68" w:rsidRDefault="00C60E84" w:rsidP="004F09CF">
      <w:pPr>
        <w:jc w:val="both"/>
        <w:rPr>
          <w:sz w:val="20"/>
        </w:rPr>
      </w:pPr>
    </w:p>
    <w:p w14:paraId="3AA6BD98" w14:textId="5F49E53B" w:rsidR="00C60E84" w:rsidRPr="0080590E" w:rsidRDefault="00FA2EFF" w:rsidP="004F09CF">
      <w:pPr>
        <w:jc w:val="both"/>
        <w:rPr>
          <w:sz w:val="20"/>
        </w:rPr>
      </w:pPr>
      <w:r>
        <w:rPr>
          <w:b/>
          <w:color w:val="FF0000"/>
          <w:sz w:val="20"/>
        </w:rPr>
        <w:t xml:space="preserve"> </w:t>
      </w:r>
    </w:p>
    <w:p w14:paraId="29C441BE"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691AE179" w14:textId="77777777" w:rsidR="00C60E84" w:rsidRDefault="00C60E84" w:rsidP="004F09CF">
      <w:pPr>
        <w:jc w:val="both"/>
        <w:rPr>
          <w:sz w:val="20"/>
        </w:rPr>
      </w:pPr>
    </w:p>
    <w:p w14:paraId="4748DBCA" w14:textId="77777777" w:rsidR="00EC07BA" w:rsidRPr="00FC1F2C" w:rsidRDefault="00EC07BA" w:rsidP="001838ED">
      <w:pPr>
        <w:pStyle w:val="Heading2"/>
        <w:numPr>
          <w:ilvl w:val="0"/>
          <w:numId w:val="0"/>
        </w:numPr>
        <w:jc w:val="both"/>
        <w:rPr>
          <w:b w:val="0"/>
          <w:sz w:val="20"/>
        </w:rPr>
      </w:pPr>
      <w:bookmarkStart w:id="105" w:name="_Toc117065709"/>
      <w:r w:rsidRPr="00461D22">
        <w:rPr>
          <w:sz w:val="22"/>
          <w:szCs w:val="22"/>
        </w:rPr>
        <w:t>Appendix 6.  Permits to Install</w:t>
      </w:r>
      <w:bookmarkEnd w:id="105"/>
    </w:p>
    <w:p w14:paraId="1FE34968" w14:textId="0C8AE915" w:rsidR="00EC07BA" w:rsidRDefault="00EC07BA" w:rsidP="001838ED">
      <w:pPr>
        <w:jc w:val="both"/>
        <w:rPr>
          <w:sz w:val="20"/>
          <w:u w:val="single"/>
        </w:rPr>
      </w:pPr>
    </w:p>
    <w:p w14:paraId="481C7078" w14:textId="77777777" w:rsidR="005F4142" w:rsidRPr="00F70F98" w:rsidRDefault="005F4142" w:rsidP="001838ED">
      <w:pPr>
        <w:jc w:val="both"/>
        <w:rPr>
          <w:sz w:val="20"/>
          <w:u w:val="single"/>
        </w:rPr>
      </w:pPr>
    </w:p>
    <w:p w14:paraId="6D83CC75" w14:textId="706AFDF7" w:rsidR="00EC07BA" w:rsidRPr="00D90C96" w:rsidRDefault="00EC07BA" w:rsidP="001838ED">
      <w:pPr>
        <w:jc w:val="both"/>
        <w:rPr>
          <w:rFonts w:cs="Arial"/>
          <w:sz w:val="20"/>
        </w:rPr>
      </w:pPr>
      <w:r w:rsidRPr="00D90C96">
        <w:rPr>
          <w:rFonts w:cs="Arial"/>
          <w:sz w:val="20"/>
        </w:rPr>
        <w:t xml:space="preserve">The following table lists any PTIs </w:t>
      </w:r>
      <w:r w:rsidR="00D90C96" w:rsidRPr="00D90C96">
        <w:rPr>
          <w:rFonts w:cs="Arial"/>
          <w:sz w:val="20"/>
        </w:rPr>
        <w:t>issued,</w:t>
      </w:r>
      <w:r w:rsidRPr="00D90C96">
        <w:rPr>
          <w:rFonts w:cs="Arial"/>
          <w:sz w:val="20"/>
        </w:rPr>
        <w:t xml:space="preserve"> or ROP revision applications received since the effective date of the previously issued ROP No. MI-ROP-</w:t>
      </w:r>
      <w:r w:rsidR="0086359C" w:rsidRPr="00D90C96">
        <w:rPr>
          <w:rFonts w:cs="Arial"/>
          <w:sz w:val="20"/>
        </w:rPr>
        <w:t>B</w:t>
      </w:r>
      <w:r w:rsidR="00D90C96" w:rsidRPr="00D90C96">
        <w:rPr>
          <w:rFonts w:cs="Arial"/>
          <w:sz w:val="20"/>
        </w:rPr>
        <w:t>7625</w:t>
      </w:r>
      <w:r w:rsidRPr="00D90C96">
        <w:rPr>
          <w:rFonts w:cs="Arial"/>
          <w:sz w:val="20"/>
        </w:rPr>
        <w:t>-</w:t>
      </w:r>
      <w:r w:rsidR="0086359C" w:rsidRPr="00D90C96">
        <w:rPr>
          <w:rFonts w:cs="Arial"/>
          <w:sz w:val="20"/>
        </w:rPr>
        <w:t>2017</w:t>
      </w:r>
      <w:r w:rsidRPr="00D90C96">
        <w:rPr>
          <w:rFonts w:cs="Arial"/>
          <w:sz w:val="20"/>
        </w:rPr>
        <w:t>. Those ROP revision applications that are being issued concurrently with this ROP renewal are identified by an asterisk (*).  Those revision applications not listed with an asterisk were processed prior to this renewal.</w:t>
      </w:r>
    </w:p>
    <w:p w14:paraId="74478EC0" w14:textId="77777777" w:rsidR="00EC07BA" w:rsidRPr="00D90C96" w:rsidRDefault="00EC07BA" w:rsidP="001838ED">
      <w:pPr>
        <w:jc w:val="both"/>
        <w:rPr>
          <w:rFonts w:cs="Arial"/>
          <w:sz w:val="20"/>
        </w:rPr>
      </w:pPr>
    </w:p>
    <w:p w14:paraId="783C4B77" w14:textId="70E81ED9" w:rsidR="00EC07BA" w:rsidRPr="00D90C96" w:rsidRDefault="00EC07BA" w:rsidP="001838ED">
      <w:pPr>
        <w:jc w:val="both"/>
        <w:rPr>
          <w:rFonts w:cs="Arial"/>
          <w:sz w:val="20"/>
        </w:rPr>
      </w:pPr>
      <w:r w:rsidRPr="00D90C96">
        <w:rPr>
          <w:rFonts w:cs="Arial"/>
          <w:sz w:val="20"/>
        </w:rPr>
        <w:t>Source-Wide PTI No MI-PTI-</w:t>
      </w:r>
      <w:r w:rsidR="00A53D43" w:rsidRPr="00D90C96">
        <w:rPr>
          <w:rFonts w:cs="Arial"/>
          <w:sz w:val="20"/>
        </w:rPr>
        <w:t>B76</w:t>
      </w:r>
      <w:r w:rsidR="00D90C96" w:rsidRPr="00D90C96">
        <w:rPr>
          <w:rFonts w:cs="Arial"/>
          <w:sz w:val="20"/>
        </w:rPr>
        <w:t>2</w:t>
      </w:r>
      <w:r w:rsidR="00A53D43" w:rsidRPr="00D90C96">
        <w:rPr>
          <w:rFonts w:cs="Arial"/>
          <w:sz w:val="20"/>
        </w:rPr>
        <w:t>5</w:t>
      </w:r>
      <w:r w:rsidRPr="00D90C96">
        <w:rPr>
          <w:rFonts w:cs="Arial"/>
          <w:sz w:val="20"/>
        </w:rPr>
        <w:t>-</w:t>
      </w:r>
      <w:r w:rsidR="00A53D43" w:rsidRPr="00D90C96">
        <w:rPr>
          <w:rFonts w:cs="Arial"/>
          <w:sz w:val="20"/>
        </w:rPr>
        <w:t xml:space="preserve">2017 </w:t>
      </w:r>
      <w:r w:rsidRPr="00D90C96">
        <w:rPr>
          <w:rFonts w:cs="Arial"/>
          <w:sz w:val="20"/>
        </w:rPr>
        <w:t>is being reissued as Source-Wide PTI No. MI-PTI-</w:t>
      </w:r>
      <w:r w:rsidR="00A53D43" w:rsidRPr="00D90C96">
        <w:rPr>
          <w:rFonts w:cs="Arial"/>
          <w:sz w:val="20"/>
        </w:rPr>
        <w:t>B76</w:t>
      </w:r>
      <w:r w:rsidR="00D90C96" w:rsidRPr="00D90C96">
        <w:rPr>
          <w:rFonts w:cs="Arial"/>
          <w:sz w:val="20"/>
        </w:rPr>
        <w:t>2</w:t>
      </w:r>
      <w:r w:rsidR="00A53D43" w:rsidRPr="00D90C96">
        <w:rPr>
          <w:rFonts w:cs="Arial"/>
          <w:sz w:val="20"/>
        </w:rPr>
        <w:t>5</w:t>
      </w:r>
      <w:r w:rsidRPr="00D90C96">
        <w:rPr>
          <w:rFonts w:cs="Arial"/>
          <w:sz w:val="20"/>
        </w:rPr>
        <w:t>-</w:t>
      </w:r>
      <w:r w:rsidR="00C90CC4">
        <w:rPr>
          <w:rFonts w:cs="Arial"/>
          <w:sz w:val="20"/>
        </w:rPr>
        <w:t>2022.</w:t>
      </w:r>
    </w:p>
    <w:p w14:paraId="2A020485" w14:textId="30EBEDD0" w:rsidR="00EC07BA" w:rsidRPr="00903ACF" w:rsidRDefault="00270890" w:rsidP="001838ED">
      <w:pPr>
        <w:jc w:val="both"/>
        <w:rPr>
          <w:rFonts w:cs="Arial"/>
          <w:sz w:val="20"/>
        </w:rPr>
      </w:pPr>
      <w:r>
        <w:rPr>
          <w:rFonts w:cs="Arial"/>
          <w:sz w:val="20"/>
        </w:rPr>
        <w:t xml:space="preserve"> </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39963D4D" w14:textId="77777777" w:rsidTr="001637D6">
        <w:tc>
          <w:tcPr>
            <w:tcW w:w="752" w:type="pct"/>
            <w:tcBorders>
              <w:top w:val="double" w:sz="6" w:space="0" w:color="auto"/>
              <w:left w:val="double" w:sz="6" w:space="0" w:color="auto"/>
              <w:bottom w:val="double" w:sz="6" w:space="0" w:color="auto"/>
            </w:tcBorders>
            <w:shd w:val="clear" w:color="auto" w:fill="E0E0E0"/>
          </w:tcPr>
          <w:p w14:paraId="2A7431D1"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46A7EE0D" w14:textId="77777777" w:rsidR="00EC07BA" w:rsidRPr="001D53D9" w:rsidRDefault="00EC07BA" w:rsidP="001838ED">
            <w:pPr>
              <w:jc w:val="center"/>
              <w:rPr>
                <w:rFonts w:cs="Arial"/>
                <w:b/>
                <w:sz w:val="20"/>
              </w:rPr>
            </w:pPr>
            <w:r w:rsidRPr="001D53D9">
              <w:rPr>
                <w:rFonts w:cs="Arial"/>
                <w:b/>
                <w:sz w:val="20"/>
              </w:rPr>
              <w:t>ROP Revision</w:t>
            </w:r>
          </w:p>
          <w:p w14:paraId="33643B5F"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27466C67" w14:textId="77777777" w:rsidR="00EC07BA" w:rsidRPr="001D53D9" w:rsidRDefault="00EC07BA" w:rsidP="001838ED">
            <w:pPr>
              <w:jc w:val="center"/>
              <w:rPr>
                <w:rFonts w:cs="Arial"/>
                <w:b/>
                <w:sz w:val="20"/>
              </w:rPr>
            </w:pPr>
          </w:p>
          <w:p w14:paraId="53B96A6F"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0B34F4F3" w14:textId="77777777" w:rsidR="00EC07BA" w:rsidRPr="001D53D9" w:rsidRDefault="00EC07BA" w:rsidP="001838ED">
            <w:pPr>
              <w:jc w:val="center"/>
              <w:rPr>
                <w:rFonts w:cs="Arial"/>
                <w:b/>
                <w:sz w:val="20"/>
              </w:rPr>
            </w:pPr>
            <w:r w:rsidRPr="001D53D9">
              <w:rPr>
                <w:rFonts w:cs="Arial"/>
                <w:b/>
                <w:sz w:val="20"/>
              </w:rPr>
              <w:t>Corresponding Emission Unit(s) or</w:t>
            </w:r>
          </w:p>
          <w:p w14:paraId="09A5D2D7"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7BD44E75" w14:textId="77777777" w:rsidTr="001637D6">
        <w:tc>
          <w:tcPr>
            <w:tcW w:w="752" w:type="pct"/>
            <w:tcBorders>
              <w:top w:val="single" w:sz="6" w:space="0" w:color="auto"/>
              <w:left w:val="double" w:sz="6" w:space="0" w:color="auto"/>
              <w:bottom w:val="double" w:sz="6" w:space="0" w:color="auto"/>
              <w:right w:val="single" w:sz="6" w:space="0" w:color="auto"/>
            </w:tcBorders>
          </w:tcPr>
          <w:p w14:paraId="2F488850" w14:textId="67540955" w:rsidR="007017D5" w:rsidRPr="00536208" w:rsidRDefault="00270890" w:rsidP="002845D3">
            <w:pPr>
              <w:jc w:val="center"/>
              <w:rPr>
                <w:rFonts w:cs="Arial"/>
                <w:sz w:val="20"/>
              </w:rPr>
            </w:pPr>
            <w:r>
              <w:rPr>
                <w:rFonts w:cs="Arial"/>
                <w:sz w:val="20"/>
              </w:rPr>
              <w:t>NA</w:t>
            </w:r>
          </w:p>
        </w:tc>
        <w:tc>
          <w:tcPr>
            <w:tcW w:w="1245" w:type="pct"/>
            <w:tcBorders>
              <w:top w:val="single" w:sz="6" w:space="0" w:color="auto"/>
              <w:bottom w:val="double" w:sz="6" w:space="0" w:color="auto"/>
              <w:right w:val="single" w:sz="6" w:space="0" w:color="auto"/>
            </w:tcBorders>
          </w:tcPr>
          <w:p w14:paraId="0CA22D4C" w14:textId="278C974D" w:rsidR="007017D5" w:rsidRPr="00536208" w:rsidRDefault="00270890" w:rsidP="002845D3">
            <w:pPr>
              <w:jc w:val="center"/>
              <w:rPr>
                <w:rFonts w:cs="Arial"/>
                <w:sz w:val="20"/>
              </w:rPr>
            </w:pPr>
            <w:r>
              <w:rPr>
                <w:rFonts w:cs="Arial"/>
                <w:sz w:val="20"/>
              </w:rPr>
              <w:t>NA</w:t>
            </w:r>
          </w:p>
        </w:tc>
        <w:tc>
          <w:tcPr>
            <w:tcW w:w="1930" w:type="pct"/>
            <w:tcBorders>
              <w:top w:val="single" w:sz="4" w:space="0" w:color="auto"/>
              <w:bottom w:val="double" w:sz="6" w:space="0" w:color="auto"/>
              <w:right w:val="single" w:sz="4" w:space="0" w:color="auto"/>
            </w:tcBorders>
          </w:tcPr>
          <w:p w14:paraId="44B073FB" w14:textId="131908EE" w:rsidR="007017D5" w:rsidRPr="009448E0" w:rsidRDefault="00270890" w:rsidP="002845D3">
            <w:pPr>
              <w:jc w:val="center"/>
              <w:rPr>
                <w:rFonts w:cs="Arial"/>
                <w:sz w:val="20"/>
              </w:rPr>
            </w:pPr>
            <w:r>
              <w:rPr>
                <w:rFonts w:cs="Arial"/>
                <w:sz w:val="20"/>
              </w:rPr>
              <w:t>NA</w:t>
            </w:r>
          </w:p>
        </w:tc>
        <w:tc>
          <w:tcPr>
            <w:tcW w:w="1073" w:type="pct"/>
            <w:tcBorders>
              <w:top w:val="single" w:sz="4" w:space="0" w:color="auto"/>
              <w:left w:val="single" w:sz="4" w:space="0" w:color="auto"/>
              <w:bottom w:val="double" w:sz="6" w:space="0" w:color="auto"/>
              <w:right w:val="double" w:sz="4" w:space="0" w:color="auto"/>
            </w:tcBorders>
          </w:tcPr>
          <w:p w14:paraId="405E46F0" w14:textId="197C2CBE" w:rsidR="007017D5" w:rsidRPr="00536208" w:rsidRDefault="00270890" w:rsidP="002845D3">
            <w:pPr>
              <w:jc w:val="center"/>
              <w:rPr>
                <w:rFonts w:cs="Arial"/>
                <w:sz w:val="20"/>
              </w:rPr>
            </w:pPr>
            <w:r>
              <w:rPr>
                <w:rFonts w:cs="Arial"/>
                <w:sz w:val="20"/>
              </w:rPr>
              <w:t>NA</w:t>
            </w:r>
          </w:p>
        </w:tc>
      </w:tr>
    </w:tbl>
    <w:p w14:paraId="1AD2E694" w14:textId="77777777" w:rsidR="00EC07BA" w:rsidRDefault="00EC07BA" w:rsidP="001838ED"/>
    <w:p w14:paraId="27E469D9" w14:textId="77777777" w:rsidR="00C60E84" w:rsidRPr="00FC1F2C" w:rsidRDefault="00C60E84" w:rsidP="004F09CF">
      <w:pPr>
        <w:pStyle w:val="Heading2"/>
        <w:numPr>
          <w:ilvl w:val="0"/>
          <w:numId w:val="0"/>
        </w:numPr>
        <w:jc w:val="both"/>
        <w:rPr>
          <w:b w:val="0"/>
          <w:sz w:val="20"/>
        </w:rPr>
      </w:pPr>
      <w:bookmarkStart w:id="106" w:name="_Toc117065710"/>
      <w:r w:rsidRPr="00461D22">
        <w:rPr>
          <w:sz w:val="22"/>
          <w:szCs w:val="22"/>
        </w:rPr>
        <w:t>Appendix 7.  Emission Calculations</w:t>
      </w:r>
      <w:bookmarkEnd w:id="106"/>
      <w:r w:rsidRPr="00461D22">
        <w:rPr>
          <w:sz w:val="22"/>
          <w:szCs w:val="22"/>
        </w:rPr>
        <w:t xml:space="preserve"> </w:t>
      </w:r>
    </w:p>
    <w:p w14:paraId="5AFB14E4" w14:textId="3DA6EEBB" w:rsidR="00D05E5F" w:rsidRDefault="00D05E5F" w:rsidP="00D05E5F">
      <w:pPr>
        <w:jc w:val="both"/>
        <w:rPr>
          <w:sz w:val="20"/>
        </w:rPr>
      </w:pPr>
      <w:bookmarkStart w:id="107" w:name="_Toc377276143"/>
      <w:bookmarkStart w:id="108" w:name="_Toc377877183"/>
      <w:r>
        <w:rPr>
          <w:sz w:val="20"/>
        </w:rPr>
        <w:t xml:space="preserve">The permittee shall use the following calculations in conjunction with monitoring, </w:t>
      </w:r>
      <w:r w:rsidR="0069517A">
        <w:rPr>
          <w:sz w:val="20"/>
        </w:rPr>
        <w:t>testing,</w:t>
      </w:r>
      <w:r>
        <w:rPr>
          <w:sz w:val="20"/>
        </w:rPr>
        <w:t xml:space="preserve"> or recordkeeping data to determine compliance with the applicable requirements referenced in FG-MACT.  </w:t>
      </w:r>
    </w:p>
    <w:p w14:paraId="6BAC96FF" w14:textId="57299631" w:rsidR="002845D3" w:rsidRDefault="002845D3" w:rsidP="00D05E5F">
      <w:pPr>
        <w:jc w:val="both"/>
        <w:rPr>
          <w:sz w:val="20"/>
        </w:rPr>
      </w:pPr>
    </w:p>
    <w:p w14:paraId="2CCBD2CA" w14:textId="71EBCBE1" w:rsidR="00A3620D" w:rsidRPr="00457795" w:rsidRDefault="002845D3" w:rsidP="002845D3">
      <w:pPr>
        <w:tabs>
          <w:tab w:val="left" w:pos="360"/>
        </w:tabs>
        <w:ind w:left="360" w:hanging="360"/>
        <w:jc w:val="both"/>
        <w:rPr>
          <w:b/>
          <w:bCs/>
          <w:sz w:val="20"/>
        </w:rPr>
      </w:pPr>
      <w:r>
        <w:rPr>
          <w:sz w:val="20"/>
        </w:rPr>
        <w:t>1.</w:t>
      </w:r>
      <w:r>
        <w:rPr>
          <w:sz w:val="20"/>
        </w:rPr>
        <w:tab/>
      </w:r>
      <w:r w:rsidR="00CB0E71" w:rsidRPr="00457795">
        <w:rPr>
          <w:sz w:val="20"/>
        </w:rPr>
        <w:t>For an existing source</w:t>
      </w:r>
      <w:r w:rsidR="00CA5729" w:rsidRPr="00457795">
        <w:rPr>
          <w:sz w:val="20"/>
        </w:rPr>
        <w:t xml:space="preserve"> subject to 40 CFR 63.802</w:t>
      </w:r>
      <w:r w:rsidR="00DF4A12" w:rsidRPr="00457795">
        <w:rPr>
          <w:sz w:val="20"/>
        </w:rPr>
        <w:t>(a)(1)</w:t>
      </w:r>
      <w:r w:rsidR="00CB0E71" w:rsidRPr="00457795">
        <w:rPr>
          <w:sz w:val="20"/>
        </w:rPr>
        <w:t>, t</w:t>
      </w:r>
      <w:r w:rsidR="00A3620D" w:rsidRPr="00457795">
        <w:rPr>
          <w:sz w:val="20"/>
        </w:rPr>
        <w:t xml:space="preserve">he </w:t>
      </w:r>
      <w:r w:rsidR="00DD7E5B">
        <w:rPr>
          <w:sz w:val="20"/>
        </w:rPr>
        <w:t>p</w:t>
      </w:r>
      <w:r w:rsidR="00CB0E71" w:rsidRPr="00457795">
        <w:rPr>
          <w:sz w:val="20"/>
        </w:rPr>
        <w:t xml:space="preserve">ermittee shall </w:t>
      </w:r>
      <w:r w:rsidR="00DF4A12" w:rsidRPr="00457795">
        <w:rPr>
          <w:sz w:val="20"/>
        </w:rPr>
        <w:t>c</w:t>
      </w:r>
      <w:r w:rsidR="00A3620D" w:rsidRPr="00457795">
        <w:rPr>
          <w:sz w:val="20"/>
        </w:rPr>
        <w:t xml:space="preserve">omply with the provisions using any of the methods presented in </w:t>
      </w:r>
      <w:r w:rsidR="00DF4A12" w:rsidRPr="00457795">
        <w:rPr>
          <w:sz w:val="20"/>
        </w:rPr>
        <w:t xml:space="preserve">40 CFR </w:t>
      </w:r>
      <w:hyperlink r:id="rId54" w:anchor="p-63.804(a)(1)" w:history="1">
        <w:r w:rsidR="00A3620D" w:rsidRPr="001637D6">
          <w:rPr>
            <w:sz w:val="20"/>
          </w:rPr>
          <w:t>63.804 (a)(1)</w:t>
        </w:r>
      </w:hyperlink>
      <w:r w:rsidR="00A3620D" w:rsidRPr="00457795">
        <w:rPr>
          <w:sz w:val="20"/>
        </w:rPr>
        <w:t xml:space="preserve"> through </w:t>
      </w:r>
      <w:hyperlink r:id="rId55" w:anchor="p-63.804(a)(4)" w:history="1">
        <w:r w:rsidR="00A3620D" w:rsidRPr="001637D6">
          <w:rPr>
            <w:sz w:val="20"/>
          </w:rPr>
          <w:t>(a)(4)</w:t>
        </w:r>
      </w:hyperlink>
      <w:r w:rsidR="00A3620D" w:rsidRPr="00457795">
        <w:rPr>
          <w:sz w:val="20"/>
        </w:rPr>
        <w:t>.</w:t>
      </w:r>
      <w:r w:rsidR="00CE2A25" w:rsidRPr="00457795">
        <w:rPr>
          <w:sz w:val="20"/>
        </w:rPr>
        <w:t xml:space="preserve"> </w:t>
      </w:r>
      <w:r w:rsidR="001637D6">
        <w:rPr>
          <w:sz w:val="20"/>
        </w:rPr>
        <w:t xml:space="preserve"> </w:t>
      </w:r>
      <w:r w:rsidR="00CE2A25" w:rsidRPr="00457795">
        <w:rPr>
          <w:b/>
          <w:bCs/>
          <w:sz w:val="20"/>
        </w:rPr>
        <w:t>(40 CFR 63.804</w:t>
      </w:r>
      <w:r w:rsidR="00DD792F" w:rsidRPr="00457795">
        <w:rPr>
          <w:b/>
          <w:bCs/>
          <w:sz w:val="20"/>
        </w:rPr>
        <w:t>(a)</w:t>
      </w:r>
      <w:r w:rsidR="00CE2A25" w:rsidRPr="00457795">
        <w:rPr>
          <w:b/>
          <w:bCs/>
          <w:sz w:val="20"/>
        </w:rPr>
        <w:t>)</w:t>
      </w:r>
    </w:p>
    <w:p w14:paraId="3479E0BC" w14:textId="77777777" w:rsidR="00A3620D" w:rsidRPr="00457795" w:rsidRDefault="00A3620D" w:rsidP="00D05E5F">
      <w:pPr>
        <w:jc w:val="both"/>
        <w:rPr>
          <w:sz w:val="20"/>
        </w:rPr>
      </w:pPr>
    </w:p>
    <w:p w14:paraId="30C1E263" w14:textId="0652EFAF" w:rsidR="00D05E5F" w:rsidRPr="00893F11" w:rsidRDefault="00893F11" w:rsidP="00893F11">
      <w:pPr>
        <w:ind w:left="720" w:hanging="360"/>
        <w:jc w:val="both"/>
        <w:rPr>
          <w:sz w:val="20"/>
        </w:rPr>
      </w:pPr>
      <w:r>
        <w:rPr>
          <w:sz w:val="20"/>
        </w:rPr>
        <w:t>a.</w:t>
      </w:r>
      <w:r>
        <w:rPr>
          <w:sz w:val="20"/>
        </w:rPr>
        <w:tab/>
      </w:r>
      <w:r w:rsidR="00D05E5F" w:rsidRPr="00893F11">
        <w:rPr>
          <w:sz w:val="20"/>
        </w:rPr>
        <w:t xml:space="preserve">Use Equation 1 from 40 CFR 63.804(a)(1) to calculate the </w:t>
      </w:r>
      <w:r w:rsidR="00741D38" w:rsidRPr="00893F11">
        <w:rPr>
          <w:sz w:val="20"/>
        </w:rPr>
        <w:t xml:space="preserve">average </w:t>
      </w:r>
      <w:r w:rsidR="00D05E5F" w:rsidRPr="00893F11">
        <w:rPr>
          <w:sz w:val="20"/>
        </w:rPr>
        <w:t xml:space="preserve">VHAP content </w:t>
      </w:r>
      <w:r w:rsidR="005E063D" w:rsidRPr="00893F11">
        <w:rPr>
          <w:sz w:val="20"/>
        </w:rPr>
        <w:t xml:space="preserve">of all finishing materials </w:t>
      </w:r>
      <w:r w:rsidR="00BF140C" w:rsidRPr="00893F11">
        <w:rPr>
          <w:sz w:val="20"/>
        </w:rPr>
        <w:t xml:space="preserve">(including each stain, sealer, topcoat, </w:t>
      </w:r>
      <w:r w:rsidR="00C160EE" w:rsidRPr="00893F11">
        <w:rPr>
          <w:sz w:val="20"/>
        </w:rPr>
        <w:t xml:space="preserve">basecoat, washcoat, </w:t>
      </w:r>
      <w:r w:rsidR="002845D3" w:rsidRPr="00893F11">
        <w:rPr>
          <w:sz w:val="20"/>
        </w:rPr>
        <w:t>and</w:t>
      </w:r>
      <w:r w:rsidR="00C160EE" w:rsidRPr="00893F11">
        <w:rPr>
          <w:sz w:val="20"/>
        </w:rPr>
        <w:t xml:space="preserve"> enamel) </w:t>
      </w:r>
      <w:r w:rsidR="004044D5" w:rsidRPr="00893F11">
        <w:rPr>
          <w:sz w:val="20"/>
        </w:rPr>
        <w:t>used at the facility</w:t>
      </w:r>
      <w:r w:rsidR="00B606D7" w:rsidRPr="00893F11">
        <w:rPr>
          <w:sz w:val="20"/>
        </w:rPr>
        <w:t xml:space="preserve">, and maintain the value </w:t>
      </w:r>
      <w:r w:rsidR="002A2208" w:rsidRPr="00893F11">
        <w:rPr>
          <w:sz w:val="20"/>
        </w:rPr>
        <w:t>of E no greater than 1.0</w:t>
      </w:r>
    </w:p>
    <w:p w14:paraId="17ADD384" w14:textId="1985BD3D" w:rsidR="00D05E5F" w:rsidRDefault="005F4142" w:rsidP="005F4142">
      <w:pPr>
        <w:ind w:left="360" w:firstLine="360"/>
        <w:jc w:val="both"/>
        <w:rPr>
          <w:sz w:val="20"/>
        </w:rPr>
      </w:pPr>
      <w:r>
        <w:rPr>
          <w:position w:val="-14"/>
          <w:sz w:val="20"/>
        </w:rPr>
        <w:object w:dxaOrig="9900" w:dyaOrig="380" w14:anchorId="4AE8A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6pt;height:18pt" o:ole="">
            <v:imagedata r:id="rId56" o:title=""/>
          </v:shape>
          <o:OLEObject Type="Embed" ProgID="Equation.3" ShapeID="_x0000_i1025" DrawAspect="Content" ObjectID="_1727683784" r:id="rId57"/>
        </w:object>
      </w:r>
    </w:p>
    <w:p w14:paraId="02981EFC" w14:textId="77777777" w:rsidR="00D05E5F" w:rsidRDefault="00D05E5F" w:rsidP="005F4142">
      <w:pPr>
        <w:ind w:left="360" w:firstLine="360"/>
        <w:rPr>
          <w:sz w:val="20"/>
        </w:rPr>
      </w:pPr>
      <w:bookmarkStart w:id="109" w:name="_Toc137970720"/>
      <w:bookmarkStart w:id="110" w:name="_Toc137970948"/>
      <w:bookmarkStart w:id="111" w:name="_Hlk106976328"/>
      <w:r>
        <w:rPr>
          <w:sz w:val="20"/>
        </w:rPr>
        <w:t>Where:</w:t>
      </w:r>
      <w:bookmarkEnd w:id="109"/>
      <w:bookmarkEnd w:id="110"/>
    </w:p>
    <w:p w14:paraId="20E96D96" w14:textId="106B7C26" w:rsidR="00D05E5F" w:rsidRDefault="005F4142" w:rsidP="005F4142">
      <w:pPr>
        <w:tabs>
          <w:tab w:val="left" w:pos="1080"/>
        </w:tabs>
        <w:rPr>
          <w:sz w:val="20"/>
        </w:rPr>
      </w:pPr>
      <w:r>
        <w:rPr>
          <w:sz w:val="20"/>
        </w:rPr>
        <w:tab/>
      </w:r>
      <w:r w:rsidR="00D05E5F">
        <w:rPr>
          <w:sz w:val="20"/>
        </w:rPr>
        <w:t>E = emission limit (lb VHAP/lb solids)</w:t>
      </w:r>
    </w:p>
    <w:p w14:paraId="361DC446" w14:textId="3ED532E4" w:rsidR="00D05E5F" w:rsidRDefault="005F4142" w:rsidP="005F4142">
      <w:pPr>
        <w:tabs>
          <w:tab w:val="left" w:pos="1080"/>
        </w:tabs>
        <w:rPr>
          <w:sz w:val="20"/>
        </w:rPr>
      </w:pPr>
      <w:r>
        <w:rPr>
          <w:sz w:val="20"/>
        </w:rPr>
        <w:tab/>
      </w:r>
      <w:r w:rsidR="00D05E5F">
        <w:rPr>
          <w:sz w:val="20"/>
        </w:rPr>
        <w:t>M</w:t>
      </w:r>
      <w:r w:rsidR="00D05E5F">
        <w:rPr>
          <w:sz w:val="20"/>
          <w:vertAlign w:val="subscript"/>
        </w:rPr>
        <w:t xml:space="preserve">c </w:t>
      </w:r>
      <w:r w:rsidR="00D05E5F">
        <w:rPr>
          <w:sz w:val="20"/>
        </w:rPr>
        <w:t>= mass of solids in the finishing material (c) (lb solids/month)</w:t>
      </w:r>
    </w:p>
    <w:p w14:paraId="2EFF856D" w14:textId="655777A8" w:rsidR="00D05E5F" w:rsidRDefault="005F4142" w:rsidP="005F4142">
      <w:pPr>
        <w:tabs>
          <w:tab w:val="left" w:pos="1080"/>
        </w:tabs>
        <w:rPr>
          <w:sz w:val="20"/>
        </w:rPr>
      </w:pPr>
      <w:r>
        <w:rPr>
          <w:sz w:val="20"/>
        </w:rPr>
        <w:tab/>
      </w:r>
      <w:r w:rsidR="00D05E5F">
        <w:rPr>
          <w:sz w:val="20"/>
        </w:rPr>
        <w:t>C</w:t>
      </w:r>
      <w:r w:rsidR="00D05E5F">
        <w:rPr>
          <w:sz w:val="20"/>
          <w:vertAlign w:val="subscript"/>
        </w:rPr>
        <w:t>c</w:t>
      </w:r>
      <w:r w:rsidR="00D05E5F">
        <w:rPr>
          <w:sz w:val="20"/>
        </w:rPr>
        <w:t xml:space="preserve"> = VHAP content of the finishing material (c) (lb VHAP/lb solids, as applied)</w:t>
      </w:r>
    </w:p>
    <w:p w14:paraId="1BAE71D4" w14:textId="67965C3E" w:rsidR="00D05E5F" w:rsidRDefault="005F4142" w:rsidP="005F4142">
      <w:pPr>
        <w:tabs>
          <w:tab w:val="left" w:pos="1080"/>
        </w:tabs>
        <w:rPr>
          <w:sz w:val="20"/>
        </w:rPr>
      </w:pPr>
      <w:r>
        <w:rPr>
          <w:sz w:val="20"/>
        </w:rPr>
        <w:tab/>
      </w:r>
      <w:r w:rsidR="00D05E5F">
        <w:rPr>
          <w:sz w:val="20"/>
        </w:rPr>
        <w:t>S = VHAP content of a solvent added to finishing materials, expressed as a weight fraction</w:t>
      </w:r>
    </w:p>
    <w:p w14:paraId="0E519395" w14:textId="30B20528" w:rsidR="00D05E5F" w:rsidRDefault="005F4142" w:rsidP="005F4142">
      <w:pPr>
        <w:tabs>
          <w:tab w:val="left" w:pos="1080"/>
        </w:tabs>
        <w:rPr>
          <w:sz w:val="20"/>
        </w:rPr>
      </w:pPr>
      <w:r>
        <w:rPr>
          <w:sz w:val="20"/>
        </w:rPr>
        <w:tab/>
      </w:r>
      <w:r w:rsidR="00D05E5F">
        <w:rPr>
          <w:sz w:val="20"/>
        </w:rPr>
        <w:t>W = amount of solvent added to finishing materials during the monthly averaging period (lb)</w:t>
      </w:r>
    </w:p>
    <w:p w14:paraId="6A976C21" w14:textId="2171D393" w:rsidR="00D05E5F" w:rsidRDefault="005F4142" w:rsidP="005F4142">
      <w:pPr>
        <w:tabs>
          <w:tab w:val="left" w:pos="-2430"/>
          <w:tab w:val="left" w:pos="1080"/>
        </w:tabs>
        <w:ind w:left="720"/>
        <w:rPr>
          <w:sz w:val="20"/>
        </w:rPr>
      </w:pPr>
      <w:r>
        <w:rPr>
          <w:sz w:val="20"/>
        </w:rPr>
        <w:tab/>
      </w:r>
      <w:r w:rsidR="00D05E5F">
        <w:rPr>
          <w:sz w:val="20"/>
        </w:rPr>
        <w:t>n = number of finishing materials used</w:t>
      </w:r>
    </w:p>
    <w:bookmarkEnd w:id="111"/>
    <w:p w14:paraId="4E1C263F" w14:textId="689588EF" w:rsidR="00D05E5F" w:rsidRDefault="00D05E5F" w:rsidP="005F4142">
      <w:pPr>
        <w:tabs>
          <w:tab w:val="left" w:pos="1080"/>
        </w:tabs>
        <w:rPr>
          <w:sz w:val="20"/>
        </w:rPr>
      </w:pPr>
    </w:p>
    <w:p w14:paraId="406CE392" w14:textId="78317BBD" w:rsidR="008C1B6D" w:rsidRPr="00435EBD" w:rsidRDefault="00893F11" w:rsidP="00893F11">
      <w:pPr>
        <w:pStyle w:val="indent-2"/>
        <w:tabs>
          <w:tab w:val="left" w:pos="360"/>
          <w:tab w:val="left" w:pos="720"/>
        </w:tabs>
        <w:jc w:val="both"/>
        <w:rPr>
          <w:rFonts w:ascii="Arial" w:hAnsi="Arial" w:cs="Arial"/>
          <w:sz w:val="20"/>
          <w:szCs w:val="20"/>
        </w:rPr>
      </w:pPr>
      <w:r>
        <w:rPr>
          <w:rFonts w:ascii="Arial" w:hAnsi="Arial" w:cs="Arial"/>
          <w:sz w:val="20"/>
          <w:szCs w:val="20"/>
        </w:rPr>
        <w:tab/>
        <w:t>b.</w:t>
      </w:r>
      <w:r>
        <w:rPr>
          <w:rFonts w:ascii="Arial" w:hAnsi="Arial" w:cs="Arial"/>
          <w:sz w:val="20"/>
          <w:szCs w:val="20"/>
        </w:rPr>
        <w:tab/>
      </w:r>
      <w:r w:rsidR="008C1B6D" w:rsidRPr="00435EBD">
        <w:rPr>
          <w:rFonts w:ascii="Arial" w:hAnsi="Arial" w:cs="Arial"/>
          <w:sz w:val="20"/>
          <w:szCs w:val="20"/>
        </w:rPr>
        <w:t xml:space="preserve">Use compliant finishing materials according to the following criteria: </w:t>
      </w:r>
    </w:p>
    <w:p w14:paraId="2C631F39" w14:textId="42D609ED" w:rsidR="008C1B6D" w:rsidRPr="00435EBD" w:rsidRDefault="00893F11" w:rsidP="00893F11">
      <w:pPr>
        <w:pStyle w:val="indent-3"/>
        <w:tabs>
          <w:tab w:val="left" w:pos="360"/>
          <w:tab w:val="left" w:pos="720"/>
          <w:tab w:val="left" w:pos="1080"/>
        </w:tabs>
        <w:ind w:left="1080" w:hanging="1080"/>
        <w:jc w:val="both"/>
        <w:rPr>
          <w:rFonts w:ascii="Arial" w:hAnsi="Arial" w:cs="Arial"/>
          <w:sz w:val="20"/>
          <w:szCs w:val="20"/>
        </w:rPr>
      </w:pPr>
      <w:r>
        <w:rPr>
          <w:rFonts w:ascii="Arial" w:hAnsi="Arial" w:cs="Arial"/>
          <w:sz w:val="20"/>
          <w:szCs w:val="20"/>
        </w:rPr>
        <w:tab/>
      </w:r>
      <w:r>
        <w:rPr>
          <w:rFonts w:ascii="Arial" w:hAnsi="Arial" w:cs="Arial"/>
          <w:sz w:val="20"/>
          <w:szCs w:val="20"/>
        </w:rPr>
        <w:tab/>
        <w:t>i.</w:t>
      </w:r>
      <w:r>
        <w:rPr>
          <w:rFonts w:ascii="Arial" w:hAnsi="Arial" w:cs="Arial"/>
          <w:sz w:val="20"/>
          <w:szCs w:val="20"/>
        </w:rPr>
        <w:tab/>
      </w:r>
      <w:r w:rsidR="008C1B6D" w:rsidRPr="00435EBD">
        <w:rPr>
          <w:rFonts w:ascii="Arial" w:hAnsi="Arial" w:cs="Arial"/>
          <w:sz w:val="20"/>
          <w:szCs w:val="20"/>
        </w:rPr>
        <w:t xml:space="preserve">Demonstrate that each stain, sealer, and topcoat </w:t>
      </w:r>
      <w:proofErr w:type="gramStart"/>
      <w:r w:rsidR="008C1B6D" w:rsidRPr="00435EBD">
        <w:rPr>
          <w:rFonts w:ascii="Arial" w:hAnsi="Arial" w:cs="Arial"/>
          <w:sz w:val="20"/>
          <w:szCs w:val="20"/>
        </w:rPr>
        <w:t>has</w:t>
      </w:r>
      <w:proofErr w:type="gramEnd"/>
      <w:r w:rsidR="008C1B6D" w:rsidRPr="00435EBD">
        <w:rPr>
          <w:rFonts w:ascii="Arial" w:hAnsi="Arial" w:cs="Arial"/>
          <w:sz w:val="20"/>
          <w:szCs w:val="20"/>
        </w:rPr>
        <w:t xml:space="preserve"> a VHAP content of no more than 1.0 kg VHAP/kg solids (1.0 lb VHAP/lb solids), as applied, and each thinner contains no more than 10.0 percent VHAP by weight by maintaining certified product data sheets for each coating and thinner; </w:t>
      </w:r>
    </w:p>
    <w:p w14:paraId="71B1969C" w14:textId="5C72FD58" w:rsidR="008C1B6D" w:rsidRPr="00435EBD" w:rsidRDefault="00893F11" w:rsidP="00893F11">
      <w:pPr>
        <w:pStyle w:val="indent-3"/>
        <w:tabs>
          <w:tab w:val="left" w:pos="360"/>
          <w:tab w:val="left" w:pos="720"/>
          <w:tab w:val="left" w:pos="1080"/>
        </w:tabs>
        <w:ind w:left="1080" w:hanging="360"/>
        <w:jc w:val="both"/>
        <w:rPr>
          <w:rFonts w:ascii="Arial" w:hAnsi="Arial" w:cs="Arial"/>
          <w:sz w:val="20"/>
          <w:szCs w:val="20"/>
        </w:rPr>
      </w:pPr>
      <w:r>
        <w:rPr>
          <w:rFonts w:ascii="Arial" w:hAnsi="Arial" w:cs="Arial"/>
          <w:sz w:val="20"/>
          <w:szCs w:val="20"/>
        </w:rPr>
        <w:t>ii.</w:t>
      </w:r>
      <w:r>
        <w:rPr>
          <w:rFonts w:ascii="Arial" w:hAnsi="Arial" w:cs="Arial"/>
          <w:sz w:val="20"/>
          <w:szCs w:val="20"/>
        </w:rPr>
        <w:tab/>
      </w:r>
      <w:r w:rsidR="008C1B6D" w:rsidRPr="00435EBD">
        <w:rPr>
          <w:rFonts w:ascii="Arial" w:hAnsi="Arial" w:cs="Arial"/>
          <w:sz w:val="20"/>
          <w:szCs w:val="20"/>
        </w:rPr>
        <w:t xml:space="preserve">Demonstrate that each washcoat, basecoat, and enamel that is purchased pre-made, that is, it is not formulated onsite by thinning another finishing material, has a VHAP content of no more than 1.0 kg VHAP/kg solids (1.0 lb VHAP/lb solids), as applied, and each thinner contains no more than 10.0 percent VHAP by weight by maintaining certified product data sheets for each coating and thinner; and </w:t>
      </w:r>
    </w:p>
    <w:p w14:paraId="44EBD4C2" w14:textId="12DC63AD" w:rsidR="008C1B6D" w:rsidRPr="00435EBD" w:rsidRDefault="00893F11" w:rsidP="00893F11">
      <w:pPr>
        <w:pStyle w:val="indent-3"/>
        <w:tabs>
          <w:tab w:val="left" w:pos="360"/>
          <w:tab w:val="left" w:pos="720"/>
          <w:tab w:val="left" w:pos="1080"/>
        </w:tabs>
        <w:ind w:left="1080" w:hanging="360"/>
        <w:jc w:val="both"/>
        <w:rPr>
          <w:rFonts w:ascii="Arial" w:hAnsi="Arial" w:cs="Arial"/>
          <w:sz w:val="20"/>
          <w:szCs w:val="20"/>
        </w:rPr>
      </w:pPr>
      <w:r>
        <w:rPr>
          <w:rFonts w:ascii="Arial" w:hAnsi="Arial" w:cs="Arial"/>
          <w:sz w:val="20"/>
          <w:szCs w:val="20"/>
        </w:rPr>
        <w:t>iii.</w:t>
      </w:r>
      <w:r>
        <w:rPr>
          <w:rFonts w:ascii="Arial" w:hAnsi="Arial" w:cs="Arial"/>
          <w:sz w:val="20"/>
          <w:szCs w:val="20"/>
        </w:rPr>
        <w:tab/>
      </w:r>
      <w:r w:rsidR="008C1B6D" w:rsidRPr="00435EBD">
        <w:rPr>
          <w:rFonts w:ascii="Arial" w:hAnsi="Arial" w:cs="Arial"/>
          <w:sz w:val="20"/>
          <w:szCs w:val="20"/>
        </w:rPr>
        <w:t>Demonstrate that each washcoat, basecoat, and enamel that is formulated at the affected source is formulated using a finishing material containing no more than 1.0 kg VHAP/kg solids (1.0 lb VHAP/lb solids) and a thinner containing no more than 3.0 percent VHAP by weight.</w:t>
      </w:r>
    </w:p>
    <w:p w14:paraId="15419A69" w14:textId="333A994D" w:rsidR="0006171A" w:rsidRPr="00435EBD" w:rsidRDefault="00F55C57" w:rsidP="00F55C57">
      <w:pPr>
        <w:pStyle w:val="ListParagraph"/>
        <w:ind w:hanging="360"/>
        <w:jc w:val="both"/>
        <w:rPr>
          <w:rFonts w:cs="Arial"/>
          <w:sz w:val="20"/>
        </w:rPr>
      </w:pPr>
      <w:r>
        <w:rPr>
          <w:rFonts w:cs="Arial"/>
          <w:sz w:val="20"/>
        </w:rPr>
        <w:t>c.</w:t>
      </w:r>
      <w:r>
        <w:rPr>
          <w:rFonts w:cs="Arial"/>
          <w:sz w:val="20"/>
        </w:rPr>
        <w:tab/>
      </w:r>
      <w:r w:rsidR="00767BE2" w:rsidRPr="00435EBD">
        <w:rPr>
          <w:rFonts w:cs="Arial"/>
          <w:sz w:val="20"/>
        </w:rPr>
        <w:t xml:space="preserve">Use any Use any combination of an averaging approach, as described in </w:t>
      </w:r>
      <w:r w:rsidR="00BB3D04" w:rsidRPr="00435EBD">
        <w:rPr>
          <w:rFonts w:cs="Arial"/>
          <w:sz w:val="20"/>
        </w:rPr>
        <w:t xml:space="preserve">40 CFR 63.804(a)(1), </w:t>
      </w:r>
      <w:r w:rsidR="00767BE2" w:rsidRPr="00435EBD">
        <w:rPr>
          <w:rFonts w:cs="Arial"/>
          <w:sz w:val="20"/>
        </w:rPr>
        <w:t xml:space="preserve">compliant finishing materials, as described in </w:t>
      </w:r>
      <w:r w:rsidR="007C4F46" w:rsidRPr="00435EBD">
        <w:rPr>
          <w:rFonts w:cs="Arial"/>
          <w:sz w:val="20"/>
        </w:rPr>
        <w:t>40 CFR 63.804(a)(2)</w:t>
      </w:r>
      <w:r w:rsidR="00767BE2" w:rsidRPr="00435EBD">
        <w:rPr>
          <w:rFonts w:cs="Arial"/>
          <w:sz w:val="20"/>
        </w:rPr>
        <w:t xml:space="preserve"> and a control system, as described in </w:t>
      </w:r>
      <w:r w:rsidR="007C4F46" w:rsidRPr="00435EBD">
        <w:rPr>
          <w:rFonts w:cs="Arial"/>
          <w:sz w:val="20"/>
        </w:rPr>
        <w:t>40 CFR 63.804(a)(3)</w:t>
      </w:r>
      <w:r w:rsidR="00BA6604" w:rsidRPr="00435EBD">
        <w:rPr>
          <w:rFonts w:cs="Arial"/>
          <w:sz w:val="20"/>
        </w:rPr>
        <w:t xml:space="preserve"> to comply with the emission limit specified in 40 CFR Part 63.</w:t>
      </w:r>
      <w:r w:rsidR="001E16DE" w:rsidRPr="00435EBD">
        <w:rPr>
          <w:rFonts w:cs="Arial"/>
          <w:sz w:val="20"/>
        </w:rPr>
        <w:t xml:space="preserve">802(a)(1). </w:t>
      </w:r>
    </w:p>
    <w:p w14:paraId="0823AC16" w14:textId="77777777" w:rsidR="001E16DE" w:rsidRPr="00435EBD" w:rsidRDefault="001E16DE" w:rsidP="00893F11">
      <w:pPr>
        <w:pStyle w:val="ListParagraph"/>
        <w:ind w:left="360"/>
        <w:jc w:val="both"/>
        <w:rPr>
          <w:rFonts w:cs="Arial"/>
          <w:sz w:val="20"/>
        </w:rPr>
      </w:pPr>
    </w:p>
    <w:p w14:paraId="04A0DDEF" w14:textId="097298B9" w:rsidR="00624EE0" w:rsidRPr="00435EBD" w:rsidRDefault="00DC0B9E" w:rsidP="006255D5">
      <w:pPr>
        <w:pStyle w:val="ListParagraph"/>
        <w:numPr>
          <w:ilvl w:val="0"/>
          <w:numId w:val="29"/>
        </w:numPr>
        <w:jc w:val="both"/>
        <w:rPr>
          <w:rFonts w:cs="Arial"/>
          <w:sz w:val="20"/>
        </w:rPr>
      </w:pPr>
      <w:r w:rsidRPr="00435EBD">
        <w:rPr>
          <w:rFonts w:cs="Arial"/>
          <w:sz w:val="20"/>
        </w:rPr>
        <w:t>For an existing source subject to 40 CFR 63.</w:t>
      </w:r>
      <w:hyperlink r:id="rId58" w:anchor="p-63.802(a)(2)(i)" w:history="1">
        <w:r w:rsidR="00624EE0" w:rsidRPr="001637D6">
          <w:rPr>
            <w:rFonts w:cs="Arial"/>
            <w:sz w:val="20"/>
          </w:rPr>
          <w:t>802(a)(2)(i)</w:t>
        </w:r>
      </w:hyperlink>
      <w:r w:rsidRPr="00435EBD">
        <w:rPr>
          <w:rFonts w:cs="Arial"/>
          <w:sz w:val="20"/>
        </w:rPr>
        <w:t xml:space="preserve">, the </w:t>
      </w:r>
      <w:r w:rsidR="00DD7E5B">
        <w:rPr>
          <w:rFonts w:cs="Arial"/>
          <w:sz w:val="20"/>
        </w:rPr>
        <w:t>p</w:t>
      </w:r>
      <w:r w:rsidRPr="00435EBD">
        <w:rPr>
          <w:rFonts w:cs="Arial"/>
          <w:sz w:val="20"/>
        </w:rPr>
        <w:t>ermittee</w:t>
      </w:r>
      <w:r w:rsidR="00624EE0" w:rsidRPr="00435EBD">
        <w:rPr>
          <w:rFonts w:cs="Arial"/>
          <w:sz w:val="20"/>
        </w:rPr>
        <w:t xml:space="preserve"> shall comply with the provisions by using compliant foam adhesives with a VHAP content no greater than 1.8 kg VHAP/kg solids (1.8 lb VHAP/lb solids), as applied.</w:t>
      </w:r>
      <w:r w:rsidR="002B03FF" w:rsidRPr="00435EBD">
        <w:rPr>
          <w:rFonts w:cs="Arial"/>
          <w:sz w:val="20"/>
        </w:rPr>
        <w:t xml:space="preserve"> </w:t>
      </w:r>
      <w:r w:rsidR="002B03FF" w:rsidRPr="00435EBD">
        <w:rPr>
          <w:rFonts w:cs="Arial"/>
          <w:b/>
          <w:bCs/>
          <w:sz w:val="20"/>
        </w:rPr>
        <w:t>(40 CFR 63.80</w:t>
      </w:r>
      <w:r w:rsidR="00DD792F" w:rsidRPr="00435EBD">
        <w:rPr>
          <w:rFonts w:cs="Arial"/>
          <w:b/>
          <w:bCs/>
          <w:sz w:val="20"/>
        </w:rPr>
        <w:t>4(b))</w:t>
      </w:r>
    </w:p>
    <w:p w14:paraId="12175DDD" w14:textId="77777777" w:rsidR="00DB6C75" w:rsidRPr="00435EBD" w:rsidRDefault="00DB6C75" w:rsidP="00893F11">
      <w:pPr>
        <w:pStyle w:val="ListParagraph"/>
        <w:ind w:left="360"/>
        <w:jc w:val="both"/>
        <w:rPr>
          <w:rFonts w:cs="Arial"/>
          <w:sz w:val="20"/>
        </w:rPr>
      </w:pPr>
    </w:p>
    <w:p w14:paraId="7F175D1E" w14:textId="1C4170E6" w:rsidR="00337C5A" w:rsidRPr="00435EBD" w:rsidRDefault="006E5BF2" w:rsidP="006255D5">
      <w:pPr>
        <w:pStyle w:val="ListParagraph"/>
        <w:numPr>
          <w:ilvl w:val="0"/>
          <w:numId w:val="29"/>
        </w:numPr>
        <w:jc w:val="both"/>
        <w:rPr>
          <w:rFonts w:cs="Arial"/>
          <w:sz w:val="20"/>
        </w:rPr>
      </w:pPr>
      <w:r w:rsidRPr="00435EBD">
        <w:rPr>
          <w:rFonts w:cs="Arial"/>
          <w:sz w:val="20"/>
        </w:rPr>
        <w:t>For an existing source subject to 40 CFR 63.802(</w:t>
      </w:r>
      <w:r w:rsidR="00C52E8D" w:rsidRPr="00435EBD">
        <w:rPr>
          <w:rFonts w:cs="Arial"/>
          <w:sz w:val="20"/>
        </w:rPr>
        <w:t>a)(2)(ii), f</w:t>
      </w:r>
      <w:r w:rsidR="00D05E5F" w:rsidRPr="00435EBD">
        <w:rPr>
          <w:rFonts w:cs="Arial"/>
          <w:sz w:val="20"/>
        </w:rPr>
        <w:t>or contact adhesives</w:t>
      </w:r>
      <w:r w:rsidR="008B5DFE" w:rsidRPr="00435EBD">
        <w:rPr>
          <w:rFonts w:cs="Arial"/>
          <w:sz w:val="20"/>
        </w:rPr>
        <w:t xml:space="preserve">, the </w:t>
      </w:r>
      <w:r w:rsidR="00DD7E5B">
        <w:rPr>
          <w:rFonts w:cs="Arial"/>
          <w:sz w:val="20"/>
        </w:rPr>
        <w:t>p</w:t>
      </w:r>
      <w:r w:rsidR="008B5DFE" w:rsidRPr="00435EBD">
        <w:rPr>
          <w:rFonts w:cs="Arial"/>
          <w:sz w:val="20"/>
        </w:rPr>
        <w:t xml:space="preserve">ermittee shall </w:t>
      </w:r>
      <w:r w:rsidR="00C87D43" w:rsidRPr="00435EBD">
        <w:rPr>
          <w:rFonts w:cs="Arial"/>
          <w:sz w:val="20"/>
        </w:rPr>
        <w:t xml:space="preserve">comply with those provisions by using </w:t>
      </w:r>
      <w:r w:rsidR="001C408F" w:rsidRPr="00435EBD">
        <w:rPr>
          <w:rFonts w:cs="Arial"/>
          <w:sz w:val="20"/>
        </w:rPr>
        <w:t xml:space="preserve">either of the methods presented in 40 CFR 63.804(c)(1) </w:t>
      </w:r>
      <w:r w:rsidR="000C64EF" w:rsidRPr="00435EBD">
        <w:rPr>
          <w:rFonts w:cs="Arial"/>
          <w:sz w:val="20"/>
        </w:rPr>
        <w:t xml:space="preserve">and (c)(2), as specified below. </w:t>
      </w:r>
      <w:r w:rsidR="000C64EF" w:rsidRPr="00435EBD">
        <w:rPr>
          <w:rFonts w:cs="Arial"/>
          <w:b/>
          <w:bCs/>
          <w:sz w:val="20"/>
        </w:rPr>
        <w:t>(40 CFR 63.</w:t>
      </w:r>
      <w:r w:rsidR="00337C5A" w:rsidRPr="00435EBD">
        <w:rPr>
          <w:rFonts w:cs="Arial"/>
          <w:b/>
          <w:bCs/>
          <w:sz w:val="20"/>
        </w:rPr>
        <w:t>804(c))</w:t>
      </w:r>
    </w:p>
    <w:p w14:paraId="3E5C4E8C" w14:textId="77777777" w:rsidR="00337C5A" w:rsidRPr="00435EBD" w:rsidRDefault="00337C5A" w:rsidP="00893F11">
      <w:pPr>
        <w:pStyle w:val="ListParagraph"/>
        <w:jc w:val="both"/>
        <w:rPr>
          <w:rFonts w:cs="Arial"/>
          <w:sz w:val="20"/>
        </w:rPr>
      </w:pPr>
    </w:p>
    <w:p w14:paraId="0DE37112" w14:textId="77777777" w:rsidR="00AB0354" w:rsidRPr="00435EBD" w:rsidRDefault="00AB0354" w:rsidP="006255D5">
      <w:pPr>
        <w:pStyle w:val="ListParagraph"/>
        <w:numPr>
          <w:ilvl w:val="1"/>
          <w:numId w:val="29"/>
        </w:numPr>
        <w:ind w:left="720"/>
        <w:jc w:val="both"/>
        <w:rPr>
          <w:rFonts w:cs="Arial"/>
          <w:sz w:val="20"/>
        </w:rPr>
      </w:pPr>
      <w:r w:rsidRPr="00435EBD">
        <w:rPr>
          <w:rFonts w:cs="Arial"/>
          <w:sz w:val="20"/>
        </w:rPr>
        <w:t xml:space="preserve">Use compliant contact adhesives with a VHAP content no greater than 1.0 kg VHAP/kg solids (1.0 lb VHAP/lb solids), as applied; or </w:t>
      </w:r>
    </w:p>
    <w:p w14:paraId="09121FC9" w14:textId="201DC471" w:rsidR="005C4A89" w:rsidRPr="00435EBD" w:rsidRDefault="00CB77B9" w:rsidP="001637D6">
      <w:pPr>
        <w:spacing w:before="100" w:beforeAutospacing="1" w:after="100" w:afterAutospacing="1"/>
        <w:ind w:left="360" w:hanging="360"/>
        <w:jc w:val="both"/>
        <w:rPr>
          <w:rFonts w:cs="Arial"/>
          <w:sz w:val="20"/>
        </w:rPr>
      </w:pPr>
      <w:r w:rsidRPr="00435EBD">
        <w:rPr>
          <w:rFonts w:cs="Arial"/>
          <w:sz w:val="20"/>
        </w:rPr>
        <w:t>4.</w:t>
      </w:r>
      <w:r w:rsidR="00C90F4A" w:rsidRPr="00435EBD">
        <w:rPr>
          <w:rFonts w:cs="Arial"/>
          <w:sz w:val="20"/>
        </w:rPr>
        <w:t xml:space="preserve">  </w:t>
      </w:r>
      <w:r w:rsidR="00F55C57">
        <w:rPr>
          <w:rFonts w:cs="Arial"/>
          <w:sz w:val="20"/>
        </w:rPr>
        <w:tab/>
      </w:r>
      <w:r w:rsidRPr="00435EBD">
        <w:rPr>
          <w:rFonts w:cs="Arial"/>
          <w:sz w:val="20"/>
        </w:rPr>
        <w:t xml:space="preserve">For a </w:t>
      </w:r>
      <w:r w:rsidR="005C4A89" w:rsidRPr="00435EBD">
        <w:rPr>
          <w:rFonts w:cs="Arial"/>
          <w:sz w:val="20"/>
        </w:rPr>
        <w:t xml:space="preserve">new affected source subject to </w:t>
      </w:r>
      <w:r w:rsidRPr="00435EBD">
        <w:rPr>
          <w:rFonts w:cs="Arial"/>
          <w:sz w:val="20"/>
        </w:rPr>
        <w:t xml:space="preserve">40 CFR </w:t>
      </w:r>
      <w:r w:rsidR="00F64BCD" w:rsidRPr="00435EBD">
        <w:rPr>
          <w:rFonts w:cs="Arial"/>
          <w:sz w:val="20"/>
        </w:rPr>
        <w:t>63</w:t>
      </w:r>
      <w:hyperlink r:id="rId59" w:anchor="p-63.802(b)(1)" w:history="1">
        <w:r w:rsidR="005C4A89" w:rsidRPr="001637D6">
          <w:rPr>
            <w:rFonts w:cs="Arial"/>
            <w:sz w:val="20"/>
          </w:rPr>
          <w:t>.802(b)(1)</w:t>
        </w:r>
      </w:hyperlink>
      <w:r w:rsidR="005C4A89" w:rsidRPr="00435EBD">
        <w:rPr>
          <w:rFonts w:cs="Arial"/>
          <w:sz w:val="20"/>
        </w:rPr>
        <w:t xml:space="preserve"> </w:t>
      </w:r>
      <w:r w:rsidR="00863081" w:rsidRPr="00435EBD">
        <w:rPr>
          <w:rFonts w:cs="Arial"/>
          <w:sz w:val="20"/>
        </w:rPr>
        <w:t xml:space="preserve">shall </w:t>
      </w:r>
      <w:r w:rsidR="005C4A89" w:rsidRPr="00435EBD">
        <w:rPr>
          <w:rFonts w:cs="Arial"/>
          <w:sz w:val="20"/>
        </w:rPr>
        <w:t>comply with those provisions by using any of</w:t>
      </w:r>
      <w:r w:rsidR="001637D6">
        <w:rPr>
          <w:rFonts w:cs="Arial"/>
          <w:sz w:val="20"/>
        </w:rPr>
        <w:t xml:space="preserve"> </w:t>
      </w:r>
      <w:r w:rsidR="005C4A89" w:rsidRPr="00435EBD">
        <w:rPr>
          <w:rFonts w:cs="Arial"/>
          <w:sz w:val="20"/>
        </w:rPr>
        <w:t xml:space="preserve">the following methods: </w:t>
      </w:r>
      <w:r w:rsidR="00863081" w:rsidRPr="00435EBD">
        <w:rPr>
          <w:rFonts w:cs="Arial"/>
          <w:b/>
          <w:bCs/>
          <w:sz w:val="20"/>
        </w:rPr>
        <w:t xml:space="preserve">(40 CFR </w:t>
      </w:r>
      <w:r w:rsidR="00C01151" w:rsidRPr="00435EBD">
        <w:rPr>
          <w:rFonts w:cs="Arial"/>
          <w:b/>
          <w:bCs/>
          <w:sz w:val="20"/>
        </w:rPr>
        <w:t>63.804(d))</w:t>
      </w:r>
    </w:p>
    <w:p w14:paraId="175A2A1A" w14:textId="27D4591F" w:rsidR="005C4A89" w:rsidRPr="00435EBD" w:rsidRDefault="00F55C57" w:rsidP="00100477">
      <w:pPr>
        <w:spacing w:before="100" w:beforeAutospacing="1" w:after="100" w:afterAutospacing="1"/>
        <w:ind w:left="720" w:hanging="360"/>
        <w:jc w:val="both"/>
        <w:rPr>
          <w:rFonts w:cs="Arial"/>
          <w:sz w:val="20"/>
        </w:rPr>
      </w:pPr>
      <w:r>
        <w:rPr>
          <w:rFonts w:cs="Arial"/>
          <w:sz w:val="20"/>
        </w:rPr>
        <w:t>a.</w:t>
      </w:r>
      <w:r>
        <w:rPr>
          <w:rFonts w:cs="Arial"/>
          <w:sz w:val="20"/>
        </w:rPr>
        <w:tab/>
      </w:r>
      <w:r w:rsidR="005C4A89" w:rsidRPr="00435EBD">
        <w:rPr>
          <w:rFonts w:cs="Arial"/>
          <w:sz w:val="20"/>
        </w:rPr>
        <w:t xml:space="preserve">Calculate the average VHAP content across all finishing materials used at the facility using Equation </w:t>
      </w:r>
      <w:r w:rsidR="007A727C" w:rsidRPr="00435EBD">
        <w:rPr>
          <w:rFonts w:cs="Arial"/>
          <w:sz w:val="20"/>
        </w:rPr>
        <w:t>1 and</w:t>
      </w:r>
      <w:r w:rsidR="005C4A89" w:rsidRPr="00435EBD">
        <w:rPr>
          <w:rFonts w:cs="Arial"/>
          <w:sz w:val="20"/>
        </w:rPr>
        <w:t xml:space="preserve"> maintain a value of E no greater than 0.8</w:t>
      </w:r>
      <w:r w:rsidR="0081457C" w:rsidRPr="00435EBD">
        <w:rPr>
          <w:rFonts w:cs="Arial"/>
          <w:sz w:val="20"/>
        </w:rPr>
        <w:t>.</w:t>
      </w:r>
    </w:p>
    <w:p w14:paraId="1B829F4D" w14:textId="0186DBFA" w:rsidR="0081457C" w:rsidRPr="00435EBD" w:rsidRDefault="0081457C" w:rsidP="00334306">
      <w:pPr>
        <w:spacing w:before="100" w:beforeAutospacing="1" w:after="100" w:afterAutospacing="1"/>
        <w:ind w:left="1440"/>
        <w:rPr>
          <w:rFonts w:cs="Arial"/>
          <w:sz w:val="20"/>
        </w:rPr>
      </w:pPr>
      <w:r w:rsidRPr="00435EBD">
        <w:rPr>
          <w:rFonts w:cs="Arial"/>
          <w:sz w:val="20"/>
        </w:rPr>
        <w:t>E = (M</w:t>
      </w:r>
      <w:r w:rsidRPr="00435EBD">
        <w:rPr>
          <w:rFonts w:cs="Arial"/>
          <w:sz w:val="20"/>
          <w:vertAlign w:val="subscript"/>
        </w:rPr>
        <w:t>c1</w:t>
      </w:r>
      <w:r w:rsidRPr="00435EBD">
        <w:rPr>
          <w:rFonts w:cs="Arial"/>
          <w:sz w:val="20"/>
        </w:rPr>
        <w:t xml:space="preserve"> C</w:t>
      </w:r>
      <w:r w:rsidRPr="00435EBD">
        <w:rPr>
          <w:rFonts w:cs="Arial"/>
          <w:sz w:val="20"/>
          <w:vertAlign w:val="subscript"/>
        </w:rPr>
        <w:t>c1</w:t>
      </w:r>
      <w:r w:rsidRPr="00435EBD">
        <w:rPr>
          <w:rFonts w:cs="Arial"/>
          <w:sz w:val="20"/>
        </w:rPr>
        <w:t xml:space="preserve"> + M</w:t>
      </w:r>
      <w:r w:rsidRPr="00435EBD">
        <w:rPr>
          <w:rFonts w:cs="Arial"/>
          <w:sz w:val="20"/>
          <w:vertAlign w:val="subscript"/>
        </w:rPr>
        <w:t>c2</w:t>
      </w:r>
      <w:r w:rsidRPr="00435EBD">
        <w:rPr>
          <w:rFonts w:cs="Arial"/>
          <w:sz w:val="20"/>
        </w:rPr>
        <w:t xml:space="preserve"> C</w:t>
      </w:r>
      <w:r w:rsidRPr="00435EBD">
        <w:rPr>
          <w:rFonts w:cs="Arial"/>
          <w:sz w:val="20"/>
          <w:vertAlign w:val="subscript"/>
        </w:rPr>
        <w:t>c2</w:t>
      </w:r>
      <w:r w:rsidRPr="00435EBD">
        <w:rPr>
          <w:rFonts w:cs="Arial"/>
          <w:sz w:val="20"/>
        </w:rPr>
        <w:t xml:space="preserve"> + * * * + M</w:t>
      </w:r>
      <w:r w:rsidRPr="00435EBD">
        <w:rPr>
          <w:rFonts w:cs="Arial"/>
          <w:sz w:val="20"/>
          <w:vertAlign w:val="subscript"/>
        </w:rPr>
        <w:t>cn</w:t>
      </w:r>
      <w:r w:rsidRPr="00435EBD">
        <w:rPr>
          <w:rFonts w:cs="Arial"/>
          <w:sz w:val="20"/>
        </w:rPr>
        <w:t xml:space="preserve"> C</w:t>
      </w:r>
      <w:r w:rsidRPr="00435EBD">
        <w:rPr>
          <w:rFonts w:cs="Arial"/>
          <w:sz w:val="20"/>
          <w:vertAlign w:val="subscript"/>
        </w:rPr>
        <w:t>cn</w:t>
      </w:r>
      <w:r w:rsidRPr="00435EBD">
        <w:rPr>
          <w:rFonts w:cs="Arial"/>
          <w:sz w:val="20"/>
        </w:rPr>
        <w:t xml:space="preserve"> + S</w:t>
      </w:r>
      <w:r w:rsidRPr="00435EBD">
        <w:rPr>
          <w:rFonts w:cs="Arial"/>
          <w:sz w:val="20"/>
          <w:vertAlign w:val="subscript"/>
        </w:rPr>
        <w:t>1</w:t>
      </w:r>
      <w:r w:rsidRPr="00435EBD">
        <w:rPr>
          <w:rFonts w:cs="Arial"/>
          <w:sz w:val="20"/>
        </w:rPr>
        <w:t xml:space="preserve"> W</w:t>
      </w:r>
      <w:r w:rsidRPr="00435EBD">
        <w:rPr>
          <w:rFonts w:cs="Arial"/>
          <w:sz w:val="20"/>
          <w:vertAlign w:val="subscript"/>
        </w:rPr>
        <w:t>1</w:t>
      </w:r>
      <w:r w:rsidRPr="00435EBD">
        <w:rPr>
          <w:rFonts w:cs="Arial"/>
          <w:sz w:val="20"/>
        </w:rPr>
        <w:t xml:space="preserve"> + S</w:t>
      </w:r>
      <w:r w:rsidRPr="00435EBD">
        <w:rPr>
          <w:rFonts w:cs="Arial"/>
          <w:sz w:val="20"/>
          <w:vertAlign w:val="subscript"/>
        </w:rPr>
        <w:t>2</w:t>
      </w:r>
      <w:r w:rsidRPr="00435EBD">
        <w:rPr>
          <w:rFonts w:cs="Arial"/>
          <w:sz w:val="20"/>
        </w:rPr>
        <w:t xml:space="preserve"> W</w:t>
      </w:r>
      <w:r w:rsidRPr="00435EBD">
        <w:rPr>
          <w:rFonts w:cs="Arial"/>
          <w:sz w:val="20"/>
          <w:vertAlign w:val="subscript"/>
        </w:rPr>
        <w:t>2</w:t>
      </w:r>
      <w:r w:rsidRPr="00435EBD">
        <w:rPr>
          <w:rFonts w:cs="Arial"/>
          <w:sz w:val="20"/>
        </w:rPr>
        <w:t xml:space="preserve"> + * * * S</w:t>
      </w:r>
      <w:r w:rsidRPr="00435EBD">
        <w:rPr>
          <w:rFonts w:cs="Arial"/>
          <w:sz w:val="20"/>
          <w:vertAlign w:val="subscript"/>
        </w:rPr>
        <w:t>n</w:t>
      </w:r>
      <w:r w:rsidRPr="00435EBD">
        <w:rPr>
          <w:rFonts w:cs="Arial"/>
          <w:sz w:val="20"/>
        </w:rPr>
        <w:t xml:space="preserve"> W</w:t>
      </w:r>
      <w:r w:rsidRPr="00435EBD">
        <w:rPr>
          <w:rFonts w:cs="Arial"/>
          <w:sz w:val="20"/>
          <w:vertAlign w:val="subscript"/>
        </w:rPr>
        <w:t>n</w:t>
      </w:r>
      <w:r w:rsidRPr="00435EBD">
        <w:rPr>
          <w:rFonts w:cs="Arial"/>
          <w:sz w:val="20"/>
        </w:rPr>
        <w:t>)/(M</w:t>
      </w:r>
      <w:r w:rsidRPr="00435EBD">
        <w:rPr>
          <w:rFonts w:cs="Arial"/>
          <w:sz w:val="20"/>
          <w:vertAlign w:val="subscript"/>
        </w:rPr>
        <w:t>c1</w:t>
      </w:r>
      <w:r w:rsidRPr="00435EBD">
        <w:rPr>
          <w:rFonts w:cs="Arial"/>
          <w:sz w:val="20"/>
        </w:rPr>
        <w:t xml:space="preserve"> + M</w:t>
      </w:r>
      <w:r w:rsidRPr="00435EBD">
        <w:rPr>
          <w:rFonts w:cs="Arial"/>
          <w:sz w:val="20"/>
          <w:vertAlign w:val="subscript"/>
        </w:rPr>
        <w:t>c2</w:t>
      </w:r>
      <w:r w:rsidRPr="00435EBD">
        <w:rPr>
          <w:rFonts w:cs="Arial"/>
          <w:sz w:val="20"/>
        </w:rPr>
        <w:t xml:space="preserve"> + * * * + M</w:t>
      </w:r>
      <w:r w:rsidRPr="00435EBD">
        <w:rPr>
          <w:rFonts w:cs="Arial"/>
          <w:sz w:val="20"/>
          <w:vertAlign w:val="subscript"/>
        </w:rPr>
        <w:t>cn</w:t>
      </w:r>
      <w:r w:rsidRPr="00435EBD">
        <w:rPr>
          <w:rFonts w:cs="Arial"/>
          <w:sz w:val="20"/>
        </w:rPr>
        <w:t xml:space="preserve">) </w:t>
      </w:r>
      <w:r w:rsidR="00314F80" w:rsidRPr="00435EBD">
        <w:rPr>
          <w:rFonts w:cs="Arial"/>
          <w:sz w:val="20"/>
        </w:rPr>
        <w:tab/>
      </w:r>
      <w:r w:rsidRPr="00435EBD">
        <w:rPr>
          <w:rFonts w:cs="Arial"/>
          <w:sz w:val="20"/>
        </w:rPr>
        <w:t>(Equation 1)</w:t>
      </w:r>
    </w:p>
    <w:p w14:paraId="790DF73E" w14:textId="280A39C9" w:rsidR="005C4A89" w:rsidRPr="00435EBD" w:rsidRDefault="00F55C57" w:rsidP="005C4A89">
      <w:pPr>
        <w:spacing w:before="100" w:beforeAutospacing="1" w:after="100" w:afterAutospacing="1"/>
        <w:ind w:left="360"/>
        <w:rPr>
          <w:rFonts w:cs="Arial"/>
          <w:sz w:val="20"/>
        </w:rPr>
      </w:pPr>
      <w:r>
        <w:rPr>
          <w:rFonts w:cs="Arial"/>
          <w:sz w:val="20"/>
        </w:rPr>
        <w:t>b.</w:t>
      </w:r>
      <w:r>
        <w:rPr>
          <w:rFonts w:cs="Arial"/>
          <w:sz w:val="20"/>
        </w:rPr>
        <w:tab/>
      </w:r>
      <w:r w:rsidR="005C4A89" w:rsidRPr="00435EBD">
        <w:rPr>
          <w:rFonts w:cs="Arial"/>
          <w:sz w:val="20"/>
        </w:rPr>
        <w:t xml:space="preserve">Use compliant finishing materials according to the following criteria: </w:t>
      </w:r>
    </w:p>
    <w:p w14:paraId="27D2F086" w14:textId="12F51CC7" w:rsidR="005C4A89" w:rsidRDefault="005C4A89" w:rsidP="00555BA7">
      <w:pPr>
        <w:tabs>
          <w:tab w:val="left" w:pos="1080"/>
        </w:tabs>
        <w:spacing w:before="100" w:beforeAutospacing="1" w:after="100" w:afterAutospacing="1"/>
        <w:ind w:left="1080" w:hanging="360"/>
        <w:jc w:val="both"/>
        <w:rPr>
          <w:rFonts w:cs="Arial"/>
          <w:sz w:val="20"/>
        </w:rPr>
      </w:pPr>
      <w:r w:rsidRPr="00435EBD">
        <w:rPr>
          <w:rFonts w:cs="Arial"/>
          <w:sz w:val="20"/>
        </w:rPr>
        <w:t>i</w:t>
      </w:r>
      <w:r w:rsidR="00F55C57">
        <w:rPr>
          <w:rFonts w:cs="Arial"/>
          <w:sz w:val="20"/>
        </w:rPr>
        <w:t>.</w:t>
      </w:r>
      <w:r w:rsidR="006255D5">
        <w:rPr>
          <w:rFonts w:cs="Arial"/>
          <w:sz w:val="20"/>
        </w:rPr>
        <w:tab/>
      </w:r>
      <w:r w:rsidRPr="00435EBD">
        <w:rPr>
          <w:rFonts w:cs="Arial"/>
          <w:sz w:val="20"/>
        </w:rPr>
        <w:t xml:space="preserve">Demonstrate that each sealer and topcoat </w:t>
      </w:r>
      <w:proofErr w:type="gramStart"/>
      <w:r w:rsidRPr="00435EBD">
        <w:rPr>
          <w:rFonts w:cs="Arial"/>
          <w:sz w:val="20"/>
        </w:rPr>
        <w:t>has</w:t>
      </w:r>
      <w:proofErr w:type="gramEnd"/>
      <w:r w:rsidRPr="00435EBD">
        <w:rPr>
          <w:rFonts w:cs="Arial"/>
          <w:sz w:val="20"/>
        </w:rPr>
        <w:t xml:space="preserve"> a VHAP content of no more than 0.8 kg VHAP/kg solids (0.8 lb VHAP/lb solids), as applied, each stain has a VHAP content of no more than 1.0 kg VHAP/kg solids (1.0 lb VHAP/lb solids), as applied, and each thinner contains no more than 10.0 percent VHAP by </w:t>
      </w:r>
      <w:r w:rsidR="00C90F4A" w:rsidRPr="00435EBD">
        <w:rPr>
          <w:rFonts w:cs="Arial"/>
          <w:sz w:val="20"/>
        </w:rPr>
        <w:t>weight.</w:t>
      </w:r>
      <w:r w:rsidRPr="00435EBD">
        <w:rPr>
          <w:rFonts w:cs="Arial"/>
          <w:sz w:val="20"/>
        </w:rPr>
        <w:t xml:space="preserve"> </w:t>
      </w:r>
    </w:p>
    <w:p w14:paraId="626206D7" w14:textId="38779942" w:rsidR="005C4A89" w:rsidRDefault="006255D5" w:rsidP="00555BA7">
      <w:pPr>
        <w:tabs>
          <w:tab w:val="left" w:pos="1080"/>
        </w:tabs>
        <w:spacing w:before="100" w:beforeAutospacing="1" w:after="100" w:afterAutospacing="1"/>
        <w:ind w:left="1080" w:hanging="360"/>
        <w:jc w:val="both"/>
        <w:rPr>
          <w:rFonts w:cs="Arial"/>
          <w:sz w:val="20"/>
        </w:rPr>
      </w:pPr>
      <w:r>
        <w:rPr>
          <w:rFonts w:cs="Arial"/>
          <w:sz w:val="20"/>
        </w:rPr>
        <w:t>ii.</w:t>
      </w:r>
      <w:r>
        <w:rPr>
          <w:rFonts w:cs="Arial"/>
          <w:sz w:val="20"/>
        </w:rPr>
        <w:tab/>
      </w:r>
      <w:r w:rsidR="005C4A89" w:rsidRPr="00435EBD">
        <w:rPr>
          <w:rFonts w:cs="Arial"/>
          <w:sz w:val="20"/>
        </w:rPr>
        <w:t xml:space="preserve">Demonstrate that each washcoat, basecoat, and enamel that is purchased pre-made, that is, it is not formulated onsite by thinning another finishing material, has a VHAP content of no more than 0.8 kg </w:t>
      </w:r>
      <w:r w:rsidR="005C4A89" w:rsidRPr="00435EBD">
        <w:rPr>
          <w:rFonts w:cs="Arial"/>
          <w:sz w:val="20"/>
        </w:rPr>
        <w:lastRenderedPageBreak/>
        <w:t xml:space="preserve">VHAP/kg solids (0.8 lb VHAP/lb solids), as applied, and each thinner contains no more than 10.0 percent VHAP by weight; and </w:t>
      </w:r>
    </w:p>
    <w:p w14:paraId="65AD4EDA" w14:textId="729101FA" w:rsidR="005C4A89" w:rsidRPr="00435EBD" w:rsidRDefault="006255D5" w:rsidP="00555BA7">
      <w:pPr>
        <w:tabs>
          <w:tab w:val="left" w:pos="1080"/>
        </w:tabs>
        <w:spacing w:before="100" w:beforeAutospacing="1" w:after="100" w:afterAutospacing="1"/>
        <w:ind w:left="1080" w:hanging="360"/>
        <w:jc w:val="both"/>
        <w:rPr>
          <w:rFonts w:cs="Arial"/>
          <w:sz w:val="20"/>
        </w:rPr>
      </w:pPr>
      <w:r>
        <w:rPr>
          <w:rFonts w:cs="Arial"/>
          <w:sz w:val="20"/>
        </w:rPr>
        <w:t>iii.</w:t>
      </w:r>
      <w:r>
        <w:rPr>
          <w:rFonts w:cs="Arial"/>
          <w:sz w:val="20"/>
        </w:rPr>
        <w:tab/>
      </w:r>
      <w:r w:rsidR="005C4A89" w:rsidRPr="00435EBD">
        <w:rPr>
          <w:rFonts w:cs="Arial"/>
          <w:sz w:val="20"/>
        </w:rPr>
        <w:t xml:space="preserve">Demonstrate that each washcoat, basecoat, and enamel that is formulated onsite is formulated using a finishing material containing no more than 0.8 kg VHAP/kg solids (0.8 lb VHAP/lb solids) and a thinner containing no more than 3.0 percent HAP by weight. </w:t>
      </w:r>
    </w:p>
    <w:p w14:paraId="25C74BB3" w14:textId="02F1A816" w:rsidR="005C4A89" w:rsidRPr="00435EBD" w:rsidRDefault="006255D5" w:rsidP="005F4142">
      <w:pPr>
        <w:tabs>
          <w:tab w:val="left" w:pos="720"/>
          <w:tab w:val="left" w:pos="1080"/>
        </w:tabs>
        <w:spacing w:before="100" w:beforeAutospacing="1" w:after="100" w:afterAutospacing="1"/>
        <w:ind w:left="1080" w:hanging="360"/>
        <w:jc w:val="both"/>
        <w:rPr>
          <w:rFonts w:cs="Arial"/>
          <w:sz w:val="20"/>
        </w:rPr>
      </w:pPr>
      <w:r>
        <w:rPr>
          <w:rFonts w:cs="Arial"/>
          <w:sz w:val="20"/>
        </w:rPr>
        <w:t>iv.</w:t>
      </w:r>
      <w:r>
        <w:rPr>
          <w:rFonts w:cs="Arial"/>
          <w:sz w:val="20"/>
        </w:rPr>
        <w:tab/>
      </w:r>
      <w:r w:rsidR="005C4A89" w:rsidRPr="00435EBD">
        <w:rPr>
          <w:rFonts w:cs="Arial"/>
          <w:sz w:val="20"/>
        </w:rPr>
        <w:t xml:space="preserve">Use any combination of an averaging approach, as described in </w:t>
      </w:r>
      <w:r w:rsidR="00431BC1" w:rsidRPr="00435EBD">
        <w:rPr>
          <w:rFonts w:cs="Arial"/>
          <w:sz w:val="20"/>
        </w:rPr>
        <w:t>40 CFR 63.804</w:t>
      </w:r>
      <w:r w:rsidR="005C4A89" w:rsidRPr="00435EBD">
        <w:rPr>
          <w:rFonts w:cs="Arial"/>
          <w:sz w:val="20"/>
        </w:rPr>
        <w:t xml:space="preserve">(d)(1), </w:t>
      </w:r>
      <w:r w:rsidR="007A7E7B" w:rsidRPr="00435EBD">
        <w:rPr>
          <w:rFonts w:cs="Arial"/>
          <w:sz w:val="20"/>
        </w:rPr>
        <w:t xml:space="preserve">or </w:t>
      </w:r>
      <w:r w:rsidR="005C4A89" w:rsidRPr="00435EBD">
        <w:rPr>
          <w:rFonts w:cs="Arial"/>
          <w:sz w:val="20"/>
        </w:rPr>
        <w:t xml:space="preserve">compliant finishing materials, as described in </w:t>
      </w:r>
      <w:r w:rsidR="00431BC1" w:rsidRPr="00435EBD">
        <w:rPr>
          <w:rFonts w:cs="Arial"/>
          <w:sz w:val="20"/>
        </w:rPr>
        <w:t>40 CFR 63.804</w:t>
      </w:r>
      <w:r w:rsidR="005C4A89" w:rsidRPr="00435EBD">
        <w:rPr>
          <w:rFonts w:cs="Arial"/>
          <w:sz w:val="20"/>
        </w:rPr>
        <w:t>(d)(2)</w:t>
      </w:r>
      <w:r w:rsidR="007A7E7B" w:rsidRPr="00435EBD">
        <w:rPr>
          <w:rFonts w:cs="Arial"/>
          <w:sz w:val="20"/>
        </w:rPr>
        <w:t xml:space="preserve">. </w:t>
      </w:r>
      <w:r w:rsidR="00100477">
        <w:rPr>
          <w:rFonts w:cs="Arial"/>
          <w:sz w:val="20"/>
        </w:rPr>
        <w:t xml:space="preserve"> </w:t>
      </w:r>
      <w:r w:rsidR="00431BC1" w:rsidRPr="00435EBD">
        <w:rPr>
          <w:rFonts w:cs="Arial"/>
          <w:b/>
          <w:bCs/>
          <w:sz w:val="20"/>
        </w:rPr>
        <w:t>40 CFR</w:t>
      </w:r>
      <w:r w:rsidR="005F4142">
        <w:rPr>
          <w:rFonts w:cs="Arial"/>
          <w:b/>
          <w:bCs/>
          <w:sz w:val="20"/>
        </w:rPr>
        <w:t xml:space="preserve"> </w:t>
      </w:r>
      <w:r w:rsidR="00431BC1" w:rsidRPr="00435EBD">
        <w:rPr>
          <w:rFonts w:cs="Arial"/>
          <w:b/>
          <w:bCs/>
          <w:sz w:val="20"/>
        </w:rPr>
        <w:t>63.804</w:t>
      </w:r>
      <w:r w:rsidR="005C4A89" w:rsidRPr="00435EBD">
        <w:rPr>
          <w:rFonts w:cs="Arial"/>
          <w:b/>
          <w:bCs/>
          <w:sz w:val="20"/>
        </w:rPr>
        <w:t>(d)(3).</w:t>
      </w:r>
      <w:r w:rsidR="005C4A89" w:rsidRPr="00435EBD">
        <w:rPr>
          <w:rFonts w:cs="Arial"/>
          <w:sz w:val="20"/>
        </w:rPr>
        <w:t xml:space="preserve"> </w:t>
      </w:r>
    </w:p>
    <w:p w14:paraId="69AFE26C" w14:textId="784FCBE4" w:rsidR="005C4A89" w:rsidRPr="00435EBD" w:rsidRDefault="00CA3BD3" w:rsidP="00555BA7">
      <w:pPr>
        <w:spacing w:before="100" w:beforeAutospacing="1" w:after="100" w:afterAutospacing="1"/>
        <w:ind w:left="360" w:hanging="360"/>
        <w:jc w:val="both"/>
        <w:rPr>
          <w:rFonts w:cs="Arial"/>
          <w:sz w:val="20"/>
        </w:rPr>
      </w:pPr>
      <w:r w:rsidRPr="00435EBD">
        <w:rPr>
          <w:rFonts w:cs="Arial"/>
          <w:sz w:val="20"/>
        </w:rPr>
        <w:t>5</w:t>
      </w:r>
      <w:r w:rsidRPr="00435EBD">
        <w:rPr>
          <w:rFonts w:cs="Arial"/>
          <w:sz w:val="20"/>
        </w:rPr>
        <w:tab/>
      </w:r>
      <w:r w:rsidR="00436DCE" w:rsidRPr="00435EBD">
        <w:rPr>
          <w:rFonts w:cs="Arial"/>
          <w:sz w:val="20"/>
        </w:rPr>
        <w:t xml:space="preserve">For a </w:t>
      </w:r>
      <w:r w:rsidR="005C4A89" w:rsidRPr="00435EBD">
        <w:rPr>
          <w:rFonts w:cs="Arial"/>
          <w:sz w:val="20"/>
        </w:rPr>
        <w:t xml:space="preserve">new affected source subject to </w:t>
      </w:r>
      <w:r w:rsidR="00436DCE" w:rsidRPr="00435EBD">
        <w:rPr>
          <w:rFonts w:cs="Arial"/>
          <w:sz w:val="20"/>
        </w:rPr>
        <w:t xml:space="preserve">40 CFR 63.802(b)(2) </w:t>
      </w:r>
      <w:r w:rsidR="005C4A89" w:rsidRPr="00435EBD">
        <w:rPr>
          <w:rFonts w:cs="Arial"/>
          <w:sz w:val="20"/>
        </w:rPr>
        <w:t xml:space="preserve">shall comply with the provisions using either of the following methods: </w:t>
      </w:r>
    </w:p>
    <w:p w14:paraId="1B8E459E" w14:textId="15509C0B" w:rsidR="005C4A89" w:rsidRPr="00435EBD" w:rsidRDefault="006255D5" w:rsidP="00F55C57">
      <w:pPr>
        <w:spacing w:before="100" w:beforeAutospacing="1" w:after="100" w:afterAutospacing="1"/>
        <w:ind w:left="360"/>
        <w:jc w:val="both"/>
        <w:rPr>
          <w:rFonts w:cs="Arial"/>
          <w:sz w:val="20"/>
        </w:rPr>
      </w:pPr>
      <w:r>
        <w:rPr>
          <w:rFonts w:cs="Arial"/>
          <w:sz w:val="20"/>
        </w:rPr>
        <w:t>a.</w:t>
      </w:r>
      <w:r>
        <w:rPr>
          <w:rFonts w:cs="Arial"/>
          <w:sz w:val="20"/>
        </w:rPr>
        <w:tab/>
      </w:r>
      <w:r w:rsidR="005C4A89" w:rsidRPr="00435EBD">
        <w:rPr>
          <w:rFonts w:cs="Arial"/>
          <w:sz w:val="20"/>
        </w:rPr>
        <w:t>Use compliant contact adhesives with a VHAP content no greater than 0.2 kg VHAP/kg solids</w:t>
      </w:r>
      <w:r>
        <w:rPr>
          <w:rFonts w:cs="Arial"/>
          <w:sz w:val="20"/>
        </w:rPr>
        <w:t xml:space="preserve"> </w:t>
      </w:r>
      <w:r w:rsidR="005C4A89" w:rsidRPr="00435EBD">
        <w:rPr>
          <w:rFonts w:cs="Arial"/>
          <w:sz w:val="20"/>
        </w:rPr>
        <w:t xml:space="preserve">(0.2 lb </w:t>
      </w:r>
      <w:r w:rsidR="004B5D95" w:rsidRPr="00435EBD">
        <w:rPr>
          <w:rFonts w:cs="Arial"/>
          <w:sz w:val="20"/>
        </w:rPr>
        <w:tab/>
      </w:r>
      <w:r w:rsidR="005C4A89" w:rsidRPr="00435EBD">
        <w:rPr>
          <w:rFonts w:cs="Arial"/>
          <w:sz w:val="20"/>
        </w:rPr>
        <w:t>VHAP/lb solids), as applied</w:t>
      </w:r>
      <w:r w:rsidR="004B5D95" w:rsidRPr="00435EBD">
        <w:rPr>
          <w:rFonts w:cs="Arial"/>
          <w:sz w:val="20"/>
        </w:rPr>
        <w:t>.</w:t>
      </w:r>
    </w:p>
    <w:p w14:paraId="39E46B50" w14:textId="77777777" w:rsidR="00C60E84" w:rsidRPr="00FC1F2C" w:rsidRDefault="00C60E84" w:rsidP="004F09CF">
      <w:pPr>
        <w:pStyle w:val="Heading2"/>
        <w:numPr>
          <w:ilvl w:val="0"/>
          <w:numId w:val="0"/>
        </w:numPr>
        <w:jc w:val="both"/>
        <w:rPr>
          <w:b w:val="0"/>
          <w:sz w:val="22"/>
          <w:szCs w:val="22"/>
        </w:rPr>
      </w:pPr>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bookmarkStart w:id="124" w:name="_Toc117065711"/>
      <w:r w:rsidRPr="00461D22">
        <w:rPr>
          <w:sz w:val="22"/>
          <w:szCs w:val="22"/>
        </w:rPr>
        <w:t>Appendix 8.  Reporting</w:t>
      </w:r>
      <w:bookmarkEnd w:id="107"/>
      <w:bookmarkEnd w:id="108"/>
      <w:bookmarkEnd w:id="112"/>
      <w:bookmarkEnd w:id="113"/>
      <w:bookmarkEnd w:id="114"/>
      <w:bookmarkEnd w:id="115"/>
      <w:bookmarkEnd w:id="116"/>
      <w:bookmarkEnd w:id="117"/>
      <w:bookmarkEnd w:id="118"/>
      <w:bookmarkEnd w:id="119"/>
      <w:bookmarkEnd w:id="120"/>
      <w:bookmarkEnd w:id="121"/>
      <w:bookmarkEnd w:id="122"/>
      <w:bookmarkEnd w:id="123"/>
      <w:bookmarkEnd w:id="124"/>
    </w:p>
    <w:p w14:paraId="0AF5BFF2" w14:textId="77777777" w:rsidR="00C60E84" w:rsidRPr="00B77C68" w:rsidRDefault="00C60E84" w:rsidP="004F09CF">
      <w:pPr>
        <w:jc w:val="both"/>
        <w:rPr>
          <w:sz w:val="20"/>
        </w:rPr>
      </w:pPr>
    </w:p>
    <w:p w14:paraId="10D15F4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B405798" w14:textId="77777777" w:rsidR="00C60E84" w:rsidRPr="0080590E" w:rsidRDefault="00C60E84" w:rsidP="004F09CF">
      <w:pPr>
        <w:jc w:val="both"/>
        <w:rPr>
          <w:sz w:val="20"/>
        </w:rPr>
      </w:pPr>
    </w:p>
    <w:p w14:paraId="23F4056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4F42D8A" w14:textId="299F6481" w:rsidR="00C60E84" w:rsidRPr="00B77C68" w:rsidRDefault="00C60E84" w:rsidP="004F09CF">
      <w:pPr>
        <w:jc w:val="both"/>
        <w:rPr>
          <w:sz w:val="20"/>
        </w:rPr>
      </w:pPr>
    </w:p>
    <w:p w14:paraId="06840551" w14:textId="77777777" w:rsidR="00C60E84" w:rsidRPr="0080590E" w:rsidRDefault="00C60E84" w:rsidP="004F09CF">
      <w:pPr>
        <w:jc w:val="both"/>
        <w:rPr>
          <w:sz w:val="20"/>
        </w:rPr>
      </w:pPr>
    </w:p>
    <w:p w14:paraId="11CCA369" w14:textId="77777777" w:rsidR="00C60E84" w:rsidRPr="00FC1F2C" w:rsidRDefault="00C60E84" w:rsidP="004F09CF">
      <w:pPr>
        <w:jc w:val="both"/>
        <w:rPr>
          <w:sz w:val="20"/>
        </w:rPr>
      </w:pPr>
      <w:r w:rsidRPr="00B77C68">
        <w:rPr>
          <w:b/>
          <w:sz w:val="20"/>
        </w:rPr>
        <w:t>B.  Other Reporting</w:t>
      </w:r>
    </w:p>
    <w:p w14:paraId="72A5A259" w14:textId="77777777" w:rsidR="00C60E84" w:rsidRPr="005F4142" w:rsidRDefault="00C60E84" w:rsidP="004F09CF">
      <w:pPr>
        <w:jc w:val="both"/>
        <w:rPr>
          <w:sz w:val="20"/>
        </w:rPr>
      </w:pPr>
    </w:p>
    <w:p w14:paraId="0AA7B906" w14:textId="340D8816" w:rsidR="00C60E84" w:rsidRPr="00B77C68" w:rsidRDefault="005F4142" w:rsidP="004F09CF">
      <w:pPr>
        <w:jc w:val="both"/>
        <w:rPr>
          <w:sz w:val="20"/>
        </w:rPr>
      </w:pPr>
      <w:r w:rsidRPr="005F4142">
        <w:rPr>
          <w:bCs/>
          <w:sz w:val="20"/>
        </w:rPr>
        <w:t>T</w:t>
      </w:r>
      <w:r w:rsidR="00C60E84" w:rsidRPr="005F4142">
        <w:rPr>
          <w:sz w:val="20"/>
        </w:rPr>
        <w:t xml:space="preserve">he </w:t>
      </w:r>
      <w:r w:rsidR="00C60E84" w:rsidRPr="00B77C68">
        <w:rPr>
          <w:sz w:val="20"/>
        </w:rPr>
        <w:t xml:space="preserve">permittee shall use the following approved formats and procedures for the reporting requirements referenced in </w:t>
      </w:r>
      <w:r w:rsidR="00661E6E">
        <w:rPr>
          <w:sz w:val="20"/>
        </w:rPr>
        <w:t>FG</w:t>
      </w:r>
      <w:r w:rsidR="00B2632A">
        <w:rPr>
          <w:sz w:val="20"/>
        </w:rPr>
        <w:t>-</w:t>
      </w:r>
      <w:r w:rsidR="00661E6E">
        <w:rPr>
          <w:sz w:val="20"/>
        </w:rPr>
        <w:t>MACT</w:t>
      </w:r>
      <w:r w:rsidR="00C60E84" w:rsidRPr="00B77C68">
        <w:rPr>
          <w:sz w:val="20"/>
        </w:rPr>
        <w:t>.  Alternative formats must be approved by the AQD District Supervisor.</w:t>
      </w:r>
    </w:p>
    <w:p w14:paraId="0603C07E" w14:textId="77777777" w:rsidR="009538B8" w:rsidRDefault="009538B8" w:rsidP="00F71384">
      <w:pPr>
        <w:jc w:val="both"/>
        <w:rPr>
          <w:b/>
          <w:sz w:val="20"/>
        </w:rPr>
      </w:pPr>
    </w:p>
    <w:p w14:paraId="7420683A" w14:textId="2372CBDE" w:rsidR="00F71384" w:rsidRDefault="00F71384" w:rsidP="00F71384">
      <w:pPr>
        <w:jc w:val="both"/>
        <w:rPr>
          <w:b/>
          <w:sz w:val="20"/>
        </w:rPr>
      </w:pPr>
      <w:r>
        <w:rPr>
          <w:b/>
          <w:sz w:val="20"/>
        </w:rPr>
        <w:t>Continuous Compliance Status Report</w:t>
      </w:r>
    </w:p>
    <w:p w14:paraId="1A4B6558" w14:textId="77777777" w:rsidR="00F71384" w:rsidRDefault="00F71384" w:rsidP="00F71384">
      <w:pPr>
        <w:jc w:val="both"/>
        <w:rPr>
          <w:sz w:val="20"/>
        </w:rPr>
      </w:pPr>
    </w:p>
    <w:p w14:paraId="597BA693" w14:textId="77777777" w:rsidR="00F71384" w:rsidRDefault="00F71384" w:rsidP="00F71384">
      <w:pPr>
        <w:jc w:val="both"/>
        <w:rPr>
          <w:sz w:val="20"/>
        </w:rPr>
      </w:pPr>
      <w:r>
        <w:rPr>
          <w:sz w:val="20"/>
        </w:rPr>
        <w:t xml:space="preserve">Continuous compliance status reports indicate whether or not the facility is in compliance with all the requirements of the NESHAP for each six-month period.  The content of the continuous compliance status reports </w:t>
      </w:r>
      <w:proofErr w:type="gramStart"/>
      <w:r>
        <w:rPr>
          <w:sz w:val="20"/>
        </w:rPr>
        <w:t>include</w:t>
      </w:r>
      <w:proofErr w:type="gramEnd"/>
      <w:r>
        <w:rPr>
          <w:sz w:val="20"/>
        </w:rPr>
        <w:t xml:space="preserve"> statements that the facility is in compliance or identification of dates of noncompliance.  Additional information may also be required for the continuous compliance status reports depending on the facility’s compliance method.  </w:t>
      </w:r>
      <w:r>
        <w:rPr>
          <w:i/>
          <w:sz w:val="20"/>
        </w:rPr>
        <w:t>Table 2</w:t>
      </w:r>
      <w:r>
        <w:rPr>
          <w:sz w:val="20"/>
        </w:rPr>
        <w:t xml:space="preserve"> summarizes the content requirements for continuous compliance status reports for each method.  The first continuous compliance status report is due within 30 days of the six-month period following the compliance date (see </w:t>
      </w:r>
      <w:r>
        <w:rPr>
          <w:i/>
          <w:sz w:val="20"/>
        </w:rPr>
        <w:t>Table 1</w:t>
      </w:r>
      <w:r>
        <w:rPr>
          <w:sz w:val="20"/>
        </w:rPr>
        <w:t xml:space="preserve"> for the actual dates).  Subsequent reports are due within 30 days after each six-month reporting period.  Beginning July 1, 2003, the reporting schedule shall be adjusted to coincide with the six-month time period required by the ROP as follows: January 1 through June 30 of each calendar year shall be reported by July 30 and July 1 through December 31 of each calendar year shall be reported by January 30 of the following year.</w:t>
      </w:r>
    </w:p>
    <w:p w14:paraId="77B24BC9" w14:textId="77777777" w:rsidR="00F71384" w:rsidRDefault="00F71384" w:rsidP="00F71384">
      <w:pPr>
        <w:jc w:val="both"/>
        <w:rPr>
          <w:sz w:val="20"/>
        </w:rPr>
      </w:pPr>
    </w:p>
    <w:p w14:paraId="71AA02F8" w14:textId="4789376D" w:rsidR="00F71384" w:rsidRPr="008A2ACA" w:rsidRDefault="00F71384" w:rsidP="00037ED9">
      <w:pPr>
        <w:rPr>
          <w:b/>
          <w:bCs/>
          <w:iCs/>
          <w:sz w:val="24"/>
          <w:szCs w:val="24"/>
        </w:rPr>
      </w:pPr>
      <w:r w:rsidRPr="008A2ACA">
        <w:rPr>
          <w:b/>
          <w:bCs/>
          <w:iCs/>
          <w:sz w:val="24"/>
          <w:szCs w:val="24"/>
        </w:rPr>
        <w:t>Table 1.</w:t>
      </w:r>
      <w:r w:rsidR="00100477">
        <w:rPr>
          <w:b/>
          <w:bCs/>
          <w:iCs/>
          <w:sz w:val="24"/>
          <w:szCs w:val="24"/>
        </w:rPr>
        <w:t xml:space="preserve"> </w:t>
      </w:r>
      <w:r w:rsidRPr="008A2ACA">
        <w:rPr>
          <w:b/>
          <w:bCs/>
          <w:iCs/>
          <w:sz w:val="24"/>
          <w:szCs w:val="24"/>
        </w:rPr>
        <w:t xml:space="preserve"> Reporting Submittal Dates</w:t>
      </w:r>
    </w:p>
    <w:p w14:paraId="74B01B29" w14:textId="77777777" w:rsidR="00037ED9" w:rsidRDefault="00037ED9" w:rsidP="00037ED9">
      <w:pPr>
        <w:ind w:left="3600"/>
        <w:jc w:val="both"/>
        <w:rPr>
          <w:i/>
          <w:sz w:val="20"/>
        </w:rPr>
      </w:pPr>
    </w:p>
    <w:tbl>
      <w:tblPr>
        <w:tblW w:w="0" w:type="auto"/>
        <w:tblInd w:w="11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842"/>
        <w:gridCol w:w="2567"/>
      </w:tblGrid>
      <w:tr w:rsidR="00F71384" w14:paraId="25AADCB4" w14:textId="77777777" w:rsidTr="0051588B">
        <w:trPr>
          <w:trHeight w:val="620"/>
        </w:trPr>
        <w:tc>
          <w:tcPr>
            <w:tcW w:w="4842" w:type="dxa"/>
            <w:tcBorders>
              <w:top w:val="double" w:sz="4" w:space="0" w:color="auto"/>
              <w:bottom w:val="double" w:sz="4" w:space="0" w:color="auto"/>
            </w:tcBorders>
            <w:vAlign w:val="center"/>
          </w:tcPr>
          <w:p w14:paraId="2240D4F0" w14:textId="77777777" w:rsidR="00F71384" w:rsidRDefault="00F71384" w:rsidP="0051588B">
            <w:pPr>
              <w:jc w:val="center"/>
              <w:rPr>
                <w:b/>
                <w:sz w:val="20"/>
              </w:rPr>
            </w:pPr>
            <w:r>
              <w:rPr>
                <w:b/>
                <w:sz w:val="20"/>
              </w:rPr>
              <w:t>TYPE OF FACILITY</w:t>
            </w:r>
          </w:p>
        </w:tc>
        <w:tc>
          <w:tcPr>
            <w:tcW w:w="2567" w:type="dxa"/>
            <w:tcBorders>
              <w:top w:val="double" w:sz="4" w:space="0" w:color="auto"/>
              <w:bottom w:val="double" w:sz="4" w:space="0" w:color="auto"/>
            </w:tcBorders>
            <w:vAlign w:val="center"/>
          </w:tcPr>
          <w:p w14:paraId="2C35C3F2" w14:textId="77777777" w:rsidR="00F71384" w:rsidRDefault="00F71384" w:rsidP="0051588B">
            <w:pPr>
              <w:jc w:val="center"/>
              <w:rPr>
                <w:sz w:val="20"/>
              </w:rPr>
            </w:pPr>
            <w:r>
              <w:rPr>
                <w:b/>
                <w:sz w:val="20"/>
              </w:rPr>
              <w:t>CONTINUOUS COMPLIANCE STATUS REPORTS</w:t>
            </w:r>
          </w:p>
        </w:tc>
      </w:tr>
      <w:tr w:rsidR="00F71384" w14:paraId="6A51B9D0" w14:textId="77777777" w:rsidTr="0051588B">
        <w:trPr>
          <w:trHeight w:val="548"/>
        </w:trPr>
        <w:tc>
          <w:tcPr>
            <w:tcW w:w="4842" w:type="dxa"/>
            <w:tcBorders>
              <w:top w:val="double" w:sz="4" w:space="0" w:color="auto"/>
            </w:tcBorders>
          </w:tcPr>
          <w:p w14:paraId="26E1AB4D" w14:textId="77777777" w:rsidR="00F71384" w:rsidRDefault="00F71384" w:rsidP="0051588B">
            <w:pPr>
              <w:jc w:val="both"/>
              <w:rPr>
                <w:sz w:val="20"/>
              </w:rPr>
            </w:pPr>
            <w:r>
              <w:rPr>
                <w:sz w:val="20"/>
              </w:rPr>
              <w:t>Existing source (on or before 12-6-1994) that emitted less than 50 tons HAPs in 1996</w:t>
            </w:r>
          </w:p>
        </w:tc>
        <w:tc>
          <w:tcPr>
            <w:tcW w:w="2567" w:type="dxa"/>
            <w:tcBorders>
              <w:top w:val="double" w:sz="4" w:space="0" w:color="auto"/>
            </w:tcBorders>
          </w:tcPr>
          <w:p w14:paraId="3A756E82" w14:textId="77777777" w:rsidR="00F71384" w:rsidRDefault="00F71384" w:rsidP="0051588B">
            <w:pPr>
              <w:jc w:val="both"/>
              <w:rPr>
                <w:sz w:val="20"/>
              </w:rPr>
            </w:pPr>
            <w:r>
              <w:rPr>
                <w:sz w:val="20"/>
              </w:rPr>
              <w:t xml:space="preserve">7-7-1999, </w:t>
            </w:r>
          </w:p>
          <w:p w14:paraId="461D3A48" w14:textId="77777777" w:rsidR="00F71384" w:rsidRDefault="00F71384" w:rsidP="0051588B">
            <w:pPr>
              <w:jc w:val="both"/>
              <w:rPr>
                <w:sz w:val="20"/>
              </w:rPr>
            </w:pPr>
            <w:r>
              <w:rPr>
                <w:sz w:val="20"/>
              </w:rPr>
              <w:t>then every 6 months</w:t>
            </w:r>
          </w:p>
        </w:tc>
      </w:tr>
      <w:tr w:rsidR="00F71384" w14:paraId="46AE64B3" w14:textId="77777777" w:rsidTr="0051588B">
        <w:trPr>
          <w:trHeight w:val="530"/>
        </w:trPr>
        <w:tc>
          <w:tcPr>
            <w:tcW w:w="4842" w:type="dxa"/>
          </w:tcPr>
          <w:p w14:paraId="5C5262B6" w14:textId="77777777" w:rsidR="00F71384" w:rsidRDefault="00F71384" w:rsidP="0051588B">
            <w:pPr>
              <w:jc w:val="both"/>
              <w:rPr>
                <w:sz w:val="20"/>
              </w:rPr>
            </w:pPr>
            <w:r>
              <w:rPr>
                <w:sz w:val="20"/>
              </w:rPr>
              <w:t>Existing source (on or before 12-6-1994) that emitted 50 tons or more of HAPs in 1996</w:t>
            </w:r>
          </w:p>
        </w:tc>
        <w:tc>
          <w:tcPr>
            <w:tcW w:w="2567" w:type="dxa"/>
          </w:tcPr>
          <w:p w14:paraId="5FA1CD83" w14:textId="77777777" w:rsidR="00F71384" w:rsidRDefault="00F71384" w:rsidP="0051588B">
            <w:pPr>
              <w:jc w:val="both"/>
              <w:rPr>
                <w:sz w:val="20"/>
              </w:rPr>
            </w:pPr>
            <w:r>
              <w:rPr>
                <w:sz w:val="20"/>
              </w:rPr>
              <w:t xml:space="preserve">6-20-1998, </w:t>
            </w:r>
          </w:p>
          <w:p w14:paraId="5D55FBEC" w14:textId="77777777" w:rsidR="00F71384" w:rsidRDefault="00F71384" w:rsidP="0051588B">
            <w:pPr>
              <w:jc w:val="both"/>
              <w:rPr>
                <w:sz w:val="20"/>
              </w:rPr>
            </w:pPr>
            <w:r>
              <w:rPr>
                <w:sz w:val="20"/>
              </w:rPr>
              <w:t>then every 6 months</w:t>
            </w:r>
          </w:p>
        </w:tc>
      </w:tr>
      <w:tr w:rsidR="00F71384" w14:paraId="146D3F68" w14:textId="77777777" w:rsidTr="0051588B">
        <w:trPr>
          <w:trHeight w:val="530"/>
        </w:trPr>
        <w:tc>
          <w:tcPr>
            <w:tcW w:w="4842" w:type="dxa"/>
          </w:tcPr>
          <w:p w14:paraId="2B5A0A4F" w14:textId="77777777" w:rsidR="00F71384" w:rsidRDefault="00F71384" w:rsidP="0051588B">
            <w:pPr>
              <w:jc w:val="both"/>
              <w:rPr>
                <w:sz w:val="20"/>
              </w:rPr>
            </w:pPr>
            <w:r>
              <w:rPr>
                <w:sz w:val="20"/>
              </w:rPr>
              <w:t>New sources (after 12-6-1994)</w:t>
            </w:r>
          </w:p>
        </w:tc>
        <w:tc>
          <w:tcPr>
            <w:tcW w:w="2567" w:type="dxa"/>
          </w:tcPr>
          <w:p w14:paraId="384A4607" w14:textId="77777777" w:rsidR="00F71384" w:rsidRDefault="00F71384" w:rsidP="0051588B">
            <w:pPr>
              <w:jc w:val="both"/>
              <w:rPr>
                <w:sz w:val="20"/>
              </w:rPr>
            </w:pPr>
            <w:r>
              <w:rPr>
                <w:sz w:val="20"/>
              </w:rPr>
              <w:t>Every 6 months after date of start-up</w:t>
            </w:r>
          </w:p>
        </w:tc>
      </w:tr>
    </w:tbl>
    <w:p w14:paraId="3E26297C" w14:textId="77777777" w:rsidR="00F71384" w:rsidRPr="00A02B0C" w:rsidRDefault="00F71384" w:rsidP="00F71384">
      <w:pPr>
        <w:jc w:val="both"/>
        <w:rPr>
          <w:sz w:val="36"/>
          <w:szCs w:val="36"/>
        </w:rPr>
      </w:pPr>
    </w:p>
    <w:p w14:paraId="5912566F" w14:textId="4F86D6F7" w:rsidR="00F71384" w:rsidRPr="00100477" w:rsidRDefault="00F71384" w:rsidP="00F71384">
      <w:pPr>
        <w:jc w:val="both"/>
        <w:rPr>
          <w:b/>
          <w:bCs/>
          <w:iCs/>
          <w:sz w:val="24"/>
          <w:szCs w:val="24"/>
        </w:rPr>
      </w:pPr>
      <w:r w:rsidRPr="00100477">
        <w:rPr>
          <w:b/>
          <w:bCs/>
          <w:iCs/>
          <w:sz w:val="24"/>
          <w:szCs w:val="24"/>
        </w:rPr>
        <w:t>Table 2.</w:t>
      </w:r>
      <w:r w:rsidR="00100477">
        <w:rPr>
          <w:b/>
          <w:bCs/>
          <w:iCs/>
          <w:sz w:val="24"/>
          <w:szCs w:val="24"/>
        </w:rPr>
        <w:t xml:space="preserve">  </w:t>
      </w:r>
      <w:r w:rsidRPr="00100477">
        <w:rPr>
          <w:b/>
          <w:bCs/>
          <w:iCs/>
          <w:sz w:val="24"/>
          <w:szCs w:val="24"/>
        </w:rPr>
        <w:t>Compliance Report Content Requirements</w:t>
      </w:r>
    </w:p>
    <w:p w14:paraId="2F8AB8BE" w14:textId="77777777" w:rsidR="00F71384" w:rsidRPr="00A02B0C" w:rsidRDefault="00F71384" w:rsidP="00F71384">
      <w:pPr>
        <w:jc w:val="both"/>
        <w:rPr>
          <w:sz w:val="16"/>
          <w:szCs w:val="16"/>
        </w:rPr>
      </w:pPr>
    </w:p>
    <w:tbl>
      <w:tblPr>
        <w:tblW w:w="0" w:type="auto"/>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4050"/>
        <w:gridCol w:w="3870"/>
      </w:tblGrid>
      <w:tr w:rsidR="00F71384" w14:paraId="0DD2F4B8" w14:textId="77777777" w:rsidTr="0051588B">
        <w:trPr>
          <w:trHeight w:val="611"/>
          <w:tblHeader/>
        </w:trPr>
        <w:tc>
          <w:tcPr>
            <w:tcW w:w="1641" w:type="dxa"/>
            <w:vAlign w:val="center"/>
          </w:tcPr>
          <w:p w14:paraId="77DE1162" w14:textId="77777777" w:rsidR="00F71384" w:rsidRDefault="00F71384" w:rsidP="0051588B">
            <w:pPr>
              <w:jc w:val="center"/>
              <w:rPr>
                <w:b/>
                <w:sz w:val="20"/>
              </w:rPr>
            </w:pPr>
            <w:r>
              <w:rPr>
                <w:b/>
                <w:sz w:val="20"/>
              </w:rPr>
              <w:t>COMPLIANCE METHOD</w:t>
            </w:r>
          </w:p>
        </w:tc>
        <w:tc>
          <w:tcPr>
            <w:tcW w:w="4050" w:type="dxa"/>
            <w:vAlign w:val="center"/>
          </w:tcPr>
          <w:p w14:paraId="1D4DDDEE" w14:textId="77777777" w:rsidR="00F71384" w:rsidRDefault="00F71384" w:rsidP="0051588B">
            <w:pPr>
              <w:jc w:val="center"/>
              <w:rPr>
                <w:b/>
                <w:sz w:val="20"/>
              </w:rPr>
            </w:pPr>
            <w:r>
              <w:rPr>
                <w:b/>
                <w:sz w:val="20"/>
              </w:rPr>
              <w:t>INITIAL COMPLIANCE REPORT CONTENT</w:t>
            </w:r>
          </w:p>
        </w:tc>
        <w:tc>
          <w:tcPr>
            <w:tcW w:w="3870" w:type="dxa"/>
            <w:vAlign w:val="center"/>
          </w:tcPr>
          <w:p w14:paraId="4F47BAB8" w14:textId="77777777" w:rsidR="00F71384" w:rsidRDefault="00F71384" w:rsidP="0051588B">
            <w:pPr>
              <w:jc w:val="center"/>
              <w:rPr>
                <w:b/>
                <w:sz w:val="20"/>
              </w:rPr>
            </w:pPr>
            <w:r>
              <w:rPr>
                <w:b/>
                <w:sz w:val="20"/>
              </w:rPr>
              <w:t>CONTINUOUS COMPLIANCE STATUS REPORT CONTENT</w:t>
            </w:r>
          </w:p>
        </w:tc>
      </w:tr>
      <w:tr w:rsidR="00F71384" w14:paraId="71DEC07D" w14:textId="77777777" w:rsidTr="0051588B">
        <w:trPr>
          <w:cantSplit/>
          <w:trHeight w:val="690"/>
        </w:trPr>
        <w:tc>
          <w:tcPr>
            <w:tcW w:w="1641" w:type="dxa"/>
            <w:vMerge w:val="restart"/>
          </w:tcPr>
          <w:p w14:paraId="71030272" w14:textId="77777777" w:rsidR="00F71384" w:rsidRDefault="00F71384" w:rsidP="0051588B">
            <w:pPr>
              <w:jc w:val="both"/>
              <w:rPr>
                <w:sz w:val="20"/>
              </w:rPr>
            </w:pPr>
            <w:r>
              <w:rPr>
                <w:sz w:val="20"/>
              </w:rPr>
              <w:t>Averaging approach</w:t>
            </w:r>
          </w:p>
        </w:tc>
        <w:tc>
          <w:tcPr>
            <w:tcW w:w="4050" w:type="dxa"/>
          </w:tcPr>
          <w:p w14:paraId="1B81B3D2" w14:textId="77777777" w:rsidR="00F71384" w:rsidRDefault="00F71384" w:rsidP="0051588B">
            <w:pPr>
              <w:rPr>
                <w:sz w:val="20"/>
              </w:rPr>
            </w:pPr>
            <w:r>
              <w:rPr>
                <w:sz w:val="20"/>
              </w:rPr>
              <w:t>Statement that the facility has developed and implemented the work practice implementation plan.</w:t>
            </w:r>
          </w:p>
        </w:tc>
        <w:tc>
          <w:tcPr>
            <w:tcW w:w="3870" w:type="dxa"/>
          </w:tcPr>
          <w:p w14:paraId="59DC420D" w14:textId="77777777" w:rsidR="00F71384" w:rsidRDefault="00F71384" w:rsidP="0051588B">
            <w:pPr>
              <w:jc w:val="both"/>
              <w:rPr>
                <w:sz w:val="20"/>
              </w:rPr>
            </w:pPr>
            <w:r>
              <w:rPr>
                <w:sz w:val="20"/>
              </w:rPr>
              <w:t>Statement that during the reporting period, the work practices were followed in accordance with the work practice implementation plan and the inspection and maintenance plan.</w:t>
            </w:r>
          </w:p>
        </w:tc>
      </w:tr>
      <w:tr w:rsidR="00F71384" w14:paraId="287A9F44" w14:textId="77777777" w:rsidTr="0051588B">
        <w:trPr>
          <w:cantSplit/>
          <w:trHeight w:val="345"/>
        </w:trPr>
        <w:tc>
          <w:tcPr>
            <w:tcW w:w="1641" w:type="dxa"/>
            <w:vMerge/>
          </w:tcPr>
          <w:p w14:paraId="098B7E77" w14:textId="77777777" w:rsidR="00F71384" w:rsidRDefault="00F71384" w:rsidP="0051588B">
            <w:pPr>
              <w:jc w:val="both"/>
              <w:rPr>
                <w:sz w:val="20"/>
              </w:rPr>
            </w:pPr>
          </w:p>
        </w:tc>
        <w:tc>
          <w:tcPr>
            <w:tcW w:w="4050" w:type="dxa"/>
            <w:vMerge w:val="restart"/>
          </w:tcPr>
          <w:p w14:paraId="477F42DE" w14:textId="77777777" w:rsidR="00F71384" w:rsidRDefault="00F71384" w:rsidP="0051588B">
            <w:pPr>
              <w:rPr>
                <w:sz w:val="20"/>
              </w:rPr>
            </w:pPr>
            <w:r>
              <w:rPr>
                <w:sz w:val="20"/>
              </w:rPr>
              <w:t>Averaging calculation for month in which compliance date fell.</w:t>
            </w:r>
          </w:p>
        </w:tc>
        <w:tc>
          <w:tcPr>
            <w:tcW w:w="3870" w:type="dxa"/>
          </w:tcPr>
          <w:p w14:paraId="78351BDB" w14:textId="77777777" w:rsidR="00F71384" w:rsidRDefault="00F71384" w:rsidP="0051588B">
            <w:pPr>
              <w:jc w:val="both"/>
              <w:rPr>
                <w:sz w:val="20"/>
              </w:rPr>
            </w:pPr>
            <w:r>
              <w:rPr>
                <w:sz w:val="20"/>
              </w:rPr>
              <w:t>Statement that the facility has met the emission limits every month by using an averaging approach.</w:t>
            </w:r>
          </w:p>
        </w:tc>
      </w:tr>
      <w:tr w:rsidR="00F71384" w14:paraId="43BB96B9" w14:textId="77777777" w:rsidTr="0051588B">
        <w:trPr>
          <w:cantSplit/>
          <w:trHeight w:val="173"/>
        </w:trPr>
        <w:tc>
          <w:tcPr>
            <w:tcW w:w="1641" w:type="dxa"/>
            <w:vMerge/>
          </w:tcPr>
          <w:p w14:paraId="033CAD2D" w14:textId="77777777" w:rsidR="00F71384" w:rsidRDefault="00F71384" w:rsidP="0051588B">
            <w:pPr>
              <w:jc w:val="both"/>
              <w:rPr>
                <w:sz w:val="20"/>
              </w:rPr>
            </w:pPr>
          </w:p>
        </w:tc>
        <w:tc>
          <w:tcPr>
            <w:tcW w:w="4050" w:type="dxa"/>
            <w:vMerge/>
          </w:tcPr>
          <w:p w14:paraId="49CC5709" w14:textId="77777777" w:rsidR="00F71384" w:rsidRDefault="00F71384" w:rsidP="0051588B">
            <w:pPr>
              <w:rPr>
                <w:sz w:val="20"/>
              </w:rPr>
            </w:pPr>
          </w:p>
        </w:tc>
        <w:tc>
          <w:tcPr>
            <w:tcW w:w="3870" w:type="dxa"/>
          </w:tcPr>
          <w:p w14:paraId="3F33DD3F" w14:textId="77777777" w:rsidR="00F71384" w:rsidRDefault="00F71384" w:rsidP="0051588B">
            <w:pPr>
              <w:jc w:val="both"/>
              <w:rPr>
                <w:sz w:val="20"/>
              </w:rPr>
            </w:pPr>
            <w:r>
              <w:rPr>
                <w:sz w:val="20"/>
              </w:rPr>
              <w:t>Averaging calculation for each month in reporting period.</w:t>
            </w:r>
          </w:p>
        </w:tc>
      </w:tr>
      <w:tr w:rsidR="00F71384" w14:paraId="3249664F" w14:textId="77777777" w:rsidTr="0051588B">
        <w:trPr>
          <w:cantSplit/>
          <w:trHeight w:val="172"/>
        </w:trPr>
        <w:tc>
          <w:tcPr>
            <w:tcW w:w="1641" w:type="dxa"/>
            <w:vMerge/>
          </w:tcPr>
          <w:p w14:paraId="0E921313" w14:textId="77777777" w:rsidR="00F71384" w:rsidRDefault="00F71384" w:rsidP="0051588B">
            <w:pPr>
              <w:jc w:val="both"/>
              <w:rPr>
                <w:sz w:val="20"/>
              </w:rPr>
            </w:pPr>
          </w:p>
        </w:tc>
        <w:tc>
          <w:tcPr>
            <w:tcW w:w="4050" w:type="dxa"/>
            <w:vMerge/>
          </w:tcPr>
          <w:p w14:paraId="14F2678B" w14:textId="77777777" w:rsidR="00F71384" w:rsidRDefault="00F71384" w:rsidP="0051588B">
            <w:pPr>
              <w:rPr>
                <w:sz w:val="20"/>
              </w:rPr>
            </w:pPr>
          </w:p>
        </w:tc>
        <w:tc>
          <w:tcPr>
            <w:tcW w:w="3870" w:type="dxa"/>
          </w:tcPr>
          <w:p w14:paraId="327AF658" w14:textId="77777777" w:rsidR="00F71384" w:rsidRDefault="00F71384" w:rsidP="0051588B">
            <w:pPr>
              <w:jc w:val="both"/>
              <w:rPr>
                <w:sz w:val="20"/>
              </w:rPr>
            </w:pPr>
            <w:r>
              <w:rPr>
                <w:sz w:val="20"/>
              </w:rPr>
              <w:t>Identification of dates and reasons for noncompliance.</w:t>
            </w:r>
          </w:p>
        </w:tc>
      </w:tr>
      <w:tr w:rsidR="00F71384" w14:paraId="7BD58450" w14:textId="77777777" w:rsidTr="0051588B">
        <w:trPr>
          <w:cantSplit/>
          <w:trHeight w:val="690"/>
        </w:trPr>
        <w:tc>
          <w:tcPr>
            <w:tcW w:w="1641" w:type="dxa"/>
            <w:vMerge w:val="restart"/>
          </w:tcPr>
          <w:p w14:paraId="44E6C475" w14:textId="77777777" w:rsidR="00F71384" w:rsidRDefault="00F71384" w:rsidP="0051588B">
            <w:pPr>
              <w:jc w:val="both"/>
              <w:rPr>
                <w:sz w:val="20"/>
              </w:rPr>
            </w:pPr>
            <w:r>
              <w:rPr>
                <w:sz w:val="20"/>
              </w:rPr>
              <w:t>Compliant materials</w:t>
            </w:r>
          </w:p>
        </w:tc>
        <w:tc>
          <w:tcPr>
            <w:tcW w:w="4050" w:type="dxa"/>
          </w:tcPr>
          <w:p w14:paraId="640B9B96" w14:textId="77777777" w:rsidR="00F71384" w:rsidRDefault="00F71384" w:rsidP="0051588B">
            <w:pPr>
              <w:jc w:val="both"/>
              <w:rPr>
                <w:sz w:val="20"/>
              </w:rPr>
            </w:pPr>
            <w:r>
              <w:rPr>
                <w:sz w:val="20"/>
              </w:rPr>
              <w:t>Statement that the facility has developed and implemented the work practice implementation plan.</w:t>
            </w:r>
          </w:p>
        </w:tc>
        <w:tc>
          <w:tcPr>
            <w:tcW w:w="3870" w:type="dxa"/>
          </w:tcPr>
          <w:p w14:paraId="2C5CB697" w14:textId="77777777" w:rsidR="00F71384" w:rsidRDefault="00F71384" w:rsidP="0051588B">
            <w:pPr>
              <w:jc w:val="both"/>
              <w:rPr>
                <w:sz w:val="20"/>
              </w:rPr>
            </w:pPr>
            <w:r>
              <w:rPr>
                <w:sz w:val="20"/>
              </w:rPr>
              <w:t>Statement that during the reporting period, the work practices were followed in accordance with the work practice implementation plan and the inspection and maintenance plan.</w:t>
            </w:r>
          </w:p>
        </w:tc>
      </w:tr>
      <w:tr w:rsidR="00F71384" w14:paraId="1B0D9596" w14:textId="77777777" w:rsidTr="0051588B">
        <w:trPr>
          <w:cantSplit/>
          <w:trHeight w:val="345"/>
        </w:trPr>
        <w:tc>
          <w:tcPr>
            <w:tcW w:w="1641" w:type="dxa"/>
            <w:vMerge/>
          </w:tcPr>
          <w:p w14:paraId="4941D983" w14:textId="77777777" w:rsidR="00F71384" w:rsidRDefault="00F71384" w:rsidP="0051588B">
            <w:pPr>
              <w:jc w:val="both"/>
              <w:rPr>
                <w:sz w:val="20"/>
              </w:rPr>
            </w:pPr>
          </w:p>
        </w:tc>
        <w:tc>
          <w:tcPr>
            <w:tcW w:w="4050" w:type="dxa"/>
            <w:vMerge w:val="restart"/>
          </w:tcPr>
          <w:p w14:paraId="7E425885" w14:textId="77777777" w:rsidR="00F71384" w:rsidRDefault="00F71384" w:rsidP="0051588B">
            <w:pPr>
              <w:jc w:val="both"/>
              <w:rPr>
                <w:sz w:val="20"/>
              </w:rPr>
            </w:pPr>
            <w:r>
              <w:rPr>
                <w:sz w:val="20"/>
              </w:rPr>
              <w:t>Statement that the facility is using Compliant coatings, thinners and/or contact adhesives.</w:t>
            </w:r>
          </w:p>
        </w:tc>
        <w:tc>
          <w:tcPr>
            <w:tcW w:w="3870" w:type="dxa"/>
          </w:tcPr>
          <w:p w14:paraId="524ACFAA" w14:textId="77777777" w:rsidR="00F71384" w:rsidRDefault="00F71384" w:rsidP="0051588B">
            <w:pPr>
              <w:jc w:val="both"/>
              <w:rPr>
                <w:sz w:val="20"/>
              </w:rPr>
            </w:pPr>
            <w:r>
              <w:rPr>
                <w:sz w:val="20"/>
              </w:rPr>
              <w:t>Statement that compliant coatings, thinners and/or contact adhesives were used each day in the reporting period.</w:t>
            </w:r>
          </w:p>
        </w:tc>
      </w:tr>
      <w:tr w:rsidR="00F71384" w14:paraId="4CD1E247" w14:textId="77777777" w:rsidTr="0051588B">
        <w:trPr>
          <w:cantSplit/>
          <w:trHeight w:val="345"/>
        </w:trPr>
        <w:tc>
          <w:tcPr>
            <w:tcW w:w="1641" w:type="dxa"/>
            <w:vMerge/>
          </w:tcPr>
          <w:p w14:paraId="73305363" w14:textId="77777777" w:rsidR="00F71384" w:rsidRDefault="00F71384" w:rsidP="0051588B">
            <w:pPr>
              <w:jc w:val="both"/>
              <w:rPr>
                <w:sz w:val="20"/>
              </w:rPr>
            </w:pPr>
          </w:p>
        </w:tc>
        <w:tc>
          <w:tcPr>
            <w:tcW w:w="4050" w:type="dxa"/>
            <w:vMerge/>
          </w:tcPr>
          <w:p w14:paraId="1FFBEA23" w14:textId="77777777" w:rsidR="00F71384" w:rsidRDefault="00F71384" w:rsidP="0051588B">
            <w:pPr>
              <w:jc w:val="both"/>
              <w:rPr>
                <w:sz w:val="20"/>
              </w:rPr>
            </w:pPr>
          </w:p>
        </w:tc>
        <w:tc>
          <w:tcPr>
            <w:tcW w:w="3870" w:type="dxa"/>
          </w:tcPr>
          <w:p w14:paraId="1E520D38" w14:textId="77777777" w:rsidR="00F71384" w:rsidRDefault="00F71384" w:rsidP="0051588B">
            <w:pPr>
              <w:jc w:val="both"/>
              <w:rPr>
                <w:sz w:val="20"/>
              </w:rPr>
            </w:pPr>
            <w:r>
              <w:rPr>
                <w:sz w:val="20"/>
              </w:rPr>
              <w:t>Identification of dates and reasons for noncompliance.</w:t>
            </w:r>
          </w:p>
        </w:tc>
      </w:tr>
      <w:tr w:rsidR="00F71384" w14:paraId="7E484D1E" w14:textId="77777777" w:rsidTr="0051588B">
        <w:trPr>
          <w:cantSplit/>
          <w:trHeight w:val="690"/>
        </w:trPr>
        <w:tc>
          <w:tcPr>
            <w:tcW w:w="1641" w:type="dxa"/>
            <w:vMerge w:val="restart"/>
          </w:tcPr>
          <w:p w14:paraId="2AE29BD4" w14:textId="77777777" w:rsidR="00F71384" w:rsidRDefault="00F71384" w:rsidP="0051588B">
            <w:pPr>
              <w:rPr>
                <w:sz w:val="20"/>
              </w:rPr>
            </w:pPr>
            <w:r>
              <w:rPr>
                <w:sz w:val="20"/>
              </w:rPr>
              <w:t>Continuous coaters used to apply compliant materials</w:t>
            </w:r>
          </w:p>
        </w:tc>
        <w:tc>
          <w:tcPr>
            <w:tcW w:w="4050" w:type="dxa"/>
          </w:tcPr>
          <w:p w14:paraId="5280EC48" w14:textId="77777777" w:rsidR="00F71384" w:rsidRDefault="00F71384" w:rsidP="0051588B">
            <w:pPr>
              <w:jc w:val="both"/>
              <w:rPr>
                <w:sz w:val="20"/>
              </w:rPr>
            </w:pPr>
            <w:r>
              <w:rPr>
                <w:sz w:val="20"/>
              </w:rPr>
              <w:t>Statement that the facility has developed and implemented the work practice implementation plan.</w:t>
            </w:r>
          </w:p>
        </w:tc>
        <w:tc>
          <w:tcPr>
            <w:tcW w:w="3870" w:type="dxa"/>
          </w:tcPr>
          <w:p w14:paraId="36F55EF2" w14:textId="77777777" w:rsidR="00F71384" w:rsidRDefault="00F71384" w:rsidP="0051588B">
            <w:pPr>
              <w:jc w:val="both"/>
              <w:rPr>
                <w:sz w:val="20"/>
              </w:rPr>
            </w:pPr>
            <w:r>
              <w:rPr>
                <w:sz w:val="20"/>
              </w:rPr>
              <w:t>Statement that during the reporting period, the work practices were followed in accordance with the work practice implementation plan and the inspection and maintenance plan.</w:t>
            </w:r>
          </w:p>
        </w:tc>
      </w:tr>
      <w:tr w:rsidR="00F71384" w14:paraId="265C7A03" w14:textId="77777777" w:rsidTr="0051588B">
        <w:trPr>
          <w:cantSplit/>
          <w:trHeight w:val="690"/>
        </w:trPr>
        <w:tc>
          <w:tcPr>
            <w:tcW w:w="1641" w:type="dxa"/>
            <w:vMerge/>
          </w:tcPr>
          <w:p w14:paraId="36C3649F" w14:textId="77777777" w:rsidR="00F71384" w:rsidRDefault="00F71384" w:rsidP="0051588B">
            <w:pPr>
              <w:rPr>
                <w:sz w:val="20"/>
              </w:rPr>
            </w:pPr>
          </w:p>
        </w:tc>
        <w:tc>
          <w:tcPr>
            <w:tcW w:w="4050" w:type="dxa"/>
          </w:tcPr>
          <w:p w14:paraId="00F7F0D2" w14:textId="77777777" w:rsidR="00F71384" w:rsidRDefault="00F71384" w:rsidP="0051588B">
            <w:pPr>
              <w:jc w:val="both"/>
              <w:rPr>
                <w:sz w:val="20"/>
              </w:rPr>
            </w:pPr>
            <w:r>
              <w:rPr>
                <w:sz w:val="20"/>
              </w:rPr>
              <w:t>Statement that the facility is using either:</w:t>
            </w:r>
          </w:p>
          <w:p w14:paraId="42DE5F96" w14:textId="77777777" w:rsidR="00F71384" w:rsidRDefault="00F71384" w:rsidP="0051588B">
            <w:pPr>
              <w:jc w:val="both"/>
              <w:rPr>
                <w:sz w:val="20"/>
              </w:rPr>
            </w:pPr>
          </w:p>
          <w:p w14:paraId="6805D947" w14:textId="45C2768E" w:rsidR="00F71384" w:rsidRDefault="00F71384" w:rsidP="0051588B">
            <w:pPr>
              <w:jc w:val="both"/>
              <w:rPr>
                <w:sz w:val="20"/>
              </w:rPr>
            </w:pPr>
            <w:r>
              <w:rPr>
                <w:sz w:val="20"/>
              </w:rPr>
              <w:t>(1) Compliant materials as determined by the VHAP content of the coating in the reservoir and the calculated VHAP content, and compliant thinners; or</w:t>
            </w:r>
          </w:p>
          <w:p w14:paraId="504AEE57" w14:textId="77777777" w:rsidR="00BA162F" w:rsidRDefault="00BA162F" w:rsidP="0051588B">
            <w:pPr>
              <w:jc w:val="both"/>
              <w:rPr>
                <w:sz w:val="20"/>
              </w:rPr>
            </w:pPr>
          </w:p>
          <w:p w14:paraId="436D71A7" w14:textId="77777777" w:rsidR="00F71384" w:rsidRDefault="00F71384" w:rsidP="0051588B">
            <w:pPr>
              <w:jc w:val="both"/>
              <w:rPr>
                <w:sz w:val="20"/>
              </w:rPr>
            </w:pPr>
            <w:r>
              <w:rPr>
                <w:sz w:val="20"/>
              </w:rPr>
              <w:t>(2) Compliant coatings, thinners and monitoring the viscosity of the coating in the reservoir [also attach data demonstrating the relationship between viscosity and VHAP content of the coating].</w:t>
            </w:r>
          </w:p>
        </w:tc>
        <w:tc>
          <w:tcPr>
            <w:tcW w:w="3870" w:type="dxa"/>
          </w:tcPr>
          <w:p w14:paraId="58ADECFB" w14:textId="77777777" w:rsidR="00F71384" w:rsidRDefault="00F71384" w:rsidP="0051588B">
            <w:pPr>
              <w:jc w:val="both"/>
              <w:rPr>
                <w:sz w:val="20"/>
              </w:rPr>
            </w:pPr>
            <w:r>
              <w:rPr>
                <w:sz w:val="20"/>
              </w:rPr>
              <w:t>Statement that either;</w:t>
            </w:r>
          </w:p>
          <w:p w14:paraId="236946CE" w14:textId="77777777" w:rsidR="00F71384" w:rsidRDefault="00F71384" w:rsidP="0051588B">
            <w:pPr>
              <w:jc w:val="both"/>
              <w:rPr>
                <w:sz w:val="20"/>
              </w:rPr>
            </w:pPr>
          </w:p>
          <w:p w14:paraId="18CE1CB6" w14:textId="664204CC" w:rsidR="00F71384" w:rsidRDefault="00F71384" w:rsidP="0051588B">
            <w:pPr>
              <w:jc w:val="both"/>
              <w:rPr>
                <w:sz w:val="20"/>
              </w:rPr>
            </w:pPr>
            <w:r>
              <w:rPr>
                <w:sz w:val="20"/>
              </w:rPr>
              <w:t>(1) Compliant coatings (as determined by the VHAP content of the coating in the reservoir and the VHAP content of the coating as calculated from records</w:t>
            </w:r>
            <w:r w:rsidR="00E627BB">
              <w:rPr>
                <w:sz w:val="20"/>
              </w:rPr>
              <w:t>),</w:t>
            </w:r>
            <w:r>
              <w:rPr>
                <w:sz w:val="20"/>
              </w:rPr>
              <w:t xml:space="preserve"> and compliant thinners were used each day in the reporting period; or</w:t>
            </w:r>
          </w:p>
          <w:p w14:paraId="3BE74363" w14:textId="77777777" w:rsidR="00BA162F" w:rsidRDefault="00BA162F" w:rsidP="0051588B">
            <w:pPr>
              <w:jc w:val="both"/>
              <w:rPr>
                <w:sz w:val="20"/>
              </w:rPr>
            </w:pPr>
          </w:p>
          <w:p w14:paraId="36303DB9" w14:textId="77777777" w:rsidR="00F71384" w:rsidRDefault="00F71384" w:rsidP="0051588B">
            <w:pPr>
              <w:jc w:val="both"/>
              <w:rPr>
                <w:sz w:val="20"/>
              </w:rPr>
            </w:pPr>
            <w:r>
              <w:rPr>
                <w:sz w:val="20"/>
              </w:rPr>
              <w:t>(2) Compliant coatings (as determined by the VHAP content of the coating in the reservoir) and compliant thinners were used each day in the reporting period, and the viscosity of the coating in the reservoir has not been less than the viscosity of the initial coating.</w:t>
            </w:r>
          </w:p>
          <w:p w14:paraId="73BCA03F" w14:textId="77777777" w:rsidR="00F71384" w:rsidRDefault="00F71384" w:rsidP="0051588B">
            <w:pPr>
              <w:jc w:val="both"/>
              <w:rPr>
                <w:sz w:val="20"/>
              </w:rPr>
            </w:pPr>
            <w:r>
              <w:rPr>
                <w:sz w:val="20"/>
              </w:rPr>
              <w:t>(3) Identification of dates and reasons for noncompliance.</w:t>
            </w:r>
          </w:p>
        </w:tc>
      </w:tr>
      <w:tr w:rsidR="00F71384" w14:paraId="10703608" w14:textId="77777777" w:rsidTr="0051588B">
        <w:trPr>
          <w:cantSplit/>
          <w:trHeight w:val="113"/>
        </w:trPr>
        <w:tc>
          <w:tcPr>
            <w:tcW w:w="1641" w:type="dxa"/>
            <w:vMerge w:val="restart"/>
          </w:tcPr>
          <w:p w14:paraId="44C198EF" w14:textId="77777777" w:rsidR="00F71384" w:rsidRDefault="00F71384" w:rsidP="0051588B">
            <w:pPr>
              <w:jc w:val="both"/>
              <w:rPr>
                <w:sz w:val="20"/>
              </w:rPr>
            </w:pPr>
            <w:r>
              <w:rPr>
                <w:sz w:val="20"/>
              </w:rPr>
              <w:t>Control System</w:t>
            </w:r>
          </w:p>
        </w:tc>
        <w:tc>
          <w:tcPr>
            <w:tcW w:w="4050" w:type="dxa"/>
          </w:tcPr>
          <w:p w14:paraId="5214EC7A" w14:textId="77777777" w:rsidR="00F71384" w:rsidRDefault="00F71384" w:rsidP="0051588B">
            <w:pPr>
              <w:jc w:val="both"/>
              <w:rPr>
                <w:sz w:val="20"/>
              </w:rPr>
            </w:pPr>
            <w:r>
              <w:rPr>
                <w:sz w:val="20"/>
              </w:rPr>
              <w:t>Statement that the facility has developed and implemented the work practice implementation plan.</w:t>
            </w:r>
          </w:p>
        </w:tc>
        <w:tc>
          <w:tcPr>
            <w:tcW w:w="3870" w:type="dxa"/>
          </w:tcPr>
          <w:p w14:paraId="07C0F47E" w14:textId="77777777" w:rsidR="00F71384" w:rsidRDefault="00F71384" w:rsidP="0051588B">
            <w:pPr>
              <w:jc w:val="both"/>
              <w:rPr>
                <w:sz w:val="20"/>
              </w:rPr>
            </w:pPr>
            <w:r>
              <w:rPr>
                <w:sz w:val="20"/>
              </w:rPr>
              <w:t>Statement that during the reporting period, the work practices were followed in accordance with the work practice implementation plan and the inspection and maintenance plan.</w:t>
            </w:r>
          </w:p>
        </w:tc>
      </w:tr>
      <w:tr w:rsidR="00F71384" w14:paraId="5DF79F14" w14:textId="77777777" w:rsidTr="0051588B">
        <w:trPr>
          <w:cantSplit/>
          <w:trHeight w:val="113"/>
        </w:trPr>
        <w:tc>
          <w:tcPr>
            <w:tcW w:w="1641" w:type="dxa"/>
            <w:vMerge/>
          </w:tcPr>
          <w:p w14:paraId="3BD5837C" w14:textId="77777777" w:rsidR="00F71384" w:rsidRDefault="00F71384" w:rsidP="0051588B">
            <w:pPr>
              <w:jc w:val="both"/>
              <w:rPr>
                <w:sz w:val="20"/>
              </w:rPr>
            </w:pPr>
          </w:p>
        </w:tc>
        <w:tc>
          <w:tcPr>
            <w:tcW w:w="4050" w:type="dxa"/>
          </w:tcPr>
          <w:p w14:paraId="0921F6D4" w14:textId="77777777" w:rsidR="00F71384" w:rsidRDefault="00F71384" w:rsidP="0051588B">
            <w:pPr>
              <w:jc w:val="both"/>
              <w:rPr>
                <w:sz w:val="20"/>
              </w:rPr>
            </w:pPr>
            <w:r>
              <w:rPr>
                <w:sz w:val="20"/>
              </w:rPr>
              <w:t>Monitoring plan indemnifying each operating parameter to be monitored and why each parameter is appropriate for demonstrating compliance.</w:t>
            </w:r>
          </w:p>
        </w:tc>
        <w:tc>
          <w:tcPr>
            <w:tcW w:w="3870" w:type="dxa"/>
          </w:tcPr>
          <w:p w14:paraId="7706E121" w14:textId="77777777" w:rsidR="00F71384" w:rsidRDefault="00F71384" w:rsidP="0051588B">
            <w:pPr>
              <w:jc w:val="both"/>
              <w:rPr>
                <w:sz w:val="20"/>
              </w:rPr>
            </w:pPr>
            <w:r>
              <w:rPr>
                <w:sz w:val="20"/>
              </w:rPr>
              <w:t>Statements that capture or control devices have not been operating at daily average values greater than or less than (as appropriate) the operating parameter values established in the initial performance test.</w:t>
            </w:r>
          </w:p>
        </w:tc>
      </w:tr>
      <w:tr w:rsidR="00F71384" w14:paraId="0497EC1D" w14:textId="77777777" w:rsidTr="0051588B">
        <w:trPr>
          <w:cantSplit/>
          <w:trHeight w:val="112"/>
        </w:trPr>
        <w:tc>
          <w:tcPr>
            <w:tcW w:w="1641" w:type="dxa"/>
            <w:vMerge/>
          </w:tcPr>
          <w:p w14:paraId="7F9EB846" w14:textId="77777777" w:rsidR="00F71384" w:rsidRDefault="00F71384" w:rsidP="0051588B">
            <w:pPr>
              <w:jc w:val="both"/>
              <w:rPr>
                <w:sz w:val="20"/>
              </w:rPr>
            </w:pPr>
          </w:p>
        </w:tc>
        <w:tc>
          <w:tcPr>
            <w:tcW w:w="4050" w:type="dxa"/>
          </w:tcPr>
          <w:p w14:paraId="071058DC" w14:textId="77777777" w:rsidR="00F71384" w:rsidRDefault="00F71384" w:rsidP="0051588B">
            <w:pPr>
              <w:jc w:val="both"/>
              <w:rPr>
                <w:sz w:val="20"/>
              </w:rPr>
            </w:pPr>
            <w:r>
              <w:rPr>
                <w:sz w:val="20"/>
              </w:rPr>
              <w:t>Results of initial performance test.</w:t>
            </w:r>
          </w:p>
        </w:tc>
        <w:tc>
          <w:tcPr>
            <w:tcW w:w="3870" w:type="dxa"/>
          </w:tcPr>
          <w:p w14:paraId="192D941D" w14:textId="77777777" w:rsidR="00F71384" w:rsidRDefault="00F71384" w:rsidP="0051588B">
            <w:pPr>
              <w:jc w:val="both"/>
              <w:rPr>
                <w:sz w:val="20"/>
              </w:rPr>
            </w:pPr>
            <w:r>
              <w:rPr>
                <w:sz w:val="20"/>
              </w:rPr>
              <w:t>Identification of dates and reasons for noncompliance.</w:t>
            </w:r>
          </w:p>
        </w:tc>
      </w:tr>
      <w:tr w:rsidR="00F71384" w14:paraId="7471D184" w14:textId="77777777" w:rsidTr="0051588B">
        <w:tc>
          <w:tcPr>
            <w:tcW w:w="1641" w:type="dxa"/>
          </w:tcPr>
          <w:p w14:paraId="5349C443" w14:textId="77777777" w:rsidR="00F71384" w:rsidRDefault="00F71384" w:rsidP="0051588B">
            <w:pPr>
              <w:rPr>
                <w:sz w:val="20"/>
              </w:rPr>
            </w:pPr>
            <w:r>
              <w:rPr>
                <w:sz w:val="20"/>
              </w:rPr>
              <w:t>Combination of compliance methods</w:t>
            </w:r>
          </w:p>
        </w:tc>
        <w:tc>
          <w:tcPr>
            <w:tcW w:w="4050" w:type="dxa"/>
          </w:tcPr>
          <w:p w14:paraId="4FFB333A" w14:textId="77777777" w:rsidR="00F71384" w:rsidRDefault="00F71384" w:rsidP="0051588B">
            <w:pPr>
              <w:jc w:val="both"/>
              <w:rPr>
                <w:sz w:val="20"/>
              </w:rPr>
            </w:pPr>
            <w:r>
              <w:rPr>
                <w:sz w:val="20"/>
              </w:rPr>
              <w:t>Content requirements for each method used.</w:t>
            </w:r>
          </w:p>
        </w:tc>
        <w:tc>
          <w:tcPr>
            <w:tcW w:w="3870" w:type="dxa"/>
          </w:tcPr>
          <w:p w14:paraId="72E91FB1" w14:textId="77777777" w:rsidR="00F71384" w:rsidRDefault="00F71384" w:rsidP="0051588B">
            <w:pPr>
              <w:jc w:val="both"/>
              <w:rPr>
                <w:sz w:val="20"/>
              </w:rPr>
            </w:pPr>
            <w:r>
              <w:rPr>
                <w:sz w:val="20"/>
              </w:rPr>
              <w:t>Content requirements of each method used.</w:t>
            </w:r>
          </w:p>
        </w:tc>
      </w:tr>
    </w:tbl>
    <w:p w14:paraId="5F71C55D" w14:textId="5EB38BA2" w:rsidR="0055359B" w:rsidRDefault="0055359B" w:rsidP="004F09CF">
      <w:pPr>
        <w:jc w:val="both"/>
        <w:rPr>
          <w:sz w:val="20"/>
        </w:rPr>
      </w:pPr>
    </w:p>
    <w:p w14:paraId="2900AD54" w14:textId="77777777" w:rsidR="0055359B" w:rsidRDefault="0055359B">
      <w:pPr>
        <w:rPr>
          <w:sz w:val="20"/>
        </w:rPr>
      </w:pPr>
      <w:r>
        <w:rPr>
          <w:sz w:val="20"/>
        </w:rPr>
        <w:br w:type="page"/>
      </w:r>
    </w:p>
    <w:p w14:paraId="3C3D1895" w14:textId="3DC8E4A7" w:rsidR="0055359B" w:rsidRDefault="0055359B" w:rsidP="0055359B">
      <w:pPr>
        <w:pStyle w:val="Heading2"/>
        <w:numPr>
          <w:ilvl w:val="0"/>
          <w:numId w:val="0"/>
        </w:numPr>
        <w:jc w:val="left"/>
        <w:rPr>
          <w:bCs/>
          <w:sz w:val="22"/>
        </w:rPr>
      </w:pPr>
      <w:bookmarkStart w:id="125" w:name="_Toc330276798"/>
      <w:bookmarkStart w:id="126" w:name="_Toc497806695"/>
      <w:bookmarkStart w:id="127" w:name="_Toc117065712"/>
      <w:r>
        <w:rPr>
          <w:bCs/>
          <w:sz w:val="22"/>
        </w:rPr>
        <w:lastRenderedPageBreak/>
        <w:t xml:space="preserve">Appendix 9.  </w:t>
      </w:r>
      <w:r w:rsidR="00C974B2">
        <w:rPr>
          <w:bCs/>
          <w:sz w:val="22"/>
        </w:rPr>
        <w:t xml:space="preserve">NESHAP for </w:t>
      </w:r>
      <w:r>
        <w:rPr>
          <w:bCs/>
          <w:sz w:val="22"/>
        </w:rPr>
        <w:t xml:space="preserve">Wood Furniture </w:t>
      </w:r>
      <w:r w:rsidR="00C974B2">
        <w:rPr>
          <w:bCs/>
          <w:sz w:val="22"/>
        </w:rPr>
        <w:t>Manufacturing Operations</w:t>
      </w:r>
      <w:bookmarkEnd w:id="125"/>
      <w:bookmarkEnd w:id="126"/>
      <w:bookmarkEnd w:id="127"/>
    </w:p>
    <w:p w14:paraId="0EE4E094" w14:textId="77777777" w:rsidR="0055359B" w:rsidRDefault="0055359B" w:rsidP="0055359B">
      <w:pPr>
        <w:jc w:val="both"/>
        <w:rPr>
          <w:sz w:val="20"/>
        </w:rPr>
      </w:pPr>
    </w:p>
    <w:p w14:paraId="7D883613" w14:textId="77777777" w:rsidR="0055359B" w:rsidRDefault="0055359B" w:rsidP="0055359B">
      <w:pPr>
        <w:jc w:val="both"/>
        <w:rPr>
          <w:sz w:val="20"/>
        </w:rPr>
      </w:pPr>
      <w:r>
        <w:rPr>
          <w:sz w:val="20"/>
        </w:rPr>
        <w:t>The permittee shall use one of the following options as referenced in Flexible Group FG-MACT.</w:t>
      </w:r>
    </w:p>
    <w:p w14:paraId="6D8F6C76" w14:textId="77777777" w:rsidR="0055359B" w:rsidRDefault="0055359B" w:rsidP="0055359B">
      <w:pPr>
        <w:jc w:val="both"/>
        <w:rPr>
          <w:sz w:val="20"/>
        </w:rPr>
      </w:pPr>
    </w:p>
    <w:p w14:paraId="3240EAEC" w14:textId="77777777" w:rsidR="0055359B" w:rsidRDefault="0055359B" w:rsidP="0055359B">
      <w:pPr>
        <w:jc w:val="both"/>
        <w:rPr>
          <w:sz w:val="20"/>
        </w:rPr>
      </w:pPr>
      <w:r>
        <w:rPr>
          <w:sz w:val="20"/>
        </w:rPr>
        <w:t>Finishing Operations:</w:t>
      </w:r>
    </w:p>
    <w:p w14:paraId="7F81238A" w14:textId="77777777" w:rsidR="0055359B" w:rsidRDefault="0055359B" w:rsidP="0055359B">
      <w:pPr>
        <w:jc w:val="both"/>
        <w:rPr>
          <w:sz w:val="20"/>
        </w:rPr>
      </w:pPr>
    </w:p>
    <w:p w14:paraId="183D7419" w14:textId="7BAE4B18" w:rsidR="0055359B" w:rsidRDefault="0055359B" w:rsidP="0055359B">
      <w:pPr>
        <w:jc w:val="both"/>
        <w:rPr>
          <w:sz w:val="20"/>
        </w:rPr>
      </w:pPr>
      <w:r>
        <w:rPr>
          <w:sz w:val="20"/>
          <w:u w:val="single"/>
        </w:rPr>
        <w:t>Option 1:</w:t>
      </w:r>
      <w:r>
        <w:rPr>
          <w:sz w:val="20"/>
        </w:rPr>
        <w:t xml:space="preserve"> </w:t>
      </w:r>
      <w:r w:rsidR="005726F0">
        <w:rPr>
          <w:sz w:val="20"/>
        </w:rPr>
        <w:t xml:space="preserve"> </w:t>
      </w:r>
      <w:r>
        <w:rPr>
          <w:i/>
          <w:sz w:val="20"/>
        </w:rPr>
        <w:t>Averaging Approach</w:t>
      </w:r>
    </w:p>
    <w:p w14:paraId="089BAC71" w14:textId="77777777" w:rsidR="0055359B" w:rsidRDefault="0055359B" w:rsidP="0055359B">
      <w:pPr>
        <w:jc w:val="both"/>
        <w:rPr>
          <w:sz w:val="20"/>
        </w:rPr>
      </w:pPr>
      <w:r>
        <w:rPr>
          <w:sz w:val="20"/>
        </w:rPr>
        <w:t>Use an averaging approach so that the average VHAP content for all finishing materials used at the facility is no greater than 1.0 lb VHAP/lb solids, as applied, for existing sources, and no greater than 0.8 lb VHAP/lb solids, as applied, for new sources.  See Equation 1 in Appendix 7 to calculate the VHAP content.</w:t>
      </w:r>
    </w:p>
    <w:p w14:paraId="573317DB" w14:textId="77777777" w:rsidR="0055359B" w:rsidRDefault="0055359B" w:rsidP="0055359B">
      <w:pPr>
        <w:jc w:val="both"/>
        <w:rPr>
          <w:sz w:val="20"/>
        </w:rPr>
      </w:pPr>
    </w:p>
    <w:p w14:paraId="5E271E39" w14:textId="6883DD50" w:rsidR="0055359B" w:rsidRDefault="0055359B" w:rsidP="0055359B">
      <w:pPr>
        <w:jc w:val="both"/>
        <w:rPr>
          <w:sz w:val="20"/>
        </w:rPr>
      </w:pPr>
      <w:r>
        <w:rPr>
          <w:sz w:val="20"/>
          <w:u w:val="single"/>
        </w:rPr>
        <w:t>Option 2:</w:t>
      </w:r>
      <w:r>
        <w:rPr>
          <w:sz w:val="20"/>
        </w:rPr>
        <w:t xml:space="preserve"> </w:t>
      </w:r>
      <w:r w:rsidR="005726F0">
        <w:rPr>
          <w:sz w:val="20"/>
        </w:rPr>
        <w:t xml:space="preserve"> </w:t>
      </w:r>
      <w:r>
        <w:rPr>
          <w:i/>
          <w:sz w:val="20"/>
        </w:rPr>
        <w:t>Compliant Materials</w:t>
      </w:r>
    </w:p>
    <w:p w14:paraId="1DBF5F9A" w14:textId="77777777" w:rsidR="0055359B" w:rsidRDefault="0055359B" w:rsidP="0055359B">
      <w:pPr>
        <w:jc w:val="both"/>
        <w:rPr>
          <w:sz w:val="20"/>
        </w:rPr>
      </w:pPr>
      <w:r>
        <w:rPr>
          <w:sz w:val="20"/>
        </w:rPr>
        <w:t xml:space="preserve">Use compliant coatings and thinners (those that meet the emission limits in </w:t>
      </w:r>
      <w:r>
        <w:rPr>
          <w:i/>
          <w:sz w:val="20"/>
        </w:rPr>
        <w:t>Table 3 (see below)</w:t>
      </w:r>
      <w:r>
        <w:rPr>
          <w:sz w:val="20"/>
        </w:rPr>
        <w:t>.  Each washcoat, basecoat and enamel that is formulated on-site by thinning another finishing material, must be formulated using a finishing material containing no more than 1.0 lb VHAP/lb solids for existing sources (no more than 0.8 lb VHAP/lb solids for new sources) and a thinner containing no more than 3% VHAP by weight.</w:t>
      </w:r>
    </w:p>
    <w:p w14:paraId="51C36A31" w14:textId="77777777" w:rsidR="0055359B" w:rsidRDefault="0055359B" w:rsidP="0055359B">
      <w:pPr>
        <w:jc w:val="both"/>
        <w:rPr>
          <w:sz w:val="20"/>
        </w:rPr>
      </w:pPr>
    </w:p>
    <w:p w14:paraId="50CDAC12" w14:textId="77777777" w:rsidR="0055359B" w:rsidRDefault="0055359B" w:rsidP="0055359B">
      <w:pPr>
        <w:jc w:val="both"/>
        <w:rPr>
          <w:sz w:val="20"/>
        </w:rPr>
      </w:pPr>
      <w:r>
        <w:rPr>
          <w:sz w:val="20"/>
        </w:rPr>
        <w:t>When using continuous coaters to apply compliant materials, choose one of the following:</w:t>
      </w:r>
    </w:p>
    <w:p w14:paraId="7D4F194F" w14:textId="77777777" w:rsidR="0055359B" w:rsidRDefault="0055359B" w:rsidP="0055359B">
      <w:pPr>
        <w:jc w:val="both"/>
        <w:rPr>
          <w:sz w:val="20"/>
        </w:rPr>
      </w:pPr>
    </w:p>
    <w:p w14:paraId="5E8AE5AE" w14:textId="77777777" w:rsidR="0055359B" w:rsidRDefault="0055359B" w:rsidP="005726F0">
      <w:pPr>
        <w:numPr>
          <w:ilvl w:val="0"/>
          <w:numId w:val="41"/>
        </w:numPr>
        <w:tabs>
          <w:tab w:val="clear" w:pos="720"/>
          <w:tab w:val="num" w:pos="360"/>
        </w:tabs>
        <w:ind w:left="360"/>
        <w:jc w:val="both"/>
        <w:rPr>
          <w:sz w:val="20"/>
        </w:rPr>
      </w:pPr>
      <w:r>
        <w:rPr>
          <w:sz w:val="20"/>
        </w:rPr>
        <w:t>Use compliant coatings as determined by the VHAP content of the coating in the reservoir and the VHAP content as calculated from records and use compliant thinners; or</w:t>
      </w:r>
    </w:p>
    <w:p w14:paraId="119A3954" w14:textId="77777777" w:rsidR="0055359B" w:rsidRDefault="0055359B" w:rsidP="005726F0">
      <w:pPr>
        <w:jc w:val="both"/>
        <w:rPr>
          <w:sz w:val="20"/>
        </w:rPr>
      </w:pPr>
    </w:p>
    <w:p w14:paraId="6495FB51" w14:textId="1BFA5359" w:rsidR="0055359B" w:rsidRDefault="0055359B" w:rsidP="005726F0">
      <w:pPr>
        <w:numPr>
          <w:ilvl w:val="0"/>
          <w:numId w:val="41"/>
        </w:numPr>
        <w:tabs>
          <w:tab w:val="clear" w:pos="720"/>
          <w:tab w:val="num" w:pos="360"/>
        </w:tabs>
        <w:ind w:left="360"/>
        <w:jc w:val="both"/>
        <w:rPr>
          <w:sz w:val="20"/>
        </w:rPr>
      </w:pPr>
      <w:r>
        <w:rPr>
          <w:sz w:val="20"/>
        </w:rPr>
        <w:t xml:space="preserve">Use compliant coatings as determined by the VHAP content of the coating in the reservoir, use compliant thinners and maintain a viscosity of the coating in the reservoir that is no less than the viscosity of the initial coating.  Monitor the viscosity with a viscosity </w:t>
      </w:r>
      <w:r w:rsidR="008D655B">
        <w:rPr>
          <w:sz w:val="20"/>
        </w:rPr>
        <w:t>meter or</w:t>
      </w:r>
      <w:r>
        <w:rPr>
          <w:sz w:val="20"/>
        </w:rPr>
        <w:t xml:space="preserve"> testing the viscosity of the initial coating and retesting the coating in the reservoir each time solvent is added.</w:t>
      </w:r>
    </w:p>
    <w:p w14:paraId="68D74E48" w14:textId="77777777" w:rsidR="0055359B" w:rsidRDefault="0055359B" w:rsidP="0055359B">
      <w:pPr>
        <w:jc w:val="both"/>
        <w:rPr>
          <w:sz w:val="20"/>
        </w:rPr>
      </w:pPr>
    </w:p>
    <w:p w14:paraId="26E303AA" w14:textId="25CE412C" w:rsidR="0055359B" w:rsidRDefault="0055359B" w:rsidP="0055359B">
      <w:pPr>
        <w:jc w:val="both"/>
        <w:rPr>
          <w:sz w:val="20"/>
        </w:rPr>
      </w:pPr>
      <w:r>
        <w:rPr>
          <w:sz w:val="20"/>
          <w:u w:val="single"/>
        </w:rPr>
        <w:t>Option 3:</w:t>
      </w:r>
      <w:r>
        <w:rPr>
          <w:sz w:val="20"/>
        </w:rPr>
        <w:t xml:space="preserve"> </w:t>
      </w:r>
      <w:r w:rsidR="005726F0">
        <w:rPr>
          <w:sz w:val="20"/>
        </w:rPr>
        <w:t xml:space="preserve"> </w:t>
      </w:r>
      <w:r>
        <w:rPr>
          <w:i/>
          <w:sz w:val="20"/>
        </w:rPr>
        <w:t>Control System</w:t>
      </w:r>
    </w:p>
    <w:p w14:paraId="6E104C9F" w14:textId="77777777" w:rsidR="0055359B" w:rsidRDefault="0055359B" w:rsidP="0055359B">
      <w:pPr>
        <w:jc w:val="both"/>
        <w:rPr>
          <w:sz w:val="20"/>
        </w:rPr>
      </w:pPr>
      <w:r>
        <w:rPr>
          <w:sz w:val="20"/>
        </w:rPr>
        <w:t>Use a control system with an overall control efficiency so that the emissions are no greater than 1.0 lb VHAP/lb solids for existing sources and no greater than 0.8 lb VHAP/lb solids for new sources.  See Equation 2 in Appendix 7 to determine the overall control efficiency.  This option requires facilities to conduct an initial performance test and to calculate each operating parameters value that demonstrates compliance with the NESHAP as the arithmetic of the maximum and minimum, as appropriate, of three test runs.</w:t>
      </w:r>
    </w:p>
    <w:p w14:paraId="025874FD" w14:textId="77777777" w:rsidR="0055359B" w:rsidRDefault="0055359B" w:rsidP="0055359B">
      <w:pPr>
        <w:jc w:val="both"/>
        <w:rPr>
          <w:sz w:val="20"/>
        </w:rPr>
      </w:pPr>
    </w:p>
    <w:p w14:paraId="168CBFE4" w14:textId="74A6F92B" w:rsidR="0055359B" w:rsidRDefault="0055359B" w:rsidP="0055359B">
      <w:pPr>
        <w:jc w:val="both"/>
        <w:rPr>
          <w:sz w:val="20"/>
        </w:rPr>
      </w:pPr>
      <w:r>
        <w:rPr>
          <w:sz w:val="20"/>
          <w:u w:val="single"/>
        </w:rPr>
        <w:t>Option 4:</w:t>
      </w:r>
      <w:r w:rsidR="005726F0">
        <w:rPr>
          <w:sz w:val="20"/>
          <w:u w:val="single"/>
        </w:rPr>
        <w:t xml:space="preserve"> </w:t>
      </w:r>
      <w:r>
        <w:rPr>
          <w:sz w:val="20"/>
        </w:rPr>
        <w:t xml:space="preserve"> </w:t>
      </w:r>
      <w:r>
        <w:rPr>
          <w:i/>
          <w:sz w:val="20"/>
        </w:rPr>
        <w:t>Combination of Compliance Methods</w:t>
      </w:r>
    </w:p>
    <w:p w14:paraId="30AA473A" w14:textId="77777777" w:rsidR="0055359B" w:rsidRDefault="0055359B" w:rsidP="0055359B">
      <w:pPr>
        <w:jc w:val="both"/>
        <w:rPr>
          <w:sz w:val="20"/>
        </w:rPr>
      </w:pPr>
      <w:r>
        <w:rPr>
          <w:sz w:val="20"/>
        </w:rPr>
        <w:t>Use any combination of an averaging approach, compliant finishing materials and a control system.</w:t>
      </w:r>
    </w:p>
    <w:p w14:paraId="0F7B4BCC" w14:textId="77777777" w:rsidR="0055359B" w:rsidRDefault="0055359B" w:rsidP="0055359B">
      <w:pPr>
        <w:jc w:val="both"/>
        <w:rPr>
          <w:sz w:val="20"/>
        </w:rPr>
      </w:pPr>
    </w:p>
    <w:p w14:paraId="08178EC7" w14:textId="77777777" w:rsidR="0055359B" w:rsidRDefault="0055359B" w:rsidP="0055359B">
      <w:pPr>
        <w:jc w:val="both"/>
        <w:rPr>
          <w:b/>
          <w:sz w:val="20"/>
        </w:rPr>
      </w:pPr>
      <w:r>
        <w:rPr>
          <w:b/>
          <w:sz w:val="20"/>
        </w:rPr>
        <w:t>Contact Adhesives:</w:t>
      </w:r>
    </w:p>
    <w:p w14:paraId="0ACD2E94" w14:textId="77777777" w:rsidR="0055359B" w:rsidRDefault="0055359B" w:rsidP="0055359B">
      <w:pPr>
        <w:jc w:val="both"/>
        <w:rPr>
          <w:sz w:val="20"/>
        </w:rPr>
      </w:pPr>
    </w:p>
    <w:p w14:paraId="7C80A5C6" w14:textId="44B1CBB3" w:rsidR="0055359B" w:rsidRDefault="0055359B" w:rsidP="0055359B">
      <w:pPr>
        <w:jc w:val="both"/>
        <w:rPr>
          <w:sz w:val="20"/>
        </w:rPr>
      </w:pPr>
      <w:r>
        <w:rPr>
          <w:sz w:val="20"/>
          <w:u w:val="single"/>
        </w:rPr>
        <w:t>Option 1:</w:t>
      </w:r>
      <w:r>
        <w:rPr>
          <w:sz w:val="20"/>
        </w:rPr>
        <w:t xml:space="preserve"> </w:t>
      </w:r>
      <w:r w:rsidR="005726F0">
        <w:rPr>
          <w:sz w:val="20"/>
        </w:rPr>
        <w:t xml:space="preserve"> </w:t>
      </w:r>
      <w:r>
        <w:rPr>
          <w:i/>
          <w:sz w:val="20"/>
        </w:rPr>
        <w:t>Compliant Materials</w:t>
      </w:r>
    </w:p>
    <w:p w14:paraId="6E649E1B" w14:textId="77777777" w:rsidR="0055359B" w:rsidRDefault="0055359B" w:rsidP="0055359B">
      <w:pPr>
        <w:jc w:val="both"/>
        <w:rPr>
          <w:sz w:val="20"/>
        </w:rPr>
      </w:pPr>
      <w:r>
        <w:rPr>
          <w:sz w:val="20"/>
        </w:rPr>
        <w:t>For existing sources using contact foam adhesives in products flammability requirements, use foam adhesives with a VHAP content no greater than 1.8 lb VHAP/lb of solids, as applied.</w:t>
      </w:r>
    </w:p>
    <w:p w14:paraId="25125158" w14:textId="77777777" w:rsidR="0055359B" w:rsidRDefault="0055359B" w:rsidP="0055359B">
      <w:pPr>
        <w:jc w:val="both"/>
        <w:rPr>
          <w:sz w:val="20"/>
        </w:rPr>
      </w:pPr>
    </w:p>
    <w:p w14:paraId="4AC76739" w14:textId="11B779D8" w:rsidR="0055359B" w:rsidRDefault="0055359B" w:rsidP="0055359B">
      <w:pPr>
        <w:jc w:val="both"/>
        <w:rPr>
          <w:sz w:val="20"/>
        </w:rPr>
      </w:pPr>
      <w:r>
        <w:rPr>
          <w:sz w:val="20"/>
        </w:rPr>
        <w:t xml:space="preserve">For all other contact adhesives, use compliant adhesives with VHAP emissions no greater than 1.0 lb VHAP/lb solids, as applied, for existing sources, or no greater than </w:t>
      </w:r>
      <w:r w:rsidR="00762860" w:rsidRPr="0037154B">
        <w:rPr>
          <w:sz w:val="20"/>
        </w:rPr>
        <w:t>0.2</w:t>
      </w:r>
      <w:r w:rsidRPr="0037154B">
        <w:rPr>
          <w:sz w:val="20"/>
        </w:rPr>
        <w:t xml:space="preserve"> lb VHAP/lb of solids,</w:t>
      </w:r>
      <w:r>
        <w:rPr>
          <w:sz w:val="20"/>
        </w:rPr>
        <w:t xml:space="preserve"> as applied, for new sources.</w:t>
      </w:r>
    </w:p>
    <w:p w14:paraId="5ECFCFC5" w14:textId="77777777" w:rsidR="0055359B" w:rsidRDefault="0055359B" w:rsidP="0055359B">
      <w:pPr>
        <w:jc w:val="both"/>
        <w:rPr>
          <w:sz w:val="20"/>
        </w:rPr>
      </w:pPr>
    </w:p>
    <w:p w14:paraId="65629F24" w14:textId="73E06D36" w:rsidR="0055359B" w:rsidRDefault="0055359B" w:rsidP="0055359B">
      <w:pPr>
        <w:jc w:val="both"/>
        <w:rPr>
          <w:sz w:val="20"/>
        </w:rPr>
      </w:pPr>
      <w:r>
        <w:rPr>
          <w:sz w:val="20"/>
          <w:u w:val="single"/>
        </w:rPr>
        <w:t>Option 2:</w:t>
      </w:r>
      <w:r>
        <w:rPr>
          <w:sz w:val="20"/>
        </w:rPr>
        <w:t xml:space="preserve"> </w:t>
      </w:r>
      <w:r w:rsidR="005726F0">
        <w:rPr>
          <w:sz w:val="20"/>
        </w:rPr>
        <w:t xml:space="preserve"> </w:t>
      </w:r>
      <w:r>
        <w:rPr>
          <w:i/>
          <w:sz w:val="20"/>
        </w:rPr>
        <w:t>Control System</w:t>
      </w:r>
    </w:p>
    <w:p w14:paraId="13801B79" w14:textId="27136EF2" w:rsidR="0055359B" w:rsidRDefault="0055359B" w:rsidP="0055359B">
      <w:pPr>
        <w:jc w:val="both"/>
        <w:rPr>
          <w:sz w:val="20"/>
        </w:rPr>
      </w:pPr>
      <w:r>
        <w:rPr>
          <w:sz w:val="20"/>
        </w:rPr>
        <w:t xml:space="preserve">Use a control system with an overall control efficiency so that the VHAP emissions are no greater than 1.0 lb VHAP/ lb of solids for existing sources and no greater </w:t>
      </w:r>
      <w:r w:rsidRPr="0037154B">
        <w:rPr>
          <w:sz w:val="20"/>
        </w:rPr>
        <w:t xml:space="preserve">than </w:t>
      </w:r>
      <w:r w:rsidR="004607A8" w:rsidRPr="0037154B">
        <w:rPr>
          <w:sz w:val="20"/>
        </w:rPr>
        <w:t>0.2</w:t>
      </w:r>
      <w:r w:rsidRPr="0037154B">
        <w:rPr>
          <w:sz w:val="20"/>
        </w:rPr>
        <w:t xml:space="preserve"> lb VHAP/lb solids for</w:t>
      </w:r>
      <w:r>
        <w:rPr>
          <w:sz w:val="20"/>
        </w:rPr>
        <w:t xml:space="preserve"> new sources.  See Equation 3 in Appendix 7 to determine the overall control efficiency.  This option requires facilities to conduct an initial performance test and to calculate each operating parameter value that demonstrates compliance with the NESHAP as the arithmetic average of the maximum or minimum, as appropriate, of three test runs.</w:t>
      </w:r>
    </w:p>
    <w:p w14:paraId="34AA99F2" w14:textId="77777777" w:rsidR="0055359B" w:rsidRDefault="0055359B" w:rsidP="0055359B">
      <w:pPr>
        <w:jc w:val="both"/>
        <w:rPr>
          <w:sz w:val="20"/>
        </w:rPr>
      </w:pPr>
    </w:p>
    <w:p w14:paraId="0FE09A1B" w14:textId="77777777" w:rsidR="0055359B" w:rsidRDefault="0055359B" w:rsidP="0055359B">
      <w:pPr>
        <w:rPr>
          <w:sz w:val="20"/>
        </w:rPr>
      </w:pPr>
      <w:r>
        <w:rPr>
          <w:sz w:val="20"/>
        </w:rPr>
        <w:br w:type="page"/>
      </w:r>
    </w:p>
    <w:p w14:paraId="3684B256" w14:textId="693A78B1" w:rsidR="0055359B" w:rsidRDefault="0055359B" w:rsidP="0055359B">
      <w:pPr>
        <w:jc w:val="both"/>
        <w:rPr>
          <w:b/>
          <w:sz w:val="20"/>
        </w:rPr>
      </w:pPr>
      <w:r>
        <w:rPr>
          <w:b/>
          <w:sz w:val="20"/>
        </w:rPr>
        <w:lastRenderedPageBreak/>
        <w:t>WORK PRACTICE STANDARDS</w:t>
      </w:r>
    </w:p>
    <w:p w14:paraId="033500D6" w14:textId="77777777" w:rsidR="002D6741" w:rsidRDefault="002D6741" w:rsidP="0055359B">
      <w:pPr>
        <w:jc w:val="both"/>
        <w:rPr>
          <w:sz w:val="20"/>
        </w:rPr>
      </w:pPr>
    </w:p>
    <w:p w14:paraId="1BBA4D62" w14:textId="77777777" w:rsidR="0055359B" w:rsidRDefault="0055359B" w:rsidP="0055359B">
      <w:pPr>
        <w:jc w:val="both"/>
        <w:rPr>
          <w:sz w:val="20"/>
        </w:rPr>
      </w:pPr>
      <w:r>
        <w:rPr>
          <w:sz w:val="20"/>
        </w:rPr>
        <w:t>All facilities subject to this NESHAP must comply with the work practice standards’ portion of the regulation.  There are 12 components to the work practice standards including a work practice implementation plan; operator training program; an inspection and maintenance plan; a cleaning and washoff solvent accounting system; chemical composition requirements; spray booth cleaning requirements; storage requirements; application equipment requirements; line cleaning requirements; gun cleaning requirements; washoff operation requirements; a formulation assessment plan for finishing operations.  The requirements for each of these components are described below.  Should there exist any discrepancies between the Wood Furniture NESHAP Standard 40 CFR Part 63, Subpart JJ and this appendix, the Standard shall take precedence.</w:t>
      </w:r>
    </w:p>
    <w:p w14:paraId="55376EA9" w14:textId="77777777" w:rsidR="0055359B" w:rsidRDefault="0055359B" w:rsidP="0055359B">
      <w:pPr>
        <w:jc w:val="both"/>
        <w:rPr>
          <w:sz w:val="20"/>
        </w:rPr>
      </w:pPr>
    </w:p>
    <w:p w14:paraId="4A9D1CDD" w14:textId="1B134358" w:rsidR="0055359B" w:rsidRDefault="0055359B" w:rsidP="005726F0">
      <w:pPr>
        <w:tabs>
          <w:tab w:val="left" w:pos="360"/>
        </w:tabs>
        <w:jc w:val="both"/>
        <w:rPr>
          <w:b/>
          <w:sz w:val="20"/>
        </w:rPr>
      </w:pPr>
      <w:r>
        <w:rPr>
          <w:b/>
          <w:sz w:val="20"/>
        </w:rPr>
        <w:t xml:space="preserve">1.  </w:t>
      </w:r>
      <w:r w:rsidR="005726F0">
        <w:rPr>
          <w:b/>
          <w:sz w:val="20"/>
        </w:rPr>
        <w:tab/>
      </w:r>
      <w:r>
        <w:rPr>
          <w:b/>
          <w:sz w:val="20"/>
        </w:rPr>
        <w:t>Work practice implementation plan</w:t>
      </w:r>
    </w:p>
    <w:p w14:paraId="08693177" w14:textId="5BDF2820" w:rsidR="0055359B" w:rsidRDefault="0055359B" w:rsidP="005726F0">
      <w:pPr>
        <w:tabs>
          <w:tab w:val="left" w:pos="360"/>
        </w:tabs>
        <w:ind w:left="360"/>
        <w:jc w:val="both"/>
        <w:rPr>
          <w:sz w:val="20"/>
        </w:rPr>
      </w:pPr>
      <w:r>
        <w:rPr>
          <w:sz w:val="20"/>
        </w:rPr>
        <w:t>Develop a work practice implementation plan that defines how the other 11 work practice standards are to be implemented.  This plan should include the operator training program, the inspection and maintenance plan, and the formulation assessment plan for finishing operations (these three plans are described below).  The work practice implementation plan must be developed within 60 days after the compliance date.</w:t>
      </w:r>
    </w:p>
    <w:p w14:paraId="469B5A47" w14:textId="77777777" w:rsidR="0055359B" w:rsidRDefault="0055359B" w:rsidP="005726F0">
      <w:pPr>
        <w:tabs>
          <w:tab w:val="left" w:pos="360"/>
        </w:tabs>
        <w:jc w:val="both"/>
        <w:rPr>
          <w:sz w:val="20"/>
        </w:rPr>
      </w:pPr>
    </w:p>
    <w:p w14:paraId="50E32A89" w14:textId="4D0B5A24" w:rsidR="0055359B" w:rsidRDefault="0055359B" w:rsidP="005726F0">
      <w:pPr>
        <w:tabs>
          <w:tab w:val="left" w:pos="360"/>
        </w:tabs>
        <w:jc w:val="both"/>
        <w:rPr>
          <w:b/>
          <w:sz w:val="20"/>
        </w:rPr>
      </w:pPr>
      <w:r>
        <w:rPr>
          <w:b/>
          <w:sz w:val="20"/>
        </w:rPr>
        <w:t xml:space="preserve">2.  </w:t>
      </w:r>
      <w:r w:rsidR="005726F0">
        <w:rPr>
          <w:b/>
          <w:sz w:val="20"/>
        </w:rPr>
        <w:tab/>
      </w:r>
      <w:r>
        <w:rPr>
          <w:b/>
          <w:sz w:val="20"/>
        </w:rPr>
        <w:t>Operator training program</w:t>
      </w:r>
    </w:p>
    <w:p w14:paraId="35E3B452" w14:textId="29329222" w:rsidR="0055359B" w:rsidRDefault="0055359B" w:rsidP="005726F0">
      <w:pPr>
        <w:tabs>
          <w:tab w:val="left" w:pos="360"/>
        </w:tabs>
        <w:ind w:left="360"/>
        <w:jc w:val="both"/>
        <w:rPr>
          <w:sz w:val="20"/>
        </w:rPr>
      </w:pPr>
      <w:r>
        <w:rPr>
          <w:sz w:val="20"/>
        </w:rPr>
        <w:t>Train all personnel who are involved in finishing, gluing, cleaning and washoff operations; use of manufacturing equipment or implementation of the requirements of this regulation.  New personnel (those hired after the compliance date) must be trained upon hiring.  Existing personnel (those hired before the compliance date) must be trained within six months of the compliance date.  All personnel must be given annual refresher training.  The operator training program must include the following:</w:t>
      </w:r>
    </w:p>
    <w:p w14:paraId="7B896C80" w14:textId="77777777" w:rsidR="0055359B" w:rsidRDefault="0055359B" w:rsidP="005726F0">
      <w:pPr>
        <w:numPr>
          <w:ilvl w:val="0"/>
          <w:numId w:val="43"/>
        </w:numPr>
        <w:tabs>
          <w:tab w:val="left" w:pos="360"/>
        </w:tabs>
        <w:jc w:val="both"/>
        <w:rPr>
          <w:sz w:val="20"/>
        </w:rPr>
      </w:pPr>
      <w:r>
        <w:rPr>
          <w:sz w:val="20"/>
        </w:rPr>
        <w:t>A list of all current personnel by name and job description that are required to be trained;</w:t>
      </w:r>
    </w:p>
    <w:p w14:paraId="62146BF9" w14:textId="77777777" w:rsidR="0055359B" w:rsidRDefault="0055359B" w:rsidP="005726F0">
      <w:pPr>
        <w:numPr>
          <w:ilvl w:val="0"/>
          <w:numId w:val="43"/>
        </w:numPr>
        <w:tabs>
          <w:tab w:val="left" w:pos="360"/>
        </w:tabs>
        <w:jc w:val="both"/>
        <w:rPr>
          <w:sz w:val="20"/>
        </w:rPr>
      </w:pPr>
      <w:r>
        <w:rPr>
          <w:sz w:val="20"/>
        </w:rPr>
        <w:t>An outline of subjects to be covered in the initial and refresher training;</w:t>
      </w:r>
    </w:p>
    <w:p w14:paraId="447F2ADD" w14:textId="77777777" w:rsidR="0055359B" w:rsidRDefault="0055359B" w:rsidP="005726F0">
      <w:pPr>
        <w:numPr>
          <w:ilvl w:val="0"/>
          <w:numId w:val="43"/>
        </w:numPr>
        <w:tabs>
          <w:tab w:val="left" w:pos="360"/>
        </w:tabs>
        <w:jc w:val="both"/>
        <w:rPr>
          <w:sz w:val="20"/>
        </w:rPr>
      </w:pPr>
      <w:r>
        <w:rPr>
          <w:sz w:val="20"/>
        </w:rPr>
        <w:t>Lesson plans for the initial and refresher training that include application techniques, cleaning and washoff procedures, equipment setup and adjustment, and management of cleanup wastes; and</w:t>
      </w:r>
    </w:p>
    <w:p w14:paraId="5D9C4057" w14:textId="77777777" w:rsidR="0055359B" w:rsidRDefault="0055359B" w:rsidP="005726F0">
      <w:pPr>
        <w:numPr>
          <w:ilvl w:val="0"/>
          <w:numId w:val="43"/>
        </w:numPr>
        <w:tabs>
          <w:tab w:val="left" w:pos="360"/>
        </w:tabs>
        <w:jc w:val="both"/>
        <w:rPr>
          <w:sz w:val="20"/>
        </w:rPr>
      </w:pPr>
      <w:r>
        <w:rPr>
          <w:sz w:val="20"/>
        </w:rPr>
        <w:t>A description of how the facility will document that personnel have successfully completed the training program.</w:t>
      </w:r>
    </w:p>
    <w:p w14:paraId="4E5D4490" w14:textId="77777777" w:rsidR="0055359B" w:rsidRDefault="0055359B" w:rsidP="005726F0">
      <w:pPr>
        <w:tabs>
          <w:tab w:val="left" w:pos="360"/>
        </w:tabs>
        <w:jc w:val="both"/>
        <w:rPr>
          <w:sz w:val="20"/>
        </w:rPr>
      </w:pPr>
    </w:p>
    <w:p w14:paraId="6B1C24EC" w14:textId="141CF59A" w:rsidR="0055359B" w:rsidRDefault="0055359B" w:rsidP="005726F0">
      <w:pPr>
        <w:tabs>
          <w:tab w:val="left" w:pos="360"/>
        </w:tabs>
        <w:jc w:val="both"/>
        <w:rPr>
          <w:b/>
          <w:sz w:val="20"/>
        </w:rPr>
      </w:pPr>
      <w:r>
        <w:rPr>
          <w:b/>
          <w:sz w:val="20"/>
        </w:rPr>
        <w:t xml:space="preserve">3.  </w:t>
      </w:r>
      <w:r w:rsidR="005726F0">
        <w:rPr>
          <w:b/>
          <w:sz w:val="20"/>
        </w:rPr>
        <w:tab/>
      </w:r>
      <w:r>
        <w:rPr>
          <w:b/>
          <w:sz w:val="20"/>
        </w:rPr>
        <w:t>Inspection and maintenance plan</w:t>
      </w:r>
    </w:p>
    <w:p w14:paraId="31C15F0E" w14:textId="3C2155F8" w:rsidR="0055359B" w:rsidRDefault="0055359B" w:rsidP="005726F0">
      <w:pPr>
        <w:tabs>
          <w:tab w:val="left" w:pos="360"/>
        </w:tabs>
        <w:ind w:left="360"/>
        <w:jc w:val="both"/>
        <w:rPr>
          <w:sz w:val="20"/>
        </w:rPr>
      </w:pPr>
      <w:r>
        <w:rPr>
          <w:sz w:val="20"/>
        </w:rPr>
        <w:t>Prepare a written inspection and maintenance plan that will address equipment leaks.  Each facility is required, at least once a month, to visually inspect all equipment used to transfer or apply finishing coatings, adhesives or organic HAP solvents to ensure that there are no leaks.  The inspection and maintenance plan should specify the following:</w:t>
      </w:r>
    </w:p>
    <w:p w14:paraId="5C97D5BC" w14:textId="77777777" w:rsidR="0055359B" w:rsidRDefault="0055359B" w:rsidP="005726F0">
      <w:pPr>
        <w:numPr>
          <w:ilvl w:val="0"/>
          <w:numId w:val="44"/>
        </w:numPr>
        <w:tabs>
          <w:tab w:val="left" w:pos="360"/>
        </w:tabs>
        <w:jc w:val="both"/>
        <w:rPr>
          <w:sz w:val="20"/>
        </w:rPr>
      </w:pPr>
      <w:r>
        <w:rPr>
          <w:sz w:val="20"/>
        </w:rPr>
        <w:t>An inspection schedule;</w:t>
      </w:r>
    </w:p>
    <w:p w14:paraId="47EF6C15" w14:textId="77777777" w:rsidR="0055359B" w:rsidRDefault="0055359B" w:rsidP="005726F0">
      <w:pPr>
        <w:numPr>
          <w:ilvl w:val="0"/>
          <w:numId w:val="44"/>
        </w:numPr>
        <w:tabs>
          <w:tab w:val="left" w:pos="360"/>
        </w:tabs>
        <w:jc w:val="both"/>
        <w:rPr>
          <w:sz w:val="20"/>
        </w:rPr>
      </w:pPr>
      <w:r>
        <w:rPr>
          <w:sz w:val="20"/>
        </w:rPr>
        <w:t>A method for documenting the date and results of each inspection and any repairs that were made; and</w:t>
      </w:r>
    </w:p>
    <w:p w14:paraId="471232DA" w14:textId="3C5F1778" w:rsidR="0055359B" w:rsidRDefault="0055359B" w:rsidP="005726F0">
      <w:pPr>
        <w:numPr>
          <w:ilvl w:val="0"/>
          <w:numId w:val="44"/>
        </w:numPr>
        <w:tabs>
          <w:tab w:val="left" w:pos="360"/>
        </w:tabs>
        <w:jc w:val="both"/>
        <w:rPr>
          <w:sz w:val="20"/>
        </w:rPr>
      </w:pPr>
      <w:r>
        <w:rPr>
          <w:sz w:val="20"/>
        </w:rPr>
        <w:t xml:space="preserve">A timeframe between identifying a leak and making the repair.  A first attempt at repair must be made no later than 5 </w:t>
      </w:r>
      <w:r w:rsidR="00654E2E">
        <w:rPr>
          <w:sz w:val="20"/>
        </w:rPr>
        <w:t xml:space="preserve">calendar </w:t>
      </w:r>
      <w:r>
        <w:rPr>
          <w:sz w:val="20"/>
        </w:rPr>
        <w:t xml:space="preserve">days after the leak is detected.  Final repairs must be made within 15 </w:t>
      </w:r>
      <w:r w:rsidR="00654E2E">
        <w:rPr>
          <w:sz w:val="20"/>
        </w:rPr>
        <w:t xml:space="preserve">calendar </w:t>
      </w:r>
      <w:r>
        <w:rPr>
          <w:sz w:val="20"/>
        </w:rPr>
        <w:t>days after the leak is detected unless the leaking equipment is going to be replaced, in which case the repairs must be completed within 3 months.</w:t>
      </w:r>
    </w:p>
    <w:p w14:paraId="2035AB24" w14:textId="77777777" w:rsidR="0055359B" w:rsidRDefault="0055359B" w:rsidP="005726F0">
      <w:pPr>
        <w:tabs>
          <w:tab w:val="left" w:pos="360"/>
        </w:tabs>
        <w:jc w:val="both"/>
        <w:rPr>
          <w:sz w:val="20"/>
        </w:rPr>
      </w:pPr>
    </w:p>
    <w:p w14:paraId="45F344AB" w14:textId="65EBDEB6" w:rsidR="0055359B" w:rsidRDefault="0055359B" w:rsidP="005726F0">
      <w:pPr>
        <w:tabs>
          <w:tab w:val="left" w:pos="360"/>
        </w:tabs>
        <w:jc w:val="both"/>
        <w:rPr>
          <w:b/>
          <w:sz w:val="20"/>
        </w:rPr>
      </w:pPr>
      <w:r>
        <w:rPr>
          <w:b/>
          <w:sz w:val="20"/>
        </w:rPr>
        <w:t xml:space="preserve">4.  </w:t>
      </w:r>
      <w:r w:rsidR="005726F0">
        <w:rPr>
          <w:b/>
          <w:sz w:val="20"/>
        </w:rPr>
        <w:tab/>
      </w:r>
      <w:r>
        <w:rPr>
          <w:b/>
          <w:sz w:val="20"/>
        </w:rPr>
        <w:t>Cleaning and washoff solvent accounting system</w:t>
      </w:r>
    </w:p>
    <w:p w14:paraId="209E1DA1" w14:textId="3C8C6A9A" w:rsidR="0055359B" w:rsidRDefault="0055359B" w:rsidP="005726F0">
      <w:pPr>
        <w:tabs>
          <w:tab w:val="left" w:pos="360"/>
        </w:tabs>
        <w:ind w:left="360"/>
        <w:jc w:val="both"/>
        <w:rPr>
          <w:sz w:val="20"/>
        </w:rPr>
      </w:pPr>
      <w:r>
        <w:rPr>
          <w:sz w:val="20"/>
        </w:rPr>
        <w:t>Develop an accounting system to record the quantity and type of an organic HAP solvent used each month for washoff and cleaning to include: the number of pieces washed off and the reason for the washoff; the quantity of spent solvent generated from each washoff and cleaning operation each month; and whether the solvent is recycled on-site or disposed off-site.</w:t>
      </w:r>
    </w:p>
    <w:p w14:paraId="6CE3643B" w14:textId="77777777" w:rsidR="0055359B" w:rsidRDefault="0055359B" w:rsidP="005726F0">
      <w:pPr>
        <w:tabs>
          <w:tab w:val="left" w:pos="360"/>
        </w:tabs>
        <w:jc w:val="both"/>
        <w:rPr>
          <w:sz w:val="20"/>
        </w:rPr>
      </w:pPr>
    </w:p>
    <w:p w14:paraId="6A8914DB" w14:textId="71E26B70" w:rsidR="0055359B" w:rsidRDefault="0055359B" w:rsidP="005726F0">
      <w:pPr>
        <w:tabs>
          <w:tab w:val="left" w:pos="360"/>
        </w:tabs>
        <w:jc w:val="both"/>
        <w:rPr>
          <w:b/>
          <w:sz w:val="20"/>
        </w:rPr>
      </w:pPr>
      <w:r>
        <w:rPr>
          <w:b/>
          <w:sz w:val="20"/>
        </w:rPr>
        <w:t xml:space="preserve">5.  </w:t>
      </w:r>
      <w:r w:rsidR="005726F0">
        <w:rPr>
          <w:b/>
          <w:sz w:val="20"/>
        </w:rPr>
        <w:tab/>
      </w:r>
      <w:r>
        <w:rPr>
          <w:b/>
          <w:sz w:val="20"/>
        </w:rPr>
        <w:t>Chemical composition requirements</w:t>
      </w:r>
    </w:p>
    <w:p w14:paraId="27F20547" w14:textId="4528B908" w:rsidR="0055359B" w:rsidRDefault="0055359B" w:rsidP="005726F0">
      <w:pPr>
        <w:tabs>
          <w:tab w:val="left" w:pos="360"/>
        </w:tabs>
        <w:ind w:left="360"/>
        <w:jc w:val="both"/>
        <w:rPr>
          <w:sz w:val="20"/>
        </w:rPr>
      </w:pPr>
      <w:r>
        <w:rPr>
          <w:sz w:val="20"/>
        </w:rPr>
        <w:t xml:space="preserve">Do not use cleaning and washoff solvents that contain any of the pollutants listed in </w:t>
      </w:r>
      <w:r>
        <w:rPr>
          <w:i/>
          <w:sz w:val="20"/>
        </w:rPr>
        <w:t>Table 4</w:t>
      </w:r>
      <w:r>
        <w:rPr>
          <w:sz w:val="20"/>
        </w:rPr>
        <w:t xml:space="preserve"> of 40 CFR </w:t>
      </w:r>
      <w:r w:rsidR="002819A1">
        <w:rPr>
          <w:sz w:val="20"/>
        </w:rPr>
        <w:t>Subpart JJ</w:t>
      </w:r>
      <w:r>
        <w:rPr>
          <w:sz w:val="20"/>
        </w:rPr>
        <w:t xml:space="preserve"> in concentrations greater than 1% for noncarcinogenic volatile hazardous air pollutants (VHAPs), or greater than 0.1% for carcinogenic VHAPs as required for reporting on all material safety data sheets (MSDS).</w:t>
      </w:r>
    </w:p>
    <w:p w14:paraId="0AC147F8" w14:textId="77777777" w:rsidR="0055359B" w:rsidRDefault="0055359B" w:rsidP="005726F0">
      <w:pPr>
        <w:tabs>
          <w:tab w:val="left" w:pos="360"/>
        </w:tabs>
        <w:rPr>
          <w:sz w:val="20"/>
        </w:rPr>
      </w:pPr>
      <w:r>
        <w:rPr>
          <w:sz w:val="20"/>
        </w:rPr>
        <w:br w:type="page"/>
      </w:r>
    </w:p>
    <w:p w14:paraId="33F29A09" w14:textId="77777777" w:rsidR="0055359B" w:rsidRDefault="0055359B" w:rsidP="005726F0">
      <w:pPr>
        <w:tabs>
          <w:tab w:val="left" w:pos="360"/>
        </w:tabs>
        <w:jc w:val="both"/>
        <w:rPr>
          <w:sz w:val="20"/>
        </w:rPr>
      </w:pPr>
    </w:p>
    <w:p w14:paraId="7D0C13CC" w14:textId="6A5AA564" w:rsidR="0055359B" w:rsidRDefault="0055359B" w:rsidP="005726F0">
      <w:pPr>
        <w:tabs>
          <w:tab w:val="left" w:pos="360"/>
        </w:tabs>
        <w:jc w:val="both"/>
        <w:rPr>
          <w:b/>
          <w:sz w:val="20"/>
        </w:rPr>
      </w:pPr>
      <w:r>
        <w:rPr>
          <w:b/>
          <w:sz w:val="20"/>
        </w:rPr>
        <w:t xml:space="preserve">6. </w:t>
      </w:r>
      <w:r w:rsidR="005726F0">
        <w:rPr>
          <w:b/>
          <w:sz w:val="20"/>
        </w:rPr>
        <w:tab/>
      </w:r>
      <w:r>
        <w:rPr>
          <w:b/>
          <w:sz w:val="20"/>
        </w:rPr>
        <w:t>Spray booth cleaning requirements</w:t>
      </w:r>
    </w:p>
    <w:p w14:paraId="536072B8" w14:textId="227CB9EB" w:rsidR="0055359B" w:rsidRDefault="0055359B" w:rsidP="005726F0">
      <w:pPr>
        <w:tabs>
          <w:tab w:val="left" w:pos="360"/>
        </w:tabs>
        <w:ind w:left="360"/>
        <w:jc w:val="both"/>
        <w:rPr>
          <w:sz w:val="20"/>
        </w:rPr>
      </w:pPr>
      <w:r>
        <w:rPr>
          <w:sz w:val="20"/>
        </w:rPr>
        <w:t>To clean spray booth components other than conveyors, continuous coaters and their enclosures, or metal filters, do not use compounds containing more than 8% by weight of volatile organic compounds (VOCs) unless the booth is being refurbished.  If the spray booth is being refurbished (the coating or other protective material used to cover the booth is being replaced), do not use more than 1.0 gallon of organic HAP solvent per booth to prepare the surface of the booth prior to applying the booth coating.</w:t>
      </w:r>
    </w:p>
    <w:p w14:paraId="361DCF31" w14:textId="77777777" w:rsidR="0055359B" w:rsidRDefault="0055359B" w:rsidP="005726F0">
      <w:pPr>
        <w:tabs>
          <w:tab w:val="left" w:pos="360"/>
        </w:tabs>
        <w:jc w:val="both"/>
        <w:rPr>
          <w:sz w:val="20"/>
        </w:rPr>
      </w:pPr>
    </w:p>
    <w:p w14:paraId="30A2562E" w14:textId="25F5325B" w:rsidR="0055359B" w:rsidRDefault="0055359B" w:rsidP="005726F0">
      <w:pPr>
        <w:tabs>
          <w:tab w:val="left" w:pos="360"/>
        </w:tabs>
        <w:jc w:val="both"/>
        <w:rPr>
          <w:b/>
          <w:sz w:val="20"/>
        </w:rPr>
      </w:pPr>
      <w:r>
        <w:rPr>
          <w:b/>
          <w:sz w:val="20"/>
        </w:rPr>
        <w:t xml:space="preserve">7.  </w:t>
      </w:r>
      <w:r w:rsidR="005726F0">
        <w:rPr>
          <w:b/>
          <w:sz w:val="20"/>
        </w:rPr>
        <w:tab/>
      </w:r>
      <w:r>
        <w:rPr>
          <w:b/>
          <w:sz w:val="20"/>
        </w:rPr>
        <w:t>Storage requirements</w:t>
      </w:r>
    </w:p>
    <w:p w14:paraId="5ED0F235" w14:textId="54B9875D" w:rsidR="0055359B" w:rsidRDefault="005726F0" w:rsidP="005726F0">
      <w:pPr>
        <w:tabs>
          <w:tab w:val="left" w:pos="360"/>
        </w:tabs>
        <w:jc w:val="both"/>
        <w:rPr>
          <w:sz w:val="20"/>
        </w:rPr>
      </w:pPr>
      <w:r>
        <w:rPr>
          <w:sz w:val="20"/>
        </w:rPr>
        <w:tab/>
      </w:r>
      <w:r w:rsidR="0055359B">
        <w:rPr>
          <w:sz w:val="20"/>
        </w:rPr>
        <w:t xml:space="preserve">Store finishing, gluing, cleaning and washoff materials in normally </w:t>
      </w:r>
      <w:r w:rsidR="0055359B">
        <w:rPr>
          <w:b/>
          <w:sz w:val="20"/>
        </w:rPr>
        <w:t>closed containers</w:t>
      </w:r>
      <w:r w:rsidR="0055359B">
        <w:rPr>
          <w:sz w:val="20"/>
        </w:rPr>
        <w:t>.</w:t>
      </w:r>
    </w:p>
    <w:p w14:paraId="10E8D0BF" w14:textId="77777777" w:rsidR="0055359B" w:rsidRDefault="0055359B" w:rsidP="005726F0">
      <w:pPr>
        <w:tabs>
          <w:tab w:val="left" w:pos="360"/>
        </w:tabs>
        <w:jc w:val="both"/>
        <w:rPr>
          <w:sz w:val="20"/>
        </w:rPr>
      </w:pPr>
    </w:p>
    <w:p w14:paraId="4E9CDBAB" w14:textId="4A99998F" w:rsidR="0055359B" w:rsidRDefault="0055359B" w:rsidP="005726F0">
      <w:pPr>
        <w:tabs>
          <w:tab w:val="left" w:pos="360"/>
        </w:tabs>
        <w:jc w:val="both"/>
        <w:rPr>
          <w:b/>
          <w:sz w:val="20"/>
        </w:rPr>
      </w:pPr>
      <w:r>
        <w:rPr>
          <w:b/>
          <w:sz w:val="20"/>
        </w:rPr>
        <w:t xml:space="preserve">8.  </w:t>
      </w:r>
      <w:r w:rsidR="005726F0">
        <w:rPr>
          <w:b/>
          <w:sz w:val="20"/>
        </w:rPr>
        <w:tab/>
      </w:r>
      <w:r>
        <w:rPr>
          <w:b/>
          <w:sz w:val="20"/>
        </w:rPr>
        <w:t>Application equipment requirements</w:t>
      </w:r>
    </w:p>
    <w:p w14:paraId="6B13DB3B" w14:textId="451F16C6" w:rsidR="0055359B" w:rsidRDefault="005726F0" w:rsidP="005726F0">
      <w:pPr>
        <w:tabs>
          <w:tab w:val="left" w:pos="360"/>
        </w:tabs>
        <w:jc w:val="both"/>
        <w:rPr>
          <w:sz w:val="20"/>
        </w:rPr>
      </w:pPr>
      <w:r>
        <w:rPr>
          <w:sz w:val="20"/>
        </w:rPr>
        <w:tab/>
      </w:r>
      <w:r w:rsidR="00130B35">
        <w:rPr>
          <w:sz w:val="20"/>
        </w:rPr>
        <w:t xml:space="preserve">Do not </w:t>
      </w:r>
      <w:r w:rsidR="0055359B">
        <w:rPr>
          <w:sz w:val="20"/>
        </w:rPr>
        <w:t xml:space="preserve">use </w:t>
      </w:r>
      <w:r w:rsidR="0055359B">
        <w:rPr>
          <w:b/>
          <w:sz w:val="20"/>
        </w:rPr>
        <w:t>conventional air spray</w:t>
      </w:r>
      <w:r w:rsidR="0055359B">
        <w:rPr>
          <w:sz w:val="20"/>
        </w:rPr>
        <w:t xml:space="preserve"> guns </w:t>
      </w:r>
    </w:p>
    <w:p w14:paraId="73CE497C" w14:textId="77777777" w:rsidR="0055359B" w:rsidRDefault="0055359B" w:rsidP="005726F0">
      <w:pPr>
        <w:tabs>
          <w:tab w:val="left" w:pos="360"/>
        </w:tabs>
        <w:jc w:val="both"/>
        <w:rPr>
          <w:sz w:val="20"/>
        </w:rPr>
      </w:pPr>
    </w:p>
    <w:p w14:paraId="4BE61F58" w14:textId="6C8AE807" w:rsidR="0055359B" w:rsidRDefault="0055359B" w:rsidP="005726F0">
      <w:pPr>
        <w:tabs>
          <w:tab w:val="left" w:pos="360"/>
        </w:tabs>
        <w:jc w:val="both"/>
        <w:rPr>
          <w:b/>
          <w:sz w:val="20"/>
        </w:rPr>
      </w:pPr>
      <w:r>
        <w:rPr>
          <w:b/>
          <w:sz w:val="20"/>
        </w:rPr>
        <w:t xml:space="preserve">9.  </w:t>
      </w:r>
      <w:r w:rsidR="005726F0">
        <w:rPr>
          <w:b/>
          <w:sz w:val="20"/>
        </w:rPr>
        <w:tab/>
      </w:r>
      <w:r>
        <w:rPr>
          <w:b/>
          <w:sz w:val="20"/>
        </w:rPr>
        <w:t>Line cleaning requirements</w:t>
      </w:r>
    </w:p>
    <w:p w14:paraId="564D5234" w14:textId="27F44E4E" w:rsidR="0055359B" w:rsidRDefault="005726F0" w:rsidP="005726F0">
      <w:pPr>
        <w:tabs>
          <w:tab w:val="left" w:pos="360"/>
        </w:tabs>
        <w:jc w:val="both"/>
        <w:rPr>
          <w:sz w:val="20"/>
        </w:rPr>
      </w:pPr>
      <w:r>
        <w:rPr>
          <w:sz w:val="20"/>
        </w:rPr>
        <w:tab/>
      </w:r>
      <w:r w:rsidR="0055359B">
        <w:rPr>
          <w:sz w:val="20"/>
        </w:rPr>
        <w:t xml:space="preserve">Pump or drain all organic HAP solvent used for line cleaning into a normally </w:t>
      </w:r>
      <w:r w:rsidR="0055359B">
        <w:rPr>
          <w:b/>
          <w:sz w:val="20"/>
        </w:rPr>
        <w:t>closed container</w:t>
      </w:r>
      <w:r w:rsidR="0055359B">
        <w:rPr>
          <w:sz w:val="20"/>
        </w:rPr>
        <w:t>.</w:t>
      </w:r>
    </w:p>
    <w:p w14:paraId="6F57698F" w14:textId="77777777" w:rsidR="0055359B" w:rsidRDefault="0055359B" w:rsidP="005726F0">
      <w:pPr>
        <w:tabs>
          <w:tab w:val="left" w:pos="360"/>
        </w:tabs>
        <w:jc w:val="both"/>
        <w:rPr>
          <w:sz w:val="20"/>
        </w:rPr>
      </w:pPr>
    </w:p>
    <w:p w14:paraId="07797688" w14:textId="43EC70B5" w:rsidR="0055359B" w:rsidRDefault="0055359B" w:rsidP="005726F0">
      <w:pPr>
        <w:tabs>
          <w:tab w:val="left" w:pos="360"/>
        </w:tabs>
        <w:jc w:val="both"/>
        <w:rPr>
          <w:b/>
          <w:sz w:val="20"/>
        </w:rPr>
      </w:pPr>
      <w:r>
        <w:rPr>
          <w:b/>
          <w:sz w:val="20"/>
        </w:rPr>
        <w:t xml:space="preserve">10. </w:t>
      </w:r>
      <w:r w:rsidR="005726F0">
        <w:rPr>
          <w:b/>
          <w:sz w:val="20"/>
        </w:rPr>
        <w:tab/>
      </w:r>
      <w:r>
        <w:rPr>
          <w:b/>
          <w:sz w:val="20"/>
        </w:rPr>
        <w:t>Gun cleaning requirements</w:t>
      </w:r>
    </w:p>
    <w:p w14:paraId="59C50251" w14:textId="60ACA8FE" w:rsidR="0055359B" w:rsidRDefault="005726F0" w:rsidP="005726F0">
      <w:pPr>
        <w:tabs>
          <w:tab w:val="left" w:pos="360"/>
        </w:tabs>
        <w:jc w:val="both"/>
        <w:rPr>
          <w:sz w:val="20"/>
        </w:rPr>
      </w:pPr>
      <w:r>
        <w:rPr>
          <w:sz w:val="20"/>
        </w:rPr>
        <w:tab/>
      </w:r>
      <w:r w:rsidR="0055359B">
        <w:rPr>
          <w:sz w:val="20"/>
        </w:rPr>
        <w:t xml:space="preserve">Collect all organic HAP solvent used to clean spray guns in a normally </w:t>
      </w:r>
      <w:r w:rsidR="0055359B">
        <w:rPr>
          <w:b/>
          <w:sz w:val="20"/>
        </w:rPr>
        <w:t>closed container</w:t>
      </w:r>
      <w:r w:rsidR="0055359B">
        <w:rPr>
          <w:sz w:val="20"/>
        </w:rPr>
        <w:t>.</w:t>
      </w:r>
    </w:p>
    <w:p w14:paraId="75F6BF21" w14:textId="77777777" w:rsidR="0055359B" w:rsidRDefault="0055359B" w:rsidP="005726F0">
      <w:pPr>
        <w:tabs>
          <w:tab w:val="left" w:pos="360"/>
        </w:tabs>
        <w:jc w:val="both"/>
        <w:rPr>
          <w:sz w:val="20"/>
        </w:rPr>
      </w:pPr>
    </w:p>
    <w:p w14:paraId="160F4FCC" w14:textId="77777777" w:rsidR="0055359B" w:rsidRDefault="0055359B" w:rsidP="005726F0">
      <w:pPr>
        <w:tabs>
          <w:tab w:val="left" w:pos="360"/>
        </w:tabs>
        <w:jc w:val="both"/>
        <w:rPr>
          <w:b/>
          <w:sz w:val="20"/>
        </w:rPr>
      </w:pPr>
      <w:r>
        <w:rPr>
          <w:b/>
          <w:sz w:val="20"/>
        </w:rPr>
        <w:t>11.  Washoff operation requirements</w:t>
      </w:r>
    </w:p>
    <w:p w14:paraId="647513DB" w14:textId="44CF9E18" w:rsidR="0055359B" w:rsidRDefault="0055359B" w:rsidP="005726F0">
      <w:pPr>
        <w:tabs>
          <w:tab w:val="left" w:pos="360"/>
        </w:tabs>
        <w:ind w:left="360"/>
        <w:jc w:val="both"/>
        <w:rPr>
          <w:sz w:val="20"/>
        </w:rPr>
      </w:pPr>
      <w:r>
        <w:rPr>
          <w:sz w:val="20"/>
        </w:rPr>
        <w:t xml:space="preserve">Control the emissions from washoff operations by using </w:t>
      </w:r>
      <w:r>
        <w:rPr>
          <w:b/>
          <w:sz w:val="20"/>
        </w:rPr>
        <w:t>closed tanks</w:t>
      </w:r>
      <w:r>
        <w:rPr>
          <w:sz w:val="20"/>
        </w:rPr>
        <w:t xml:space="preserve"> for washoff and tilting or rotating the part to drain as much solvent as possible.</w:t>
      </w:r>
    </w:p>
    <w:p w14:paraId="7A87B516" w14:textId="77777777" w:rsidR="0055359B" w:rsidRDefault="0055359B" w:rsidP="005726F0">
      <w:pPr>
        <w:tabs>
          <w:tab w:val="left" w:pos="360"/>
        </w:tabs>
        <w:jc w:val="both"/>
        <w:rPr>
          <w:sz w:val="20"/>
        </w:rPr>
      </w:pPr>
    </w:p>
    <w:p w14:paraId="433B08D9" w14:textId="77777777" w:rsidR="0055359B" w:rsidRDefault="0055359B" w:rsidP="005726F0">
      <w:pPr>
        <w:tabs>
          <w:tab w:val="left" w:pos="360"/>
        </w:tabs>
        <w:jc w:val="both"/>
        <w:rPr>
          <w:b/>
          <w:sz w:val="20"/>
        </w:rPr>
      </w:pPr>
      <w:r>
        <w:rPr>
          <w:b/>
          <w:sz w:val="20"/>
        </w:rPr>
        <w:t>12.  Formulation assessment plan for finishing operations</w:t>
      </w:r>
    </w:p>
    <w:p w14:paraId="4ACF5069" w14:textId="0F8030D8" w:rsidR="0055359B" w:rsidRDefault="0055359B" w:rsidP="005726F0">
      <w:pPr>
        <w:tabs>
          <w:tab w:val="left" w:pos="360"/>
        </w:tabs>
        <w:ind w:left="360"/>
        <w:jc w:val="both"/>
        <w:rPr>
          <w:sz w:val="20"/>
        </w:rPr>
      </w:pPr>
      <w:r>
        <w:rPr>
          <w:sz w:val="20"/>
        </w:rPr>
        <w:t xml:space="preserve">Prepare a formulation assessment plan for finishing operations to keep track of volatile hazardous air pollutants (VHAPs).  The VHAPs discussed in this section are only those listed in </w:t>
      </w:r>
      <w:r>
        <w:rPr>
          <w:i/>
          <w:sz w:val="20"/>
        </w:rPr>
        <w:t>Table 5</w:t>
      </w:r>
      <w:r>
        <w:rPr>
          <w:sz w:val="20"/>
        </w:rPr>
        <w:t xml:space="preserve"> of 40 CFR </w:t>
      </w:r>
      <w:r w:rsidR="00544560">
        <w:rPr>
          <w:sz w:val="20"/>
        </w:rPr>
        <w:t xml:space="preserve">subpart JJ </w:t>
      </w:r>
      <w:r>
        <w:rPr>
          <w:sz w:val="20"/>
        </w:rPr>
        <w:t>and are called VHAPs of potential concern.  The formulation assessment plan for finishing operations should do all of the following:</w:t>
      </w:r>
    </w:p>
    <w:p w14:paraId="0E4CB559" w14:textId="77777777" w:rsidR="0055359B" w:rsidRDefault="0055359B" w:rsidP="005726F0">
      <w:pPr>
        <w:tabs>
          <w:tab w:val="left" w:pos="360"/>
        </w:tabs>
        <w:jc w:val="both"/>
        <w:rPr>
          <w:sz w:val="20"/>
        </w:rPr>
      </w:pPr>
    </w:p>
    <w:p w14:paraId="2FD5CBB5" w14:textId="1C032988" w:rsidR="0055359B" w:rsidRDefault="0055359B" w:rsidP="005726F0">
      <w:pPr>
        <w:numPr>
          <w:ilvl w:val="0"/>
          <w:numId w:val="45"/>
        </w:numPr>
        <w:tabs>
          <w:tab w:val="left" w:pos="360"/>
        </w:tabs>
        <w:jc w:val="both"/>
        <w:rPr>
          <w:sz w:val="20"/>
        </w:rPr>
      </w:pPr>
      <w:r>
        <w:rPr>
          <w:sz w:val="20"/>
        </w:rPr>
        <w:t xml:space="preserve">Identify the VHAPs from Table 5 of 40 CFR </w:t>
      </w:r>
      <w:r w:rsidR="00544560">
        <w:rPr>
          <w:sz w:val="20"/>
        </w:rPr>
        <w:t>subpart JJ</w:t>
      </w:r>
      <w:r>
        <w:rPr>
          <w:sz w:val="20"/>
        </w:rPr>
        <w:t xml:space="preserve"> that are being used in finishing operations.</w:t>
      </w:r>
    </w:p>
    <w:p w14:paraId="37F4B752" w14:textId="77777777" w:rsidR="0055359B" w:rsidRDefault="0055359B" w:rsidP="005726F0">
      <w:pPr>
        <w:numPr>
          <w:ilvl w:val="0"/>
          <w:numId w:val="45"/>
        </w:numPr>
        <w:tabs>
          <w:tab w:val="left" w:pos="360"/>
        </w:tabs>
        <w:jc w:val="both"/>
        <w:rPr>
          <w:sz w:val="20"/>
        </w:rPr>
      </w:pPr>
      <w:r>
        <w:rPr>
          <w:sz w:val="20"/>
        </w:rPr>
        <w:t>Establish a baseline level of usage for each VHAP used at the facility.  The baseline usage level is the highest annual usage from 1994, 1995, and 1996 for each VHAP.</w:t>
      </w:r>
    </w:p>
    <w:p w14:paraId="42299317" w14:textId="77777777" w:rsidR="0055359B" w:rsidRDefault="0055359B" w:rsidP="005726F0">
      <w:pPr>
        <w:numPr>
          <w:ilvl w:val="0"/>
          <w:numId w:val="45"/>
        </w:numPr>
        <w:tabs>
          <w:tab w:val="left" w:pos="360"/>
        </w:tabs>
        <w:jc w:val="both"/>
        <w:rPr>
          <w:sz w:val="20"/>
        </w:rPr>
      </w:pPr>
      <w:r>
        <w:rPr>
          <w:sz w:val="20"/>
        </w:rPr>
        <w:t xml:space="preserve">Track the annual usage of each VHAP that is present in amounts greater than 1% for noncarcinogenic VHAPs or greater than 0.1% for carcinogenic VHAPs as </w:t>
      </w:r>
      <w:proofErr w:type="gramStart"/>
      <w:r>
        <w:rPr>
          <w:sz w:val="20"/>
        </w:rPr>
        <w:t>required, or</w:t>
      </w:r>
      <w:proofErr w:type="gramEnd"/>
      <w:r>
        <w:rPr>
          <w:sz w:val="20"/>
        </w:rPr>
        <w:t xml:space="preserve"> reporting on all material safety data sheet (MSDS).</w:t>
      </w:r>
    </w:p>
    <w:p w14:paraId="4FFCAC13" w14:textId="02ED6680" w:rsidR="0055359B" w:rsidRDefault="0055359B" w:rsidP="005726F0">
      <w:pPr>
        <w:numPr>
          <w:ilvl w:val="0"/>
          <w:numId w:val="45"/>
        </w:numPr>
        <w:tabs>
          <w:tab w:val="left" w:pos="360"/>
        </w:tabs>
        <w:jc w:val="both"/>
        <w:rPr>
          <w:sz w:val="20"/>
        </w:rPr>
      </w:pPr>
      <w:r>
        <w:rPr>
          <w:sz w:val="20"/>
        </w:rPr>
        <w:t xml:space="preserve">If after November, 1998, the annual usage of VHAP exceeds its baseline level, provide a written notification to the Michigan </w:t>
      </w:r>
      <w:r w:rsidRPr="0037154B">
        <w:rPr>
          <w:sz w:val="20"/>
        </w:rPr>
        <w:t>Department of Environment</w:t>
      </w:r>
      <w:r w:rsidR="00EA40EB" w:rsidRPr="0037154B">
        <w:rPr>
          <w:sz w:val="20"/>
        </w:rPr>
        <w:t>, Great Lakes and Energy (EGLE</w:t>
      </w:r>
      <w:r w:rsidR="00104AC4" w:rsidRPr="0037154B">
        <w:rPr>
          <w:sz w:val="20"/>
        </w:rPr>
        <w:t>),</w:t>
      </w:r>
      <w:r w:rsidRPr="0037154B">
        <w:rPr>
          <w:sz w:val="20"/>
        </w:rPr>
        <w:t xml:space="preserve"> Air</w:t>
      </w:r>
      <w:r>
        <w:rPr>
          <w:sz w:val="20"/>
        </w:rPr>
        <w:t xml:space="preserve"> Quality Division (AQD) that describes the amount of the increase and explains the reason for exceedance of the baseline level.</w:t>
      </w:r>
    </w:p>
    <w:p w14:paraId="2B624320" w14:textId="6B8538BA" w:rsidR="0055359B" w:rsidRDefault="0055359B" w:rsidP="005726F0">
      <w:pPr>
        <w:numPr>
          <w:ilvl w:val="0"/>
          <w:numId w:val="45"/>
        </w:numPr>
        <w:tabs>
          <w:tab w:val="left" w:pos="360"/>
        </w:tabs>
        <w:jc w:val="both"/>
        <w:rPr>
          <w:sz w:val="20"/>
        </w:rPr>
      </w:pPr>
      <w:r>
        <w:rPr>
          <w:sz w:val="20"/>
        </w:rPr>
        <w:t>If after November, 1998, a facility uses a VHAP of potential concern for which a baseline level has not been previously established, then the baseline level shall be established as the de minimis level.</w:t>
      </w:r>
      <w:r w:rsidR="00CC2EE8">
        <w:rPr>
          <w:sz w:val="20"/>
        </w:rPr>
        <w:t xml:space="preserve">  If the usage of VHAP of potential conce</w:t>
      </w:r>
      <w:r w:rsidR="002F5A19">
        <w:rPr>
          <w:sz w:val="20"/>
        </w:rPr>
        <w:t>rn exceeds the de</w:t>
      </w:r>
      <w:r w:rsidR="00977F30">
        <w:rPr>
          <w:sz w:val="20"/>
        </w:rPr>
        <w:t xml:space="preserve"> </w:t>
      </w:r>
      <w:r w:rsidR="002F5A19">
        <w:rPr>
          <w:sz w:val="20"/>
        </w:rPr>
        <w:t xml:space="preserve">minimis level, </w:t>
      </w:r>
      <w:r w:rsidR="007E7660" w:rsidRPr="007E7660">
        <w:rPr>
          <w:sz w:val="20"/>
        </w:rPr>
        <w:t>provide a written notification to the Michigan Department of Environment, Great Lakes and Energy (EGLE), Air Quality Division (AQD) that describes the amount of the increase and explains the reason for exceedance of the</w:t>
      </w:r>
      <w:r w:rsidR="00981CB4" w:rsidRPr="00981CB4">
        <w:rPr>
          <w:sz w:val="20"/>
        </w:rPr>
        <w:t xml:space="preserve"> de minimis</w:t>
      </w:r>
      <w:r w:rsidR="007E7660" w:rsidRPr="007E7660">
        <w:rPr>
          <w:sz w:val="20"/>
        </w:rPr>
        <w:t xml:space="preserve"> level.</w:t>
      </w:r>
    </w:p>
    <w:p w14:paraId="73B5DD84" w14:textId="7EB95C26" w:rsidR="0055359B" w:rsidRDefault="0055359B" w:rsidP="005726F0">
      <w:pPr>
        <w:tabs>
          <w:tab w:val="left" w:pos="360"/>
        </w:tabs>
        <w:jc w:val="both"/>
        <w:rPr>
          <w:b/>
          <w:bCs/>
          <w:iCs/>
          <w:sz w:val="24"/>
          <w:szCs w:val="24"/>
        </w:rPr>
      </w:pPr>
      <w:r>
        <w:rPr>
          <w:i/>
          <w:sz w:val="20"/>
        </w:rPr>
        <w:br w:type="page"/>
      </w:r>
      <w:r w:rsidRPr="00A02B0C">
        <w:rPr>
          <w:b/>
          <w:bCs/>
          <w:iCs/>
          <w:sz w:val="24"/>
          <w:szCs w:val="24"/>
        </w:rPr>
        <w:lastRenderedPageBreak/>
        <w:t>Table 3.</w:t>
      </w:r>
      <w:r w:rsidR="00D41CF3" w:rsidRPr="00A02B0C">
        <w:rPr>
          <w:b/>
          <w:bCs/>
          <w:iCs/>
          <w:sz w:val="24"/>
          <w:szCs w:val="24"/>
        </w:rPr>
        <w:t xml:space="preserve"> </w:t>
      </w:r>
      <w:r w:rsidRPr="00A02B0C">
        <w:rPr>
          <w:b/>
          <w:bCs/>
          <w:iCs/>
          <w:sz w:val="24"/>
          <w:szCs w:val="24"/>
        </w:rPr>
        <w:t xml:space="preserve"> NESHAP Summary of Emission Limits</w:t>
      </w:r>
    </w:p>
    <w:p w14:paraId="281122CE" w14:textId="77777777" w:rsidR="00A02B0C" w:rsidRPr="00A02B0C" w:rsidRDefault="00A02B0C" w:rsidP="005726F0">
      <w:pPr>
        <w:tabs>
          <w:tab w:val="left" w:pos="360"/>
        </w:tabs>
        <w:jc w:val="both"/>
        <w:rPr>
          <w:b/>
          <w:bCs/>
          <w:iCs/>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8208"/>
        <w:gridCol w:w="1160"/>
        <w:gridCol w:w="1072"/>
      </w:tblGrid>
      <w:tr w:rsidR="0055359B" w14:paraId="7FA64358" w14:textId="77777777" w:rsidTr="0051588B">
        <w:trPr>
          <w:trHeight w:val="368"/>
        </w:trPr>
        <w:tc>
          <w:tcPr>
            <w:tcW w:w="8208" w:type="dxa"/>
            <w:tcBorders>
              <w:top w:val="double" w:sz="4" w:space="0" w:color="auto"/>
              <w:bottom w:val="double" w:sz="4" w:space="0" w:color="auto"/>
            </w:tcBorders>
            <w:vAlign w:val="center"/>
          </w:tcPr>
          <w:p w14:paraId="23000851" w14:textId="77777777" w:rsidR="0055359B" w:rsidRDefault="0055359B" w:rsidP="0051588B">
            <w:pPr>
              <w:jc w:val="center"/>
              <w:rPr>
                <w:b/>
                <w:sz w:val="20"/>
              </w:rPr>
            </w:pPr>
            <w:r>
              <w:rPr>
                <w:b/>
                <w:sz w:val="20"/>
              </w:rPr>
              <w:t>EMISSION POINT</w:t>
            </w:r>
          </w:p>
        </w:tc>
        <w:tc>
          <w:tcPr>
            <w:tcW w:w="1160" w:type="dxa"/>
            <w:tcBorders>
              <w:top w:val="double" w:sz="4" w:space="0" w:color="auto"/>
              <w:bottom w:val="double" w:sz="4" w:space="0" w:color="auto"/>
            </w:tcBorders>
            <w:vAlign w:val="center"/>
          </w:tcPr>
          <w:p w14:paraId="534BCC8A" w14:textId="77777777" w:rsidR="0055359B" w:rsidRDefault="0055359B" w:rsidP="0051588B">
            <w:pPr>
              <w:jc w:val="center"/>
              <w:rPr>
                <w:b/>
                <w:sz w:val="20"/>
              </w:rPr>
            </w:pPr>
            <w:r>
              <w:rPr>
                <w:b/>
                <w:sz w:val="20"/>
              </w:rPr>
              <w:t>EXISTING SOURCE</w:t>
            </w:r>
          </w:p>
        </w:tc>
        <w:tc>
          <w:tcPr>
            <w:tcW w:w="1072" w:type="dxa"/>
            <w:tcBorders>
              <w:top w:val="double" w:sz="4" w:space="0" w:color="auto"/>
              <w:bottom w:val="double" w:sz="4" w:space="0" w:color="auto"/>
            </w:tcBorders>
            <w:vAlign w:val="center"/>
          </w:tcPr>
          <w:p w14:paraId="1DF29E0E" w14:textId="77777777" w:rsidR="0055359B" w:rsidRDefault="0055359B" w:rsidP="0051588B">
            <w:pPr>
              <w:jc w:val="center"/>
              <w:rPr>
                <w:b/>
                <w:sz w:val="20"/>
              </w:rPr>
            </w:pPr>
            <w:r>
              <w:rPr>
                <w:b/>
                <w:sz w:val="20"/>
              </w:rPr>
              <w:t>NEW SOURCE</w:t>
            </w:r>
          </w:p>
        </w:tc>
      </w:tr>
      <w:tr w:rsidR="0055359B" w14:paraId="01B10356" w14:textId="77777777" w:rsidTr="0051588B">
        <w:trPr>
          <w:trHeight w:val="113"/>
        </w:trPr>
        <w:tc>
          <w:tcPr>
            <w:tcW w:w="8208" w:type="dxa"/>
            <w:tcBorders>
              <w:top w:val="double" w:sz="4" w:space="0" w:color="auto"/>
            </w:tcBorders>
          </w:tcPr>
          <w:p w14:paraId="28727304" w14:textId="77777777" w:rsidR="0055359B" w:rsidRDefault="0055359B" w:rsidP="0051588B">
            <w:pPr>
              <w:jc w:val="both"/>
              <w:rPr>
                <w:sz w:val="20"/>
              </w:rPr>
            </w:pPr>
            <w:r>
              <w:rPr>
                <w:sz w:val="20"/>
              </w:rPr>
              <w:t>Finishing Operations:</w:t>
            </w:r>
          </w:p>
          <w:p w14:paraId="49B33798" w14:textId="77777777" w:rsidR="0055359B" w:rsidRDefault="0055359B" w:rsidP="0051588B">
            <w:pPr>
              <w:jc w:val="both"/>
              <w:rPr>
                <w:sz w:val="20"/>
              </w:rPr>
            </w:pPr>
            <w:r>
              <w:rPr>
                <w:sz w:val="20"/>
              </w:rPr>
              <w:t>(a) Achieve a weighted average VHAP content across all coatings  (maximum lb VHAP/lb solids), as applied</w:t>
            </w:r>
          </w:p>
          <w:p w14:paraId="7B68A592" w14:textId="77777777" w:rsidR="0055359B" w:rsidRDefault="0055359B" w:rsidP="0051588B">
            <w:pPr>
              <w:jc w:val="both"/>
              <w:rPr>
                <w:sz w:val="20"/>
              </w:rPr>
            </w:pPr>
            <w:r>
              <w:rPr>
                <w:sz w:val="20"/>
              </w:rPr>
              <w:t>(b) Use compliant finishing materials (maximum lb VHAP/lb solids), as applied:</w:t>
            </w:r>
          </w:p>
          <w:p w14:paraId="78A4CCB2" w14:textId="77777777" w:rsidR="0055359B" w:rsidRDefault="0055359B" w:rsidP="006255D5">
            <w:pPr>
              <w:numPr>
                <w:ilvl w:val="0"/>
                <w:numId w:val="42"/>
              </w:numPr>
              <w:jc w:val="both"/>
              <w:rPr>
                <w:sz w:val="20"/>
              </w:rPr>
            </w:pPr>
            <w:r>
              <w:rPr>
                <w:sz w:val="20"/>
              </w:rPr>
              <w:t>Stains</w:t>
            </w:r>
          </w:p>
          <w:p w14:paraId="654DAFD7" w14:textId="77777777" w:rsidR="0055359B" w:rsidRDefault="0055359B" w:rsidP="006255D5">
            <w:pPr>
              <w:numPr>
                <w:ilvl w:val="0"/>
                <w:numId w:val="42"/>
              </w:numPr>
              <w:jc w:val="both"/>
              <w:rPr>
                <w:sz w:val="20"/>
              </w:rPr>
            </w:pPr>
            <w:r>
              <w:rPr>
                <w:sz w:val="20"/>
              </w:rPr>
              <w:t>Washcoats</w:t>
            </w:r>
          </w:p>
          <w:p w14:paraId="705FA996" w14:textId="77777777" w:rsidR="0055359B" w:rsidRDefault="0055359B" w:rsidP="006255D5">
            <w:pPr>
              <w:numPr>
                <w:ilvl w:val="0"/>
                <w:numId w:val="42"/>
              </w:numPr>
              <w:jc w:val="both"/>
              <w:rPr>
                <w:sz w:val="20"/>
              </w:rPr>
            </w:pPr>
            <w:r>
              <w:rPr>
                <w:sz w:val="20"/>
              </w:rPr>
              <w:t>Sealers</w:t>
            </w:r>
          </w:p>
          <w:p w14:paraId="20F9E192" w14:textId="77777777" w:rsidR="0055359B" w:rsidRDefault="0055359B" w:rsidP="006255D5">
            <w:pPr>
              <w:numPr>
                <w:ilvl w:val="0"/>
                <w:numId w:val="42"/>
              </w:numPr>
              <w:jc w:val="both"/>
              <w:rPr>
                <w:sz w:val="20"/>
              </w:rPr>
            </w:pPr>
            <w:r>
              <w:rPr>
                <w:sz w:val="20"/>
              </w:rPr>
              <w:t>Topcoats</w:t>
            </w:r>
          </w:p>
          <w:p w14:paraId="2D4F5E1B" w14:textId="77777777" w:rsidR="0055359B" w:rsidRDefault="0055359B" w:rsidP="006255D5">
            <w:pPr>
              <w:numPr>
                <w:ilvl w:val="0"/>
                <w:numId w:val="42"/>
              </w:numPr>
              <w:jc w:val="both"/>
              <w:rPr>
                <w:sz w:val="20"/>
              </w:rPr>
            </w:pPr>
            <w:r>
              <w:rPr>
                <w:sz w:val="20"/>
              </w:rPr>
              <w:t>Basecoats</w:t>
            </w:r>
          </w:p>
          <w:p w14:paraId="58D9F0E6" w14:textId="77777777" w:rsidR="0055359B" w:rsidRDefault="0055359B" w:rsidP="006255D5">
            <w:pPr>
              <w:numPr>
                <w:ilvl w:val="0"/>
                <w:numId w:val="42"/>
              </w:numPr>
              <w:jc w:val="both"/>
              <w:rPr>
                <w:sz w:val="20"/>
              </w:rPr>
            </w:pPr>
            <w:r>
              <w:rPr>
                <w:sz w:val="20"/>
              </w:rPr>
              <w:t>Enamels</w:t>
            </w:r>
          </w:p>
          <w:p w14:paraId="3BFB7F25" w14:textId="77777777" w:rsidR="0055359B" w:rsidRDefault="0055359B" w:rsidP="006255D5">
            <w:pPr>
              <w:numPr>
                <w:ilvl w:val="0"/>
                <w:numId w:val="42"/>
              </w:numPr>
              <w:jc w:val="both"/>
              <w:rPr>
                <w:b/>
                <w:sz w:val="20"/>
              </w:rPr>
            </w:pPr>
            <w:r>
              <w:rPr>
                <w:sz w:val="20"/>
              </w:rPr>
              <w:t>Thinners (maximum % HAP allowable); or</w:t>
            </w:r>
          </w:p>
          <w:p w14:paraId="3A49953E" w14:textId="77777777" w:rsidR="0055359B" w:rsidRDefault="0055359B" w:rsidP="0051588B">
            <w:pPr>
              <w:jc w:val="both"/>
              <w:rPr>
                <w:sz w:val="20"/>
              </w:rPr>
            </w:pPr>
            <w:r>
              <w:rPr>
                <w:sz w:val="20"/>
              </w:rPr>
              <w:t>(c) As an alternative, use control device; or</w:t>
            </w:r>
          </w:p>
          <w:p w14:paraId="33EF4D75" w14:textId="77777777" w:rsidR="0055359B" w:rsidRDefault="0055359B" w:rsidP="0051588B">
            <w:pPr>
              <w:jc w:val="both"/>
              <w:rPr>
                <w:b/>
                <w:sz w:val="20"/>
              </w:rPr>
            </w:pPr>
            <w:r>
              <w:rPr>
                <w:sz w:val="20"/>
              </w:rPr>
              <w:t>(d) Use any combination of (a), (b), and (c)</w:t>
            </w:r>
          </w:p>
        </w:tc>
        <w:tc>
          <w:tcPr>
            <w:tcW w:w="1160" w:type="dxa"/>
            <w:tcBorders>
              <w:top w:val="double" w:sz="4" w:space="0" w:color="auto"/>
            </w:tcBorders>
          </w:tcPr>
          <w:p w14:paraId="7E7B447C" w14:textId="77777777" w:rsidR="0055359B" w:rsidRDefault="0055359B" w:rsidP="0051588B">
            <w:pPr>
              <w:jc w:val="right"/>
              <w:rPr>
                <w:sz w:val="20"/>
              </w:rPr>
            </w:pPr>
          </w:p>
          <w:p w14:paraId="59FF5815" w14:textId="77777777" w:rsidR="0055359B" w:rsidRDefault="0055359B" w:rsidP="00D41CF3">
            <w:pPr>
              <w:jc w:val="center"/>
              <w:rPr>
                <w:sz w:val="20"/>
              </w:rPr>
            </w:pPr>
            <w:r>
              <w:rPr>
                <w:sz w:val="20"/>
              </w:rPr>
              <w:t>1.0</w:t>
            </w:r>
          </w:p>
          <w:p w14:paraId="33E31464" w14:textId="77777777" w:rsidR="0055359B" w:rsidRDefault="0055359B" w:rsidP="00D41CF3">
            <w:pPr>
              <w:jc w:val="center"/>
              <w:rPr>
                <w:sz w:val="20"/>
              </w:rPr>
            </w:pPr>
          </w:p>
          <w:p w14:paraId="29921659" w14:textId="77777777" w:rsidR="0055359B" w:rsidRDefault="0055359B" w:rsidP="00D41CF3">
            <w:pPr>
              <w:jc w:val="center"/>
              <w:rPr>
                <w:sz w:val="20"/>
              </w:rPr>
            </w:pPr>
          </w:p>
          <w:p w14:paraId="64701BE3" w14:textId="77777777" w:rsidR="0055359B" w:rsidRDefault="0055359B" w:rsidP="00D41CF3">
            <w:pPr>
              <w:jc w:val="center"/>
              <w:rPr>
                <w:sz w:val="20"/>
              </w:rPr>
            </w:pPr>
            <w:r>
              <w:rPr>
                <w:sz w:val="20"/>
              </w:rPr>
              <w:t>1.0</w:t>
            </w:r>
          </w:p>
          <w:p w14:paraId="3BEABF36" w14:textId="77777777" w:rsidR="0055359B" w:rsidRDefault="0055359B" w:rsidP="00D41CF3">
            <w:pPr>
              <w:jc w:val="center"/>
              <w:rPr>
                <w:sz w:val="20"/>
              </w:rPr>
            </w:pPr>
            <w:r>
              <w:rPr>
                <w:sz w:val="20"/>
              </w:rPr>
              <w:t>1.0</w:t>
            </w:r>
          </w:p>
          <w:p w14:paraId="37B65C1A" w14:textId="77777777" w:rsidR="0055359B" w:rsidRDefault="0055359B" w:rsidP="00D41CF3">
            <w:pPr>
              <w:jc w:val="center"/>
              <w:rPr>
                <w:sz w:val="20"/>
              </w:rPr>
            </w:pPr>
            <w:r>
              <w:rPr>
                <w:sz w:val="20"/>
              </w:rPr>
              <w:t>1.0</w:t>
            </w:r>
          </w:p>
          <w:p w14:paraId="69F810FB" w14:textId="77777777" w:rsidR="0055359B" w:rsidRDefault="0055359B" w:rsidP="00D41CF3">
            <w:pPr>
              <w:jc w:val="center"/>
              <w:rPr>
                <w:sz w:val="20"/>
              </w:rPr>
            </w:pPr>
            <w:r>
              <w:rPr>
                <w:sz w:val="20"/>
              </w:rPr>
              <w:t>1.0</w:t>
            </w:r>
          </w:p>
          <w:p w14:paraId="6CB06E95" w14:textId="77777777" w:rsidR="0055359B" w:rsidRDefault="0055359B" w:rsidP="00D41CF3">
            <w:pPr>
              <w:jc w:val="center"/>
              <w:rPr>
                <w:sz w:val="20"/>
              </w:rPr>
            </w:pPr>
            <w:r>
              <w:rPr>
                <w:sz w:val="20"/>
              </w:rPr>
              <w:t>1.0</w:t>
            </w:r>
          </w:p>
          <w:p w14:paraId="478F3E91" w14:textId="77777777" w:rsidR="0055359B" w:rsidRDefault="0055359B" w:rsidP="00D41CF3">
            <w:pPr>
              <w:jc w:val="center"/>
              <w:rPr>
                <w:sz w:val="20"/>
              </w:rPr>
            </w:pPr>
            <w:r>
              <w:rPr>
                <w:sz w:val="20"/>
              </w:rPr>
              <w:t>1.0</w:t>
            </w:r>
          </w:p>
          <w:p w14:paraId="5D602501" w14:textId="77777777" w:rsidR="0055359B" w:rsidRDefault="0055359B" w:rsidP="00D41CF3">
            <w:pPr>
              <w:jc w:val="center"/>
              <w:rPr>
                <w:sz w:val="20"/>
              </w:rPr>
            </w:pPr>
            <w:r>
              <w:rPr>
                <w:sz w:val="20"/>
              </w:rPr>
              <w:t>10.0</w:t>
            </w:r>
          </w:p>
          <w:p w14:paraId="4C787985" w14:textId="77777777" w:rsidR="0055359B" w:rsidRDefault="0055359B" w:rsidP="00D41CF3">
            <w:pPr>
              <w:jc w:val="center"/>
              <w:rPr>
                <w:sz w:val="20"/>
              </w:rPr>
            </w:pPr>
            <w:r>
              <w:rPr>
                <w:sz w:val="20"/>
              </w:rPr>
              <w:t>1.0</w:t>
            </w:r>
          </w:p>
          <w:p w14:paraId="44DABB35" w14:textId="77777777" w:rsidR="0055359B" w:rsidRDefault="0055359B" w:rsidP="00D41CF3">
            <w:pPr>
              <w:jc w:val="center"/>
              <w:rPr>
                <w:sz w:val="20"/>
              </w:rPr>
            </w:pPr>
            <w:r>
              <w:rPr>
                <w:sz w:val="20"/>
              </w:rPr>
              <w:t>1.0</w:t>
            </w:r>
          </w:p>
        </w:tc>
        <w:tc>
          <w:tcPr>
            <w:tcW w:w="1072" w:type="dxa"/>
            <w:tcBorders>
              <w:top w:val="double" w:sz="4" w:space="0" w:color="auto"/>
            </w:tcBorders>
          </w:tcPr>
          <w:p w14:paraId="164CBC92" w14:textId="77777777" w:rsidR="0055359B" w:rsidRDefault="0055359B" w:rsidP="00277A04">
            <w:pPr>
              <w:jc w:val="center"/>
              <w:rPr>
                <w:sz w:val="20"/>
              </w:rPr>
            </w:pPr>
          </w:p>
          <w:p w14:paraId="18EAD820" w14:textId="77777777" w:rsidR="0055359B" w:rsidRDefault="0055359B" w:rsidP="00277A04">
            <w:pPr>
              <w:jc w:val="center"/>
              <w:rPr>
                <w:sz w:val="20"/>
              </w:rPr>
            </w:pPr>
            <w:r>
              <w:rPr>
                <w:sz w:val="20"/>
              </w:rPr>
              <w:t>0.8</w:t>
            </w:r>
          </w:p>
          <w:p w14:paraId="0472081D" w14:textId="77777777" w:rsidR="0055359B" w:rsidRDefault="0055359B" w:rsidP="00277A04">
            <w:pPr>
              <w:jc w:val="center"/>
              <w:rPr>
                <w:sz w:val="20"/>
              </w:rPr>
            </w:pPr>
          </w:p>
          <w:p w14:paraId="25ADF4C3" w14:textId="77777777" w:rsidR="0055359B" w:rsidRDefault="0055359B" w:rsidP="00277A04">
            <w:pPr>
              <w:jc w:val="center"/>
              <w:rPr>
                <w:sz w:val="20"/>
              </w:rPr>
            </w:pPr>
          </w:p>
          <w:p w14:paraId="1D93A779" w14:textId="77777777" w:rsidR="0055359B" w:rsidRDefault="0055359B" w:rsidP="00277A04">
            <w:pPr>
              <w:jc w:val="center"/>
              <w:rPr>
                <w:sz w:val="20"/>
              </w:rPr>
            </w:pPr>
            <w:r>
              <w:rPr>
                <w:sz w:val="20"/>
              </w:rPr>
              <w:t>1.0</w:t>
            </w:r>
          </w:p>
          <w:p w14:paraId="448C7D23" w14:textId="77777777" w:rsidR="0055359B" w:rsidRDefault="0055359B" w:rsidP="00277A04">
            <w:pPr>
              <w:jc w:val="center"/>
              <w:rPr>
                <w:sz w:val="20"/>
              </w:rPr>
            </w:pPr>
            <w:r>
              <w:rPr>
                <w:sz w:val="20"/>
              </w:rPr>
              <w:t>0.8</w:t>
            </w:r>
          </w:p>
          <w:p w14:paraId="5CA979AF" w14:textId="77777777" w:rsidR="0055359B" w:rsidRDefault="0055359B" w:rsidP="00277A04">
            <w:pPr>
              <w:jc w:val="center"/>
              <w:rPr>
                <w:sz w:val="20"/>
              </w:rPr>
            </w:pPr>
            <w:r>
              <w:rPr>
                <w:sz w:val="20"/>
              </w:rPr>
              <w:t>0.8</w:t>
            </w:r>
          </w:p>
          <w:p w14:paraId="6CAE23D6" w14:textId="77777777" w:rsidR="0055359B" w:rsidRDefault="0055359B" w:rsidP="00277A04">
            <w:pPr>
              <w:jc w:val="center"/>
              <w:rPr>
                <w:sz w:val="20"/>
              </w:rPr>
            </w:pPr>
            <w:r>
              <w:rPr>
                <w:sz w:val="20"/>
              </w:rPr>
              <w:t>0.8</w:t>
            </w:r>
          </w:p>
          <w:p w14:paraId="6FA1ACD8" w14:textId="77777777" w:rsidR="0055359B" w:rsidRDefault="0055359B" w:rsidP="00277A04">
            <w:pPr>
              <w:jc w:val="center"/>
              <w:rPr>
                <w:sz w:val="20"/>
              </w:rPr>
            </w:pPr>
            <w:r>
              <w:rPr>
                <w:sz w:val="20"/>
              </w:rPr>
              <w:t>0.8</w:t>
            </w:r>
          </w:p>
          <w:p w14:paraId="2870CE16" w14:textId="0D3DFF55" w:rsidR="0055359B" w:rsidRDefault="0055359B" w:rsidP="00277A04">
            <w:pPr>
              <w:jc w:val="center"/>
              <w:rPr>
                <w:sz w:val="20"/>
              </w:rPr>
            </w:pPr>
            <w:r>
              <w:rPr>
                <w:sz w:val="20"/>
              </w:rPr>
              <w:t>0.8</w:t>
            </w:r>
          </w:p>
          <w:p w14:paraId="0A9EDFF6" w14:textId="77777777" w:rsidR="0055359B" w:rsidRDefault="0055359B" w:rsidP="00277A04">
            <w:pPr>
              <w:jc w:val="center"/>
              <w:rPr>
                <w:sz w:val="20"/>
              </w:rPr>
            </w:pPr>
            <w:r>
              <w:rPr>
                <w:sz w:val="20"/>
              </w:rPr>
              <w:t>10.0</w:t>
            </w:r>
          </w:p>
          <w:p w14:paraId="0C029C2A" w14:textId="77777777" w:rsidR="0055359B" w:rsidRDefault="0055359B" w:rsidP="00277A04">
            <w:pPr>
              <w:jc w:val="center"/>
              <w:rPr>
                <w:sz w:val="20"/>
              </w:rPr>
            </w:pPr>
            <w:r>
              <w:rPr>
                <w:sz w:val="20"/>
              </w:rPr>
              <w:t>0.8</w:t>
            </w:r>
          </w:p>
          <w:p w14:paraId="5B2DA8C9" w14:textId="77777777" w:rsidR="0055359B" w:rsidRDefault="0055359B" w:rsidP="00277A04">
            <w:pPr>
              <w:jc w:val="center"/>
              <w:rPr>
                <w:sz w:val="20"/>
              </w:rPr>
            </w:pPr>
            <w:r>
              <w:rPr>
                <w:sz w:val="20"/>
              </w:rPr>
              <w:t>0.8</w:t>
            </w:r>
          </w:p>
        </w:tc>
      </w:tr>
      <w:tr w:rsidR="0055359B" w14:paraId="708DDBC4" w14:textId="77777777" w:rsidTr="0051588B">
        <w:tc>
          <w:tcPr>
            <w:tcW w:w="8208" w:type="dxa"/>
          </w:tcPr>
          <w:p w14:paraId="7ED9A553" w14:textId="77777777" w:rsidR="0055359B" w:rsidRDefault="0055359B" w:rsidP="0051588B">
            <w:pPr>
              <w:jc w:val="both"/>
              <w:rPr>
                <w:sz w:val="20"/>
              </w:rPr>
            </w:pPr>
            <w:r>
              <w:rPr>
                <w:sz w:val="20"/>
              </w:rPr>
              <w:t>Cleaning Operations:</w:t>
            </w:r>
          </w:p>
          <w:p w14:paraId="7EA84C00" w14:textId="77777777" w:rsidR="0055359B" w:rsidRDefault="0055359B" w:rsidP="0051588B">
            <w:pPr>
              <w:jc w:val="both"/>
              <w:rPr>
                <w:sz w:val="20"/>
              </w:rPr>
            </w:pPr>
            <w:r>
              <w:rPr>
                <w:sz w:val="20"/>
              </w:rPr>
              <w:t xml:space="preserve">  Strippable spray booth material (maximum VOC content, lb VOC/lb solids)</w:t>
            </w:r>
          </w:p>
        </w:tc>
        <w:tc>
          <w:tcPr>
            <w:tcW w:w="1160" w:type="dxa"/>
          </w:tcPr>
          <w:p w14:paraId="19788DAB" w14:textId="77777777" w:rsidR="0055359B" w:rsidRDefault="0055359B" w:rsidP="00D41CF3">
            <w:pPr>
              <w:jc w:val="center"/>
              <w:rPr>
                <w:sz w:val="20"/>
              </w:rPr>
            </w:pPr>
          </w:p>
          <w:p w14:paraId="40DFA1BA" w14:textId="77777777" w:rsidR="0055359B" w:rsidRDefault="0055359B" w:rsidP="00D41CF3">
            <w:pPr>
              <w:jc w:val="center"/>
              <w:rPr>
                <w:sz w:val="20"/>
              </w:rPr>
            </w:pPr>
            <w:r>
              <w:rPr>
                <w:sz w:val="20"/>
              </w:rPr>
              <w:t>0.8</w:t>
            </w:r>
          </w:p>
        </w:tc>
        <w:tc>
          <w:tcPr>
            <w:tcW w:w="1072" w:type="dxa"/>
          </w:tcPr>
          <w:p w14:paraId="5E4C36C8" w14:textId="77777777" w:rsidR="0055359B" w:rsidRDefault="0055359B" w:rsidP="00277A04">
            <w:pPr>
              <w:jc w:val="center"/>
              <w:rPr>
                <w:sz w:val="20"/>
              </w:rPr>
            </w:pPr>
          </w:p>
          <w:p w14:paraId="2CDE8B2C" w14:textId="77777777" w:rsidR="0055359B" w:rsidRDefault="0055359B" w:rsidP="00277A04">
            <w:pPr>
              <w:jc w:val="center"/>
              <w:rPr>
                <w:sz w:val="20"/>
              </w:rPr>
            </w:pPr>
            <w:r>
              <w:rPr>
                <w:sz w:val="20"/>
              </w:rPr>
              <w:t>0.8</w:t>
            </w:r>
          </w:p>
        </w:tc>
      </w:tr>
      <w:tr w:rsidR="0055359B" w14:paraId="7F6D6F8E" w14:textId="77777777" w:rsidTr="0051588B">
        <w:trPr>
          <w:trHeight w:val="1871"/>
        </w:trPr>
        <w:tc>
          <w:tcPr>
            <w:tcW w:w="8208" w:type="dxa"/>
          </w:tcPr>
          <w:p w14:paraId="0D34E4AB" w14:textId="77777777" w:rsidR="0055359B" w:rsidRDefault="0055359B" w:rsidP="0051588B">
            <w:pPr>
              <w:jc w:val="both"/>
              <w:rPr>
                <w:sz w:val="20"/>
              </w:rPr>
            </w:pPr>
            <w:r>
              <w:rPr>
                <w:sz w:val="20"/>
              </w:rPr>
              <w:t>Contact Adhesives:</w:t>
            </w:r>
          </w:p>
          <w:p w14:paraId="41352E57" w14:textId="77777777" w:rsidR="0055359B" w:rsidRDefault="0055359B" w:rsidP="0051588B">
            <w:pPr>
              <w:jc w:val="both"/>
              <w:rPr>
                <w:sz w:val="20"/>
              </w:rPr>
            </w:pPr>
            <w:r>
              <w:rPr>
                <w:sz w:val="20"/>
              </w:rPr>
              <w:t>(a) Use compliant contact adhesives (maximum lb VHAP/lb solids, as applied) based of the following criteria:</w:t>
            </w:r>
          </w:p>
          <w:p w14:paraId="303F9E9E" w14:textId="191D756A" w:rsidR="0055359B" w:rsidRDefault="0055359B" w:rsidP="00D41CF3">
            <w:pPr>
              <w:tabs>
                <w:tab w:val="left" w:pos="735"/>
              </w:tabs>
              <w:ind w:firstLine="330"/>
              <w:jc w:val="both"/>
              <w:rPr>
                <w:sz w:val="20"/>
              </w:rPr>
            </w:pPr>
            <w:r>
              <w:rPr>
                <w:sz w:val="20"/>
              </w:rPr>
              <w:t>i.</w:t>
            </w:r>
            <w:r w:rsidR="00D41CF3">
              <w:rPr>
                <w:sz w:val="20"/>
              </w:rPr>
              <w:t xml:space="preserve"> </w:t>
            </w:r>
            <w:r w:rsidR="00277A04">
              <w:rPr>
                <w:sz w:val="20"/>
              </w:rPr>
              <w:t xml:space="preserve">  </w:t>
            </w:r>
            <w:r>
              <w:rPr>
                <w:sz w:val="20"/>
              </w:rPr>
              <w:t>For aerosol adhesives, and for contact adhesives applied to nonporous substrates</w:t>
            </w:r>
          </w:p>
          <w:p w14:paraId="13B4D32A" w14:textId="61D8C96C" w:rsidR="0055359B" w:rsidRDefault="0055359B" w:rsidP="00D41CF3">
            <w:pPr>
              <w:tabs>
                <w:tab w:val="left" w:pos="735"/>
              </w:tabs>
              <w:ind w:firstLine="330"/>
              <w:jc w:val="both"/>
              <w:rPr>
                <w:sz w:val="20"/>
              </w:rPr>
            </w:pPr>
            <w:r>
              <w:rPr>
                <w:sz w:val="20"/>
              </w:rPr>
              <w:t>ii.</w:t>
            </w:r>
            <w:r w:rsidR="00D41CF3">
              <w:rPr>
                <w:sz w:val="20"/>
              </w:rPr>
              <w:t xml:space="preserve">  </w:t>
            </w:r>
            <w:r>
              <w:rPr>
                <w:sz w:val="20"/>
              </w:rPr>
              <w:t>For foam adhesives used in products that meet flammability requirements</w:t>
            </w:r>
          </w:p>
          <w:p w14:paraId="1B15BBD7" w14:textId="64010880" w:rsidR="0055359B" w:rsidRDefault="0055359B" w:rsidP="00D41CF3">
            <w:pPr>
              <w:tabs>
                <w:tab w:val="left" w:pos="735"/>
              </w:tabs>
              <w:ind w:firstLine="330"/>
              <w:jc w:val="both"/>
              <w:rPr>
                <w:sz w:val="20"/>
              </w:rPr>
            </w:pPr>
            <w:r>
              <w:rPr>
                <w:sz w:val="20"/>
              </w:rPr>
              <w:t>iii. For all other contact adhesives (including foam adhesives used in products that do</w:t>
            </w:r>
            <w:r w:rsidR="00277A04">
              <w:rPr>
                <w:sz w:val="20"/>
              </w:rPr>
              <w:br/>
              <w:t xml:space="preserve">           </w:t>
            </w:r>
            <w:r>
              <w:rPr>
                <w:sz w:val="20"/>
              </w:rPr>
              <w:t>not</w:t>
            </w:r>
            <w:r w:rsidR="00277A04">
              <w:rPr>
                <w:sz w:val="20"/>
              </w:rPr>
              <w:t xml:space="preserve"> </w:t>
            </w:r>
            <w:r>
              <w:rPr>
                <w:sz w:val="20"/>
              </w:rPr>
              <w:t>meet flammability requirements); or</w:t>
            </w:r>
          </w:p>
          <w:p w14:paraId="2BD3E8D2" w14:textId="77777777" w:rsidR="0055359B" w:rsidRDefault="0055359B" w:rsidP="0051588B">
            <w:pPr>
              <w:jc w:val="both"/>
              <w:rPr>
                <w:sz w:val="20"/>
              </w:rPr>
            </w:pPr>
            <w:r>
              <w:rPr>
                <w:sz w:val="20"/>
              </w:rPr>
              <w:t>(b) Use a control device</w:t>
            </w:r>
          </w:p>
        </w:tc>
        <w:tc>
          <w:tcPr>
            <w:tcW w:w="1160" w:type="dxa"/>
          </w:tcPr>
          <w:p w14:paraId="7B977F3A" w14:textId="77777777" w:rsidR="0055359B" w:rsidRDefault="0055359B" w:rsidP="00D41CF3">
            <w:pPr>
              <w:jc w:val="center"/>
              <w:rPr>
                <w:sz w:val="20"/>
              </w:rPr>
            </w:pPr>
          </w:p>
          <w:p w14:paraId="7DF8C416" w14:textId="77777777" w:rsidR="0055359B" w:rsidRDefault="0055359B" w:rsidP="00D41CF3">
            <w:pPr>
              <w:jc w:val="center"/>
              <w:rPr>
                <w:sz w:val="20"/>
              </w:rPr>
            </w:pPr>
          </w:p>
          <w:p w14:paraId="4B876F1C" w14:textId="77777777" w:rsidR="0055359B" w:rsidRDefault="0055359B" w:rsidP="00D41CF3">
            <w:pPr>
              <w:jc w:val="center"/>
              <w:rPr>
                <w:sz w:val="20"/>
              </w:rPr>
            </w:pPr>
          </w:p>
          <w:p w14:paraId="25BE6D66" w14:textId="77777777" w:rsidR="0055359B" w:rsidRDefault="0055359B" w:rsidP="00D41CF3">
            <w:pPr>
              <w:jc w:val="center"/>
              <w:rPr>
                <w:sz w:val="20"/>
              </w:rPr>
            </w:pPr>
            <w:r>
              <w:rPr>
                <w:sz w:val="20"/>
              </w:rPr>
              <w:t>NA</w:t>
            </w:r>
          </w:p>
          <w:p w14:paraId="1577AEEF" w14:textId="77777777" w:rsidR="0055359B" w:rsidRDefault="0055359B" w:rsidP="00D41CF3">
            <w:pPr>
              <w:jc w:val="center"/>
              <w:rPr>
                <w:sz w:val="20"/>
              </w:rPr>
            </w:pPr>
            <w:r>
              <w:rPr>
                <w:sz w:val="20"/>
              </w:rPr>
              <w:t>1.8</w:t>
            </w:r>
          </w:p>
          <w:p w14:paraId="2B7EC83D" w14:textId="77777777" w:rsidR="0055359B" w:rsidRDefault="0055359B" w:rsidP="00D41CF3">
            <w:pPr>
              <w:jc w:val="center"/>
              <w:rPr>
                <w:sz w:val="20"/>
              </w:rPr>
            </w:pPr>
          </w:p>
          <w:p w14:paraId="39D49597" w14:textId="77777777" w:rsidR="0055359B" w:rsidRDefault="0055359B" w:rsidP="00D41CF3">
            <w:pPr>
              <w:jc w:val="center"/>
              <w:rPr>
                <w:sz w:val="20"/>
              </w:rPr>
            </w:pPr>
            <w:r>
              <w:rPr>
                <w:sz w:val="20"/>
              </w:rPr>
              <w:t>1.0</w:t>
            </w:r>
          </w:p>
          <w:p w14:paraId="2B7B9BFF" w14:textId="77777777" w:rsidR="0055359B" w:rsidRDefault="0055359B" w:rsidP="00D41CF3">
            <w:pPr>
              <w:jc w:val="center"/>
              <w:rPr>
                <w:sz w:val="20"/>
              </w:rPr>
            </w:pPr>
            <w:r>
              <w:rPr>
                <w:sz w:val="20"/>
              </w:rPr>
              <w:t>1.0</w:t>
            </w:r>
          </w:p>
        </w:tc>
        <w:tc>
          <w:tcPr>
            <w:tcW w:w="1072" w:type="dxa"/>
          </w:tcPr>
          <w:p w14:paraId="401C4CD2" w14:textId="77777777" w:rsidR="0055359B" w:rsidRDefault="0055359B" w:rsidP="00277A04">
            <w:pPr>
              <w:jc w:val="center"/>
              <w:rPr>
                <w:sz w:val="20"/>
              </w:rPr>
            </w:pPr>
          </w:p>
          <w:p w14:paraId="18BBDD32" w14:textId="77777777" w:rsidR="0055359B" w:rsidRDefault="0055359B" w:rsidP="00277A04">
            <w:pPr>
              <w:jc w:val="center"/>
              <w:rPr>
                <w:sz w:val="20"/>
              </w:rPr>
            </w:pPr>
          </w:p>
          <w:p w14:paraId="7A2196E2" w14:textId="77777777" w:rsidR="0055359B" w:rsidRDefault="0055359B" w:rsidP="00277A04">
            <w:pPr>
              <w:jc w:val="center"/>
              <w:rPr>
                <w:sz w:val="20"/>
              </w:rPr>
            </w:pPr>
          </w:p>
          <w:p w14:paraId="75A6667E" w14:textId="77777777" w:rsidR="0055359B" w:rsidRDefault="0055359B" w:rsidP="00277A04">
            <w:pPr>
              <w:jc w:val="center"/>
              <w:rPr>
                <w:sz w:val="20"/>
              </w:rPr>
            </w:pPr>
            <w:r>
              <w:rPr>
                <w:sz w:val="20"/>
              </w:rPr>
              <w:t>NA</w:t>
            </w:r>
          </w:p>
          <w:p w14:paraId="0BB6DC7F" w14:textId="77777777" w:rsidR="0055359B" w:rsidRDefault="0055359B" w:rsidP="00277A04">
            <w:pPr>
              <w:jc w:val="center"/>
              <w:rPr>
                <w:sz w:val="20"/>
              </w:rPr>
            </w:pPr>
            <w:r>
              <w:rPr>
                <w:sz w:val="20"/>
              </w:rPr>
              <w:t>0.2</w:t>
            </w:r>
          </w:p>
          <w:p w14:paraId="0135BD32" w14:textId="77777777" w:rsidR="0055359B" w:rsidRDefault="0055359B" w:rsidP="00277A04">
            <w:pPr>
              <w:jc w:val="center"/>
              <w:rPr>
                <w:sz w:val="20"/>
              </w:rPr>
            </w:pPr>
          </w:p>
          <w:p w14:paraId="05A7DE77" w14:textId="77777777" w:rsidR="0055359B" w:rsidRDefault="0055359B" w:rsidP="00277A04">
            <w:pPr>
              <w:jc w:val="center"/>
              <w:rPr>
                <w:sz w:val="20"/>
              </w:rPr>
            </w:pPr>
            <w:r>
              <w:rPr>
                <w:sz w:val="20"/>
              </w:rPr>
              <w:t>0.2</w:t>
            </w:r>
          </w:p>
          <w:p w14:paraId="140E30A9" w14:textId="77777777" w:rsidR="0055359B" w:rsidRDefault="0055359B" w:rsidP="00277A04">
            <w:pPr>
              <w:jc w:val="center"/>
              <w:rPr>
                <w:sz w:val="20"/>
              </w:rPr>
            </w:pPr>
            <w:r>
              <w:rPr>
                <w:sz w:val="20"/>
              </w:rPr>
              <w:t>0.2</w:t>
            </w:r>
          </w:p>
        </w:tc>
      </w:tr>
    </w:tbl>
    <w:p w14:paraId="245DA94F" w14:textId="77777777" w:rsidR="0055359B" w:rsidRDefault="0055359B" w:rsidP="0055359B">
      <w:pPr>
        <w:jc w:val="both"/>
        <w:rPr>
          <w:sz w:val="20"/>
        </w:rPr>
      </w:pPr>
    </w:p>
    <w:p w14:paraId="3834F804" w14:textId="77777777" w:rsidR="0055359B" w:rsidRDefault="0055359B" w:rsidP="0055359B">
      <w:pPr>
        <w:jc w:val="both"/>
        <w:rPr>
          <w:i/>
          <w:sz w:val="20"/>
        </w:rPr>
      </w:pPr>
      <w:r>
        <w:rPr>
          <w:i/>
          <w:sz w:val="20"/>
        </w:rPr>
        <w:t>For original table see 40 CFR Part 63, Subpart JJ, Table 3</w:t>
      </w:r>
    </w:p>
    <w:p w14:paraId="7E5D5C86" w14:textId="77100281" w:rsidR="00C60E84" w:rsidRPr="0080590E" w:rsidRDefault="00C60E84" w:rsidP="004F09CF">
      <w:pPr>
        <w:jc w:val="both"/>
        <w:rPr>
          <w:sz w:val="20"/>
        </w:rPr>
      </w:pPr>
    </w:p>
    <w:bookmarkEnd w:id="94"/>
    <w:bookmarkEnd w:id="95"/>
    <w:bookmarkEnd w:id="96"/>
    <w:bookmarkEnd w:id="97"/>
    <w:bookmarkEnd w:id="98"/>
    <w:bookmarkEnd w:id="99"/>
    <w:bookmarkEnd w:id="100"/>
    <w:bookmarkEnd w:id="101"/>
    <w:p w14:paraId="385AABBD" w14:textId="595E9C9C" w:rsidR="00DC3CDB" w:rsidRDefault="00B2632A" w:rsidP="004F09CF">
      <w:pPr>
        <w:jc w:val="both"/>
        <w:rPr>
          <w:sz w:val="20"/>
        </w:rPr>
      </w:pPr>
      <w:r>
        <w:rPr>
          <w:b/>
          <w:color w:val="FF0000"/>
          <w:sz w:val="20"/>
        </w:rPr>
        <w:t xml:space="preserve"> </w:t>
      </w:r>
    </w:p>
    <w:sectPr w:rsidR="00DC3CDB" w:rsidSect="00723C92">
      <w:headerReference w:type="even" r:id="rId60"/>
      <w:headerReference w:type="default" r:id="rId61"/>
      <w:footerReference w:type="even" r:id="rId62"/>
      <w:footerReference w:type="default" r:id="rId63"/>
      <w:headerReference w:type="first" r:id="rId64"/>
      <w:footerReference w:type="first" r:id="rId65"/>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5E0A6" w14:textId="77777777" w:rsidR="00ED2AAC" w:rsidRDefault="00ED2AAC">
      <w:r>
        <w:separator/>
      </w:r>
    </w:p>
  </w:endnote>
  <w:endnote w:type="continuationSeparator" w:id="0">
    <w:p w14:paraId="3D1EC18D" w14:textId="77777777" w:rsidR="00ED2AAC" w:rsidRDefault="00ED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4D6E"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A9588A"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8A9E"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0479" w14:textId="77777777" w:rsidR="00EF6BE8" w:rsidRDefault="00EF6B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E395" w14:textId="77777777" w:rsidR="00ED2AAC" w:rsidRDefault="00ED2AAC">
      <w:r>
        <w:separator/>
      </w:r>
    </w:p>
  </w:footnote>
  <w:footnote w:type="continuationSeparator" w:id="0">
    <w:p w14:paraId="3E64450C" w14:textId="77777777" w:rsidR="00ED2AAC" w:rsidRDefault="00ED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8263" w14:textId="77777777" w:rsidR="00EF6BE8" w:rsidRDefault="00EF6B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773F" w14:textId="4CC82B0D" w:rsidR="009D4F1D" w:rsidRPr="003A720E" w:rsidRDefault="003A720E" w:rsidP="00EF6BE8">
    <w:pPr>
      <w:tabs>
        <w:tab w:val="left" w:pos="3240"/>
        <w:tab w:val="left" w:pos="7020"/>
        <w:tab w:val="left" w:pos="7740"/>
      </w:tabs>
      <w:ind w:left="720" w:firstLine="720"/>
      <w:rPr>
        <w:b/>
        <w:sz w:val="24"/>
        <w:szCs w:val="24"/>
      </w:rPr>
    </w:pPr>
    <w:r>
      <w:rPr>
        <w:b/>
        <w:sz w:val="24"/>
        <w:szCs w:val="24"/>
      </w:rPr>
      <w:tab/>
    </w:r>
    <w:r>
      <w:rPr>
        <w:b/>
        <w:sz w:val="24"/>
        <w:szCs w:val="24"/>
      </w:rPr>
      <w:tab/>
    </w:r>
    <w:r w:rsidR="009D4F1D" w:rsidRPr="00E414B8">
      <w:rPr>
        <w:rFonts w:cs="Arial"/>
        <w:sz w:val="20"/>
      </w:rPr>
      <w:t>ROP No:  MI-ROP-</w:t>
    </w:r>
    <w:bookmarkStart w:id="128" w:name="bSRN4"/>
    <w:bookmarkEnd w:id="128"/>
    <w:r w:rsidR="00ED2AAC">
      <w:rPr>
        <w:rFonts w:cs="Arial"/>
        <w:sz w:val="20"/>
      </w:rPr>
      <w:t>B7625</w:t>
    </w:r>
    <w:r w:rsidR="009D4F1D" w:rsidRPr="00E414B8">
      <w:rPr>
        <w:rFonts w:cs="Arial"/>
        <w:sz w:val="20"/>
      </w:rPr>
      <w:t>-</w:t>
    </w:r>
    <w:bookmarkStart w:id="129" w:name="bIssueYear3"/>
    <w:bookmarkEnd w:id="129"/>
    <w:r w:rsidR="0031272C">
      <w:rPr>
        <w:rFonts w:cs="Arial"/>
        <w:sz w:val="20"/>
      </w:rPr>
      <w:t>20</w:t>
    </w:r>
    <w:r w:rsidR="00EF6BE8">
      <w:rPr>
        <w:rFonts w:cs="Arial"/>
        <w:sz w:val="20"/>
      </w:rPr>
      <w:t>22</w:t>
    </w:r>
  </w:p>
  <w:p w14:paraId="4DAE6FFF" w14:textId="6C368029" w:rsidR="009D4F1D" w:rsidRPr="005C1928" w:rsidRDefault="009D4F1D" w:rsidP="00EF6BE8">
    <w:pPr>
      <w:pStyle w:val="Header"/>
      <w:tabs>
        <w:tab w:val="clear" w:pos="4320"/>
        <w:tab w:val="clear" w:pos="8640"/>
        <w:tab w:val="left" w:pos="6660"/>
        <w:tab w:val="left" w:pos="7020"/>
        <w:tab w:val="left" w:pos="774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30" w:name="bExpireDate2"/>
    <w:bookmarkEnd w:id="130"/>
    <w:r w:rsidR="00EF6BE8">
      <w:rPr>
        <w:rFonts w:cs="Arial"/>
        <w:sz w:val="20"/>
      </w:rPr>
      <w:t>October 19, 2027</w:t>
    </w:r>
  </w:p>
  <w:p w14:paraId="380B67BF" w14:textId="493E1A3C" w:rsidR="009D4F1D" w:rsidRDefault="009D4F1D" w:rsidP="00EF6BE8">
    <w:pPr>
      <w:pStyle w:val="Header"/>
      <w:tabs>
        <w:tab w:val="clear" w:pos="8640"/>
        <w:tab w:val="left" w:pos="6660"/>
        <w:tab w:val="left" w:pos="7020"/>
        <w:tab w:val="left" w:pos="7740"/>
      </w:tabs>
      <w:rPr>
        <w:rFonts w:cs="Arial"/>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31" w:name="bSRN5"/>
    <w:bookmarkEnd w:id="131"/>
    <w:r w:rsidR="00ED2AAC">
      <w:rPr>
        <w:sz w:val="20"/>
      </w:rPr>
      <w:t>B7625</w:t>
    </w:r>
    <w:r>
      <w:rPr>
        <w:sz w:val="20"/>
      </w:rPr>
      <w:t>-</w:t>
    </w:r>
    <w:bookmarkStart w:id="132" w:name="bIssueYear4"/>
    <w:bookmarkEnd w:id="132"/>
    <w:r w:rsidR="0031272C">
      <w:rPr>
        <w:sz w:val="20"/>
      </w:rPr>
      <w:t>20</w:t>
    </w:r>
    <w:r w:rsidR="00EF6BE8">
      <w:rPr>
        <w:sz w:val="20"/>
      </w:rPr>
      <w:t>22</w:t>
    </w:r>
  </w:p>
  <w:p w14:paraId="239EBF85" w14:textId="77777777" w:rsidR="003A720E" w:rsidRDefault="003A720E" w:rsidP="00EF6BE8">
    <w:pPr>
      <w:tabs>
        <w:tab w:val="left" w:pos="70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5057" w14:textId="77777777" w:rsidR="00EF6BE8" w:rsidRDefault="00EF6B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8460"/>
        </w:tabs>
        <w:ind w:left="8460" w:hanging="360"/>
      </w:pPr>
    </w:lvl>
  </w:abstractNum>
  <w:abstractNum w:abstractNumId="1" w15:restartNumberingAfterBreak="0">
    <w:nsid w:val="02F35166"/>
    <w:multiLevelType w:val="multilevel"/>
    <w:tmpl w:val="474EF77C"/>
    <w:lvl w:ilvl="0">
      <w:start w:val="1"/>
      <w:numFmt w:val="decimal"/>
      <w:lvlText w:val="%1."/>
      <w:lvlJc w:val="left"/>
      <w:pPr>
        <w:tabs>
          <w:tab w:val="num" w:pos="360"/>
        </w:tabs>
        <w:ind w:left="360" w:hanging="360"/>
      </w:pPr>
      <w:rPr>
        <w:rFonts w:ascii="Arial" w:eastAsia="Times New Roman" w:hAnsi="Arial" w:cs="Times New Roman" w:hint="default"/>
        <w:vertAlign w:val="baseline"/>
      </w:rPr>
    </w:lvl>
    <w:lvl w:ilvl="1">
      <w:start w:val="1"/>
      <w:numFmt w:val="lowerLetter"/>
      <w:lvlText w:val="%2."/>
      <w:lvlJc w:val="left"/>
      <w:pPr>
        <w:tabs>
          <w:tab w:val="num" w:pos="630"/>
        </w:tabs>
        <w:ind w:left="63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9647B9A"/>
    <w:multiLevelType w:val="hybridMultilevel"/>
    <w:tmpl w:val="94B68008"/>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43020"/>
    <w:multiLevelType w:val="hybridMultilevel"/>
    <w:tmpl w:val="CD8C3186"/>
    <w:lvl w:ilvl="0" w:tplc="6EC29986">
      <w:start w:val="1"/>
      <w:numFmt w:val="decimal"/>
      <w:lvlText w:val="%1."/>
      <w:lvlJc w:val="left"/>
      <w:pPr>
        <w:tabs>
          <w:tab w:val="num" w:pos="360"/>
        </w:tabs>
        <w:ind w:left="360" w:hanging="360"/>
      </w:pPr>
      <w:rPr>
        <w:rFonts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F63DD6"/>
    <w:multiLevelType w:val="hybridMultilevel"/>
    <w:tmpl w:val="318AD1E8"/>
    <w:lvl w:ilvl="0" w:tplc="FFFFFFFF">
      <w:start w:val="1"/>
      <w:numFmt w:val="decimal"/>
      <w:lvlText w:val="%1."/>
      <w:lvlJc w:val="left"/>
      <w:pPr>
        <w:ind w:left="360" w:hanging="360"/>
      </w:pPr>
      <w:rPr>
        <w:rFonts w:ascii="Arial" w:eastAsia="Times New Roman" w:hAnsi="Arial"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B10505"/>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9D64A2A"/>
    <w:multiLevelType w:val="hybridMultilevel"/>
    <w:tmpl w:val="E63C48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42696"/>
    <w:multiLevelType w:val="hybridMultilevel"/>
    <w:tmpl w:val="7FF8B556"/>
    <w:lvl w:ilvl="0" w:tplc="4EBA8CCC">
      <w:start w:val="1"/>
      <w:numFmt w:val="decimal"/>
      <w:lvlText w:val="%1."/>
      <w:lvlJc w:val="left"/>
      <w:pPr>
        <w:ind w:left="720" w:hanging="360"/>
      </w:pPr>
      <w:rPr>
        <w:rFonts w:ascii="Arial" w:eastAsia="Times New Roman" w:hAnsi="Arial"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8224C3"/>
    <w:multiLevelType w:val="hybridMultilevel"/>
    <w:tmpl w:val="C40C7A26"/>
    <w:lvl w:ilvl="0" w:tplc="0409000F">
      <w:start w:val="1"/>
      <w:numFmt w:val="decimal"/>
      <w:lvlText w:val="%1."/>
      <w:lvlJc w:val="left"/>
      <w:pPr>
        <w:ind w:left="720" w:hanging="360"/>
      </w:pPr>
      <w:rPr>
        <w:rFonts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670274"/>
    <w:multiLevelType w:val="hybridMultilevel"/>
    <w:tmpl w:val="D1C06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0642D3B"/>
    <w:multiLevelType w:val="hybridMultilevel"/>
    <w:tmpl w:val="9F981092"/>
    <w:lvl w:ilvl="0" w:tplc="94AE72B6">
      <w:start w:val="1"/>
      <w:numFmt w:val="decimal"/>
      <w:lvlText w:val="%1."/>
      <w:lvlJc w:val="left"/>
      <w:pPr>
        <w:ind w:left="360" w:hanging="360"/>
      </w:pPr>
      <w:rPr>
        <w:b w:val="0"/>
        <w:bCs w:val="0"/>
      </w:rPr>
    </w:lvl>
    <w:lvl w:ilvl="1" w:tplc="B436ECA8">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48C257F"/>
    <w:multiLevelType w:val="hybridMultilevel"/>
    <w:tmpl w:val="9F981092"/>
    <w:lvl w:ilvl="0" w:tplc="FFFFFFFF">
      <w:start w:val="1"/>
      <w:numFmt w:val="decimal"/>
      <w:lvlText w:val="%1."/>
      <w:lvlJc w:val="left"/>
      <w:pPr>
        <w:ind w:left="360" w:hanging="360"/>
      </w:pPr>
      <w:rPr>
        <w:b w:val="0"/>
        <w:bCs w:val="0"/>
      </w:rPr>
    </w:lvl>
    <w:lvl w:ilvl="1" w:tplc="FFFFFFFF">
      <w:start w:val="1"/>
      <w:numFmt w:val="lowerLetter"/>
      <w:lvlText w:val="%2."/>
      <w:lvlJc w:val="left"/>
      <w:pPr>
        <w:ind w:left="1080" w:hanging="360"/>
      </w:pPr>
      <w:rPr>
        <w:b w:val="0"/>
        <w:bCs w:val="0"/>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DB35B1"/>
    <w:multiLevelType w:val="multilevel"/>
    <w:tmpl w:val="D9FAF48A"/>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E2EDF"/>
    <w:multiLevelType w:val="hybridMultilevel"/>
    <w:tmpl w:val="0A0E0640"/>
    <w:lvl w:ilvl="0" w:tplc="B0F080DC">
      <w:start w:val="1"/>
      <w:numFmt w:val="decimal"/>
      <w:lvlText w:val="%1."/>
      <w:lvlJc w:val="left"/>
      <w:pPr>
        <w:ind w:left="360" w:hanging="360"/>
      </w:pPr>
      <w:rPr>
        <w:rFonts w:ascii="Arial" w:eastAsia="Times New Roman"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D021A52"/>
    <w:multiLevelType w:val="hybridMultilevel"/>
    <w:tmpl w:val="02BE8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06214E5"/>
    <w:multiLevelType w:val="hybridMultilevel"/>
    <w:tmpl w:val="BBF42E0C"/>
    <w:lvl w:ilvl="0" w:tplc="BD5E3B32">
      <w:start w:val="1"/>
      <w:numFmt w:val="decimal"/>
      <w:lvlText w:val="%1."/>
      <w:lvlJc w:val="left"/>
      <w:pPr>
        <w:ind w:left="360" w:hanging="360"/>
      </w:pPr>
      <w:rPr>
        <w:rFonts w:ascii="Arial" w:eastAsia="Times New Roman" w:hAnsi="Arial" w:cs="Times New Roman"/>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12121B1"/>
    <w:multiLevelType w:val="multilevel"/>
    <w:tmpl w:val="3B2EA7F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2012DBF"/>
    <w:multiLevelType w:val="hybridMultilevel"/>
    <w:tmpl w:val="6F300D7C"/>
    <w:lvl w:ilvl="0" w:tplc="2A00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4CE7C50"/>
    <w:multiLevelType w:val="multilevel"/>
    <w:tmpl w:val="CA42DB9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346AD8"/>
    <w:multiLevelType w:val="hybridMultilevel"/>
    <w:tmpl w:val="862E12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1E53330"/>
    <w:multiLevelType w:val="hybridMultilevel"/>
    <w:tmpl w:val="06541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78375A"/>
    <w:multiLevelType w:val="hybridMultilevel"/>
    <w:tmpl w:val="60169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780447985">
    <w:abstractNumId w:val="4"/>
  </w:num>
  <w:num w:numId="2" w16cid:durableId="368915108">
    <w:abstractNumId w:val="46"/>
  </w:num>
  <w:num w:numId="3" w16cid:durableId="400831114">
    <w:abstractNumId w:val="14"/>
  </w:num>
  <w:num w:numId="4" w16cid:durableId="198324806">
    <w:abstractNumId w:val="31"/>
  </w:num>
  <w:num w:numId="5" w16cid:durableId="969283806">
    <w:abstractNumId w:val="3"/>
  </w:num>
  <w:num w:numId="6" w16cid:durableId="1560743954">
    <w:abstractNumId w:val="49"/>
  </w:num>
  <w:num w:numId="7" w16cid:durableId="93602188">
    <w:abstractNumId w:val="29"/>
  </w:num>
  <w:num w:numId="8" w16cid:durableId="1375082741">
    <w:abstractNumId w:val="40"/>
  </w:num>
  <w:num w:numId="9" w16cid:durableId="1603106520">
    <w:abstractNumId w:val="13"/>
  </w:num>
  <w:num w:numId="10" w16cid:durableId="1398088793">
    <w:abstractNumId w:val="22"/>
  </w:num>
  <w:num w:numId="11" w16cid:durableId="584539229">
    <w:abstractNumId w:val="35"/>
  </w:num>
  <w:num w:numId="12" w16cid:durableId="1308127827">
    <w:abstractNumId w:val="45"/>
  </w:num>
  <w:num w:numId="13" w16cid:durableId="1400516160">
    <w:abstractNumId w:val="39"/>
  </w:num>
  <w:num w:numId="14" w16cid:durableId="56590139">
    <w:abstractNumId w:val="8"/>
  </w:num>
  <w:num w:numId="15" w16cid:durableId="1087455486">
    <w:abstractNumId w:val="48"/>
  </w:num>
  <w:num w:numId="16" w16cid:durableId="681779345">
    <w:abstractNumId w:val="43"/>
  </w:num>
  <w:num w:numId="17" w16cid:durableId="2030251224">
    <w:abstractNumId w:val="18"/>
  </w:num>
  <w:num w:numId="18" w16cid:durableId="1984962347">
    <w:abstractNumId w:val="37"/>
  </w:num>
  <w:num w:numId="19" w16cid:durableId="1177889563">
    <w:abstractNumId w:val="36"/>
  </w:num>
  <w:num w:numId="20" w16cid:durableId="1856813">
    <w:abstractNumId w:val="10"/>
  </w:num>
  <w:num w:numId="21" w16cid:durableId="1029793114">
    <w:abstractNumId w:val="21"/>
  </w:num>
  <w:num w:numId="22" w16cid:durableId="1658148488">
    <w:abstractNumId w:val="23"/>
  </w:num>
  <w:num w:numId="23" w16cid:durableId="393312729">
    <w:abstractNumId w:val="0"/>
  </w:num>
  <w:num w:numId="24" w16cid:durableId="144472843">
    <w:abstractNumId w:val="30"/>
  </w:num>
  <w:num w:numId="25" w16cid:durableId="2045328024">
    <w:abstractNumId w:val="27"/>
  </w:num>
  <w:num w:numId="26" w16cid:durableId="1824618921">
    <w:abstractNumId w:val="25"/>
  </w:num>
  <w:num w:numId="27" w16cid:durableId="633025930">
    <w:abstractNumId w:val="9"/>
  </w:num>
  <w:num w:numId="28" w16cid:durableId="102846846">
    <w:abstractNumId w:val="2"/>
  </w:num>
  <w:num w:numId="29" w16cid:durableId="1860199778">
    <w:abstractNumId w:val="26"/>
  </w:num>
  <w:num w:numId="30" w16cid:durableId="855316114">
    <w:abstractNumId w:val="5"/>
  </w:num>
  <w:num w:numId="31" w16cid:durableId="268241662">
    <w:abstractNumId w:val="15"/>
  </w:num>
  <w:num w:numId="32" w16cid:durableId="663122209">
    <w:abstractNumId w:val="16"/>
  </w:num>
  <w:num w:numId="33" w16cid:durableId="1828328025">
    <w:abstractNumId w:val="34"/>
  </w:num>
  <w:num w:numId="34" w16cid:durableId="2103909519">
    <w:abstractNumId w:val="42"/>
  </w:num>
  <w:num w:numId="35" w16cid:durableId="880240855">
    <w:abstractNumId w:val="33"/>
  </w:num>
  <w:num w:numId="36" w16cid:durableId="766540853">
    <w:abstractNumId w:val="41"/>
  </w:num>
  <w:num w:numId="37" w16cid:durableId="322589185">
    <w:abstractNumId w:val="1"/>
  </w:num>
  <w:num w:numId="38" w16cid:durableId="205917005">
    <w:abstractNumId w:val="6"/>
  </w:num>
  <w:num w:numId="39" w16cid:durableId="1861891935">
    <w:abstractNumId w:val="24"/>
  </w:num>
  <w:num w:numId="40" w16cid:durableId="137841457">
    <w:abstractNumId w:val="7"/>
  </w:num>
  <w:num w:numId="41" w16cid:durableId="225844936">
    <w:abstractNumId w:val="11"/>
  </w:num>
  <w:num w:numId="42" w16cid:durableId="328679819">
    <w:abstractNumId w:val="17"/>
  </w:num>
  <w:num w:numId="43" w16cid:durableId="718554205">
    <w:abstractNumId w:val="44"/>
  </w:num>
  <w:num w:numId="44" w16cid:durableId="1635985214">
    <w:abstractNumId w:val="47"/>
  </w:num>
  <w:num w:numId="45" w16cid:durableId="2034574550">
    <w:abstractNumId w:val="28"/>
  </w:num>
  <w:num w:numId="46" w16cid:durableId="1793864087">
    <w:abstractNumId w:val="19"/>
  </w:num>
  <w:num w:numId="47" w16cid:durableId="745996429">
    <w:abstractNumId w:val="32"/>
  </w:num>
  <w:num w:numId="48" w16cid:durableId="1734889676">
    <w:abstractNumId w:val="38"/>
  </w:num>
  <w:num w:numId="49" w16cid:durableId="239339010">
    <w:abstractNumId w:val="12"/>
  </w:num>
  <w:num w:numId="50" w16cid:durableId="599023351">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5g9U1HHEqyV0v2o9lwTJ+9RmzdjALh//egLbayq3eHyKCVDi6Dr8bbzXd1bkGx9zFBr8RI7xRQ5JNoCJdPQ==" w:salt="1NuMKZaC4zqC1V/CLnkc8A=="/>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AC"/>
    <w:rsid w:val="000000B9"/>
    <w:rsid w:val="00002993"/>
    <w:rsid w:val="00003141"/>
    <w:rsid w:val="000047E7"/>
    <w:rsid w:val="000067DD"/>
    <w:rsid w:val="00006871"/>
    <w:rsid w:val="000069B5"/>
    <w:rsid w:val="00006A4E"/>
    <w:rsid w:val="00006F92"/>
    <w:rsid w:val="0000782C"/>
    <w:rsid w:val="00011131"/>
    <w:rsid w:val="000112F8"/>
    <w:rsid w:val="00012E33"/>
    <w:rsid w:val="00014082"/>
    <w:rsid w:val="00017E74"/>
    <w:rsid w:val="00021E1F"/>
    <w:rsid w:val="00021F93"/>
    <w:rsid w:val="00024091"/>
    <w:rsid w:val="000243E8"/>
    <w:rsid w:val="00025A80"/>
    <w:rsid w:val="0002792B"/>
    <w:rsid w:val="0003026C"/>
    <w:rsid w:val="00030B10"/>
    <w:rsid w:val="000317CC"/>
    <w:rsid w:val="000363C9"/>
    <w:rsid w:val="000363E8"/>
    <w:rsid w:val="000369CC"/>
    <w:rsid w:val="000372C8"/>
    <w:rsid w:val="00037ED9"/>
    <w:rsid w:val="00040921"/>
    <w:rsid w:val="000409D2"/>
    <w:rsid w:val="0004217B"/>
    <w:rsid w:val="0004257A"/>
    <w:rsid w:val="00044CCA"/>
    <w:rsid w:val="00045EBF"/>
    <w:rsid w:val="0004717F"/>
    <w:rsid w:val="00047780"/>
    <w:rsid w:val="000507AD"/>
    <w:rsid w:val="000509C6"/>
    <w:rsid w:val="00054BBF"/>
    <w:rsid w:val="00055028"/>
    <w:rsid w:val="0005532E"/>
    <w:rsid w:val="000577A6"/>
    <w:rsid w:val="00057F26"/>
    <w:rsid w:val="0006097C"/>
    <w:rsid w:val="00060C42"/>
    <w:rsid w:val="0006121A"/>
    <w:rsid w:val="0006171A"/>
    <w:rsid w:val="00061D61"/>
    <w:rsid w:val="00062649"/>
    <w:rsid w:val="00062875"/>
    <w:rsid w:val="00062A67"/>
    <w:rsid w:val="000630E3"/>
    <w:rsid w:val="000638EC"/>
    <w:rsid w:val="000647E0"/>
    <w:rsid w:val="000662AD"/>
    <w:rsid w:val="0006736C"/>
    <w:rsid w:val="0006750A"/>
    <w:rsid w:val="000675A0"/>
    <w:rsid w:val="00067EF6"/>
    <w:rsid w:val="0007030E"/>
    <w:rsid w:val="00070ECD"/>
    <w:rsid w:val="00071E9D"/>
    <w:rsid w:val="00072295"/>
    <w:rsid w:val="000727D9"/>
    <w:rsid w:val="00073D09"/>
    <w:rsid w:val="00073F6D"/>
    <w:rsid w:val="00074308"/>
    <w:rsid w:val="00074687"/>
    <w:rsid w:val="00075C5B"/>
    <w:rsid w:val="00075EF4"/>
    <w:rsid w:val="00081762"/>
    <w:rsid w:val="000822B4"/>
    <w:rsid w:val="00083866"/>
    <w:rsid w:val="000842C8"/>
    <w:rsid w:val="0008483F"/>
    <w:rsid w:val="000862E3"/>
    <w:rsid w:val="00086D5F"/>
    <w:rsid w:val="000902EF"/>
    <w:rsid w:val="00090A25"/>
    <w:rsid w:val="00091444"/>
    <w:rsid w:val="00091F01"/>
    <w:rsid w:val="0009250F"/>
    <w:rsid w:val="00092B8A"/>
    <w:rsid w:val="00093721"/>
    <w:rsid w:val="000944A9"/>
    <w:rsid w:val="00094571"/>
    <w:rsid w:val="000948B0"/>
    <w:rsid w:val="0009514E"/>
    <w:rsid w:val="00095B77"/>
    <w:rsid w:val="00096F29"/>
    <w:rsid w:val="000972F1"/>
    <w:rsid w:val="000A016A"/>
    <w:rsid w:val="000A0751"/>
    <w:rsid w:val="000A26FD"/>
    <w:rsid w:val="000A3C74"/>
    <w:rsid w:val="000A43CE"/>
    <w:rsid w:val="000A51F8"/>
    <w:rsid w:val="000B3A18"/>
    <w:rsid w:val="000B59E4"/>
    <w:rsid w:val="000B5B7C"/>
    <w:rsid w:val="000B5B9C"/>
    <w:rsid w:val="000B685D"/>
    <w:rsid w:val="000B692A"/>
    <w:rsid w:val="000B6ACC"/>
    <w:rsid w:val="000B75E7"/>
    <w:rsid w:val="000C03A7"/>
    <w:rsid w:val="000C1DDB"/>
    <w:rsid w:val="000C30AC"/>
    <w:rsid w:val="000C3C52"/>
    <w:rsid w:val="000C3E2B"/>
    <w:rsid w:val="000C3F1E"/>
    <w:rsid w:val="000C414F"/>
    <w:rsid w:val="000C550F"/>
    <w:rsid w:val="000C64EF"/>
    <w:rsid w:val="000D24F8"/>
    <w:rsid w:val="000D279F"/>
    <w:rsid w:val="000D27AE"/>
    <w:rsid w:val="000D2BE3"/>
    <w:rsid w:val="000D3201"/>
    <w:rsid w:val="000D3273"/>
    <w:rsid w:val="000D434B"/>
    <w:rsid w:val="000D47AC"/>
    <w:rsid w:val="000D49F1"/>
    <w:rsid w:val="000D4C31"/>
    <w:rsid w:val="000D5749"/>
    <w:rsid w:val="000D5F06"/>
    <w:rsid w:val="000D6560"/>
    <w:rsid w:val="000D7DC3"/>
    <w:rsid w:val="000E01C2"/>
    <w:rsid w:val="000E0860"/>
    <w:rsid w:val="000E10BB"/>
    <w:rsid w:val="000E192A"/>
    <w:rsid w:val="000E1FDD"/>
    <w:rsid w:val="000E2596"/>
    <w:rsid w:val="000E4153"/>
    <w:rsid w:val="000E4E06"/>
    <w:rsid w:val="000E6FEF"/>
    <w:rsid w:val="000E756D"/>
    <w:rsid w:val="000E7D87"/>
    <w:rsid w:val="000F036D"/>
    <w:rsid w:val="000F096A"/>
    <w:rsid w:val="000F14DA"/>
    <w:rsid w:val="000F23D6"/>
    <w:rsid w:val="000F2439"/>
    <w:rsid w:val="000F256D"/>
    <w:rsid w:val="000F3188"/>
    <w:rsid w:val="000F32FF"/>
    <w:rsid w:val="000F3997"/>
    <w:rsid w:val="000F479C"/>
    <w:rsid w:val="000F4B60"/>
    <w:rsid w:val="000F67EE"/>
    <w:rsid w:val="000F7B6B"/>
    <w:rsid w:val="00100477"/>
    <w:rsid w:val="0010097A"/>
    <w:rsid w:val="00101186"/>
    <w:rsid w:val="00103446"/>
    <w:rsid w:val="0010367F"/>
    <w:rsid w:val="001041B1"/>
    <w:rsid w:val="00104849"/>
    <w:rsid w:val="00104AC4"/>
    <w:rsid w:val="00105176"/>
    <w:rsid w:val="001055B3"/>
    <w:rsid w:val="00107D12"/>
    <w:rsid w:val="00112782"/>
    <w:rsid w:val="00112B81"/>
    <w:rsid w:val="00112CA0"/>
    <w:rsid w:val="00114286"/>
    <w:rsid w:val="00114C6F"/>
    <w:rsid w:val="001152DA"/>
    <w:rsid w:val="001160A2"/>
    <w:rsid w:val="00116158"/>
    <w:rsid w:val="00117BC4"/>
    <w:rsid w:val="00117BC6"/>
    <w:rsid w:val="0012075B"/>
    <w:rsid w:val="0012240D"/>
    <w:rsid w:val="00124DF4"/>
    <w:rsid w:val="0012743F"/>
    <w:rsid w:val="00127459"/>
    <w:rsid w:val="00130B35"/>
    <w:rsid w:val="0013346B"/>
    <w:rsid w:val="00133F34"/>
    <w:rsid w:val="00135B96"/>
    <w:rsid w:val="001375CA"/>
    <w:rsid w:val="001410F5"/>
    <w:rsid w:val="00143E55"/>
    <w:rsid w:val="0014500E"/>
    <w:rsid w:val="00145588"/>
    <w:rsid w:val="001464D3"/>
    <w:rsid w:val="00146AA5"/>
    <w:rsid w:val="00146D37"/>
    <w:rsid w:val="001471EE"/>
    <w:rsid w:val="00147AB3"/>
    <w:rsid w:val="00151027"/>
    <w:rsid w:val="001515E9"/>
    <w:rsid w:val="00152632"/>
    <w:rsid w:val="00152BC7"/>
    <w:rsid w:val="00152C77"/>
    <w:rsid w:val="00153FA5"/>
    <w:rsid w:val="00154BE3"/>
    <w:rsid w:val="00156668"/>
    <w:rsid w:val="001570B9"/>
    <w:rsid w:val="00160359"/>
    <w:rsid w:val="00161CF0"/>
    <w:rsid w:val="00162A6E"/>
    <w:rsid w:val="0016301E"/>
    <w:rsid w:val="001632B0"/>
    <w:rsid w:val="001637D6"/>
    <w:rsid w:val="001648B5"/>
    <w:rsid w:val="001656C0"/>
    <w:rsid w:val="001671A4"/>
    <w:rsid w:val="001673B4"/>
    <w:rsid w:val="00167F81"/>
    <w:rsid w:val="00171611"/>
    <w:rsid w:val="00171CB6"/>
    <w:rsid w:val="0017221D"/>
    <w:rsid w:val="0017445C"/>
    <w:rsid w:val="00175550"/>
    <w:rsid w:val="001758FC"/>
    <w:rsid w:val="0017594B"/>
    <w:rsid w:val="0017617E"/>
    <w:rsid w:val="001761C5"/>
    <w:rsid w:val="001769F5"/>
    <w:rsid w:val="00176F0B"/>
    <w:rsid w:val="001777F5"/>
    <w:rsid w:val="00177D27"/>
    <w:rsid w:val="001805FF"/>
    <w:rsid w:val="00180C7F"/>
    <w:rsid w:val="00181258"/>
    <w:rsid w:val="0018372C"/>
    <w:rsid w:val="001838ED"/>
    <w:rsid w:val="00184E6D"/>
    <w:rsid w:val="00185AF1"/>
    <w:rsid w:val="00186EBC"/>
    <w:rsid w:val="001873A7"/>
    <w:rsid w:val="001877F3"/>
    <w:rsid w:val="00190ABB"/>
    <w:rsid w:val="00196614"/>
    <w:rsid w:val="001973B2"/>
    <w:rsid w:val="001A1D50"/>
    <w:rsid w:val="001A30DB"/>
    <w:rsid w:val="001A3279"/>
    <w:rsid w:val="001A3AAD"/>
    <w:rsid w:val="001A3FC6"/>
    <w:rsid w:val="001A6C24"/>
    <w:rsid w:val="001A702B"/>
    <w:rsid w:val="001B1EBD"/>
    <w:rsid w:val="001B2916"/>
    <w:rsid w:val="001B3041"/>
    <w:rsid w:val="001B383F"/>
    <w:rsid w:val="001B3DC0"/>
    <w:rsid w:val="001B440D"/>
    <w:rsid w:val="001B4ACD"/>
    <w:rsid w:val="001B5028"/>
    <w:rsid w:val="001B53FC"/>
    <w:rsid w:val="001B5ACB"/>
    <w:rsid w:val="001B5E34"/>
    <w:rsid w:val="001C2F07"/>
    <w:rsid w:val="001C3773"/>
    <w:rsid w:val="001C3EEA"/>
    <w:rsid w:val="001C408F"/>
    <w:rsid w:val="001C5405"/>
    <w:rsid w:val="001C614B"/>
    <w:rsid w:val="001C64D4"/>
    <w:rsid w:val="001C6DB8"/>
    <w:rsid w:val="001C6DD2"/>
    <w:rsid w:val="001D1866"/>
    <w:rsid w:val="001D288F"/>
    <w:rsid w:val="001D2A16"/>
    <w:rsid w:val="001D4151"/>
    <w:rsid w:val="001D4191"/>
    <w:rsid w:val="001D440B"/>
    <w:rsid w:val="001D464A"/>
    <w:rsid w:val="001D4C8B"/>
    <w:rsid w:val="001D58B9"/>
    <w:rsid w:val="001D62E5"/>
    <w:rsid w:val="001D6893"/>
    <w:rsid w:val="001E0B6F"/>
    <w:rsid w:val="001E1249"/>
    <w:rsid w:val="001E16DE"/>
    <w:rsid w:val="001E1B5E"/>
    <w:rsid w:val="001E2AF2"/>
    <w:rsid w:val="001E5069"/>
    <w:rsid w:val="001E6DCD"/>
    <w:rsid w:val="001E714D"/>
    <w:rsid w:val="001E7938"/>
    <w:rsid w:val="001F02BE"/>
    <w:rsid w:val="001F085B"/>
    <w:rsid w:val="001F15C6"/>
    <w:rsid w:val="001F2372"/>
    <w:rsid w:val="001F25A4"/>
    <w:rsid w:val="001F2F2C"/>
    <w:rsid w:val="001F32ED"/>
    <w:rsid w:val="001F3A9A"/>
    <w:rsid w:val="001F3D50"/>
    <w:rsid w:val="001F3E8E"/>
    <w:rsid w:val="001F4876"/>
    <w:rsid w:val="001F649E"/>
    <w:rsid w:val="001F7DDD"/>
    <w:rsid w:val="00201DE4"/>
    <w:rsid w:val="00205661"/>
    <w:rsid w:val="002066B9"/>
    <w:rsid w:val="002100E0"/>
    <w:rsid w:val="00216128"/>
    <w:rsid w:val="0022115A"/>
    <w:rsid w:val="00221386"/>
    <w:rsid w:val="0022171F"/>
    <w:rsid w:val="002229D7"/>
    <w:rsid w:val="00224473"/>
    <w:rsid w:val="0022460F"/>
    <w:rsid w:val="00226013"/>
    <w:rsid w:val="002266D2"/>
    <w:rsid w:val="00230346"/>
    <w:rsid w:val="002316DB"/>
    <w:rsid w:val="00231889"/>
    <w:rsid w:val="00232A18"/>
    <w:rsid w:val="002332C3"/>
    <w:rsid w:val="00233961"/>
    <w:rsid w:val="00233E3B"/>
    <w:rsid w:val="00233E61"/>
    <w:rsid w:val="00234667"/>
    <w:rsid w:val="0023479A"/>
    <w:rsid w:val="00235B98"/>
    <w:rsid w:val="002360C8"/>
    <w:rsid w:val="002373B3"/>
    <w:rsid w:val="002413B2"/>
    <w:rsid w:val="00241B5D"/>
    <w:rsid w:val="002425DC"/>
    <w:rsid w:val="00243FE2"/>
    <w:rsid w:val="0024487D"/>
    <w:rsid w:val="00244FD5"/>
    <w:rsid w:val="0024614C"/>
    <w:rsid w:val="002465A7"/>
    <w:rsid w:val="00250D4C"/>
    <w:rsid w:val="00251830"/>
    <w:rsid w:val="00252EB9"/>
    <w:rsid w:val="00254B38"/>
    <w:rsid w:val="00254F18"/>
    <w:rsid w:val="00255675"/>
    <w:rsid w:val="00255ECD"/>
    <w:rsid w:val="0025601A"/>
    <w:rsid w:val="00256C88"/>
    <w:rsid w:val="0026033F"/>
    <w:rsid w:val="0026192C"/>
    <w:rsid w:val="00263023"/>
    <w:rsid w:val="002635B0"/>
    <w:rsid w:val="00266EA4"/>
    <w:rsid w:val="00267C45"/>
    <w:rsid w:val="00267D48"/>
    <w:rsid w:val="00270890"/>
    <w:rsid w:val="00270B7C"/>
    <w:rsid w:val="00272560"/>
    <w:rsid w:val="00272A80"/>
    <w:rsid w:val="002745AE"/>
    <w:rsid w:val="0027572B"/>
    <w:rsid w:val="00276651"/>
    <w:rsid w:val="00277397"/>
    <w:rsid w:val="002779A5"/>
    <w:rsid w:val="00277A04"/>
    <w:rsid w:val="00277A1A"/>
    <w:rsid w:val="002806DC"/>
    <w:rsid w:val="00280F1A"/>
    <w:rsid w:val="002819A1"/>
    <w:rsid w:val="0028234D"/>
    <w:rsid w:val="002845D3"/>
    <w:rsid w:val="00285F21"/>
    <w:rsid w:val="00287702"/>
    <w:rsid w:val="00287FE1"/>
    <w:rsid w:val="00291225"/>
    <w:rsid w:val="002916F7"/>
    <w:rsid w:val="002917CF"/>
    <w:rsid w:val="00293DAD"/>
    <w:rsid w:val="00294AED"/>
    <w:rsid w:val="00294BEB"/>
    <w:rsid w:val="00295F85"/>
    <w:rsid w:val="00296799"/>
    <w:rsid w:val="00296F45"/>
    <w:rsid w:val="002974B8"/>
    <w:rsid w:val="00297DB0"/>
    <w:rsid w:val="002A2208"/>
    <w:rsid w:val="002A4D24"/>
    <w:rsid w:val="002A4DBE"/>
    <w:rsid w:val="002A4E09"/>
    <w:rsid w:val="002B03FF"/>
    <w:rsid w:val="002B1046"/>
    <w:rsid w:val="002B1AA8"/>
    <w:rsid w:val="002B2132"/>
    <w:rsid w:val="002B29E9"/>
    <w:rsid w:val="002B5A0D"/>
    <w:rsid w:val="002B5ED5"/>
    <w:rsid w:val="002B5F18"/>
    <w:rsid w:val="002B790A"/>
    <w:rsid w:val="002B7D5B"/>
    <w:rsid w:val="002C152E"/>
    <w:rsid w:val="002C4D8C"/>
    <w:rsid w:val="002C529B"/>
    <w:rsid w:val="002C6F38"/>
    <w:rsid w:val="002C7CC5"/>
    <w:rsid w:val="002D3952"/>
    <w:rsid w:val="002D3BFA"/>
    <w:rsid w:val="002D588D"/>
    <w:rsid w:val="002D6741"/>
    <w:rsid w:val="002D6F00"/>
    <w:rsid w:val="002D6FB7"/>
    <w:rsid w:val="002D710E"/>
    <w:rsid w:val="002E10A6"/>
    <w:rsid w:val="002E2EC3"/>
    <w:rsid w:val="002E3875"/>
    <w:rsid w:val="002E3EAB"/>
    <w:rsid w:val="002E4BF5"/>
    <w:rsid w:val="002E4DE5"/>
    <w:rsid w:val="002E6E40"/>
    <w:rsid w:val="002E6E9A"/>
    <w:rsid w:val="002F12B8"/>
    <w:rsid w:val="002F1A73"/>
    <w:rsid w:val="002F2615"/>
    <w:rsid w:val="002F307C"/>
    <w:rsid w:val="002F4C64"/>
    <w:rsid w:val="002F4C9E"/>
    <w:rsid w:val="002F559A"/>
    <w:rsid w:val="002F5A19"/>
    <w:rsid w:val="002F6F37"/>
    <w:rsid w:val="002F71C6"/>
    <w:rsid w:val="002F7A44"/>
    <w:rsid w:val="00300220"/>
    <w:rsid w:val="0030089A"/>
    <w:rsid w:val="003033E1"/>
    <w:rsid w:val="003035A1"/>
    <w:rsid w:val="00303B50"/>
    <w:rsid w:val="00303F7E"/>
    <w:rsid w:val="00304085"/>
    <w:rsid w:val="003042BE"/>
    <w:rsid w:val="003042E2"/>
    <w:rsid w:val="00304770"/>
    <w:rsid w:val="00304852"/>
    <w:rsid w:val="003051A1"/>
    <w:rsid w:val="003052C8"/>
    <w:rsid w:val="0030591B"/>
    <w:rsid w:val="00310DF3"/>
    <w:rsid w:val="00311102"/>
    <w:rsid w:val="003113BF"/>
    <w:rsid w:val="0031272C"/>
    <w:rsid w:val="00312938"/>
    <w:rsid w:val="00312D00"/>
    <w:rsid w:val="00312FEC"/>
    <w:rsid w:val="00314F80"/>
    <w:rsid w:val="003163DA"/>
    <w:rsid w:val="0031787E"/>
    <w:rsid w:val="0032188A"/>
    <w:rsid w:val="00322A1B"/>
    <w:rsid w:val="00322F56"/>
    <w:rsid w:val="003241F8"/>
    <w:rsid w:val="00324B98"/>
    <w:rsid w:val="003255D2"/>
    <w:rsid w:val="0032567C"/>
    <w:rsid w:val="00327430"/>
    <w:rsid w:val="0033042D"/>
    <w:rsid w:val="00330626"/>
    <w:rsid w:val="00331666"/>
    <w:rsid w:val="003316BA"/>
    <w:rsid w:val="003324CE"/>
    <w:rsid w:val="00334306"/>
    <w:rsid w:val="0033445B"/>
    <w:rsid w:val="003360BF"/>
    <w:rsid w:val="00336588"/>
    <w:rsid w:val="00336ADE"/>
    <w:rsid w:val="003373CE"/>
    <w:rsid w:val="00337A45"/>
    <w:rsid w:val="00337C5A"/>
    <w:rsid w:val="003412FB"/>
    <w:rsid w:val="0034130B"/>
    <w:rsid w:val="003425FD"/>
    <w:rsid w:val="003428F7"/>
    <w:rsid w:val="00344576"/>
    <w:rsid w:val="003466DF"/>
    <w:rsid w:val="0034744B"/>
    <w:rsid w:val="003515C6"/>
    <w:rsid w:val="00351FB6"/>
    <w:rsid w:val="0035266C"/>
    <w:rsid w:val="00352CC0"/>
    <w:rsid w:val="00352EE6"/>
    <w:rsid w:val="00353B30"/>
    <w:rsid w:val="00353ECB"/>
    <w:rsid w:val="0035455C"/>
    <w:rsid w:val="00354B88"/>
    <w:rsid w:val="003557AC"/>
    <w:rsid w:val="003569C4"/>
    <w:rsid w:val="00356BA9"/>
    <w:rsid w:val="003613B8"/>
    <w:rsid w:val="003625C7"/>
    <w:rsid w:val="003633AD"/>
    <w:rsid w:val="003647B9"/>
    <w:rsid w:val="0037154B"/>
    <w:rsid w:val="00371AEB"/>
    <w:rsid w:val="00372A16"/>
    <w:rsid w:val="00372E7C"/>
    <w:rsid w:val="00373A6C"/>
    <w:rsid w:val="00374A95"/>
    <w:rsid w:val="00375289"/>
    <w:rsid w:val="003757DF"/>
    <w:rsid w:val="00375AE2"/>
    <w:rsid w:val="00375C6A"/>
    <w:rsid w:val="00376AC9"/>
    <w:rsid w:val="0038082B"/>
    <w:rsid w:val="00382004"/>
    <w:rsid w:val="00384E08"/>
    <w:rsid w:val="00385F1E"/>
    <w:rsid w:val="00385FF4"/>
    <w:rsid w:val="00387621"/>
    <w:rsid w:val="0039080E"/>
    <w:rsid w:val="00391CA0"/>
    <w:rsid w:val="0039201E"/>
    <w:rsid w:val="003922C1"/>
    <w:rsid w:val="00392551"/>
    <w:rsid w:val="00392956"/>
    <w:rsid w:val="00393A6F"/>
    <w:rsid w:val="00395AB3"/>
    <w:rsid w:val="00395DE1"/>
    <w:rsid w:val="00395F98"/>
    <w:rsid w:val="00396734"/>
    <w:rsid w:val="003968B8"/>
    <w:rsid w:val="00397975"/>
    <w:rsid w:val="003979E2"/>
    <w:rsid w:val="003A0E4B"/>
    <w:rsid w:val="003A28DA"/>
    <w:rsid w:val="003A327D"/>
    <w:rsid w:val="003A4268"/>
    <w:rsid w:val="003A45BA"/>
    <w:rsid w:val="003A4F02"/>
    <w:rsid w:val="003A52A1"/>
    <w:rsid w:val="003A5A58"/>
    <w:rsid w:val="003A6802"/>
    <w:rsid w:val="003A720E"/>
    <w:rsid w:val="003A7A25"/>
    <w:rsid w:val="003A7C95"/>
    <w:rsid w:val="003B1CC9"/>
    <w:rsid w:val="003B2FD2"/>
    <w:rsid w:val="003B3AB8"/>
    <w:rsid w:val="003B48B4"/>
    <w:rsid w:val="003B4A42"/>
    <w:rsid w:val="003B5419"/>
    <w:rsid w:val="003B5C33"/>
    <w:rsid w:val="003B5FEF"/>
    <w:rsid w:val="003C19DE"/>
    <w:rsid w:val="003C2679"/>
    <w:rsid w:val="003C27EA"/>
    <w:rsid w:val="003C3B6F"/>
    <w:rsid w:val="003C4678"/>
    <w:rsid w:val="003C6E52"/>
    <w:rsid w:val="003C71D8"/>
    <w:rsid w:val="003D1052"/>
    <w:rsid w:val="003D11A5"/>
    <w:rsid w:val="003D15A3"/>
    <w:rsid w:val="003D1761"/>
    <w:rsid w:val="003D35F5"/>
    <w:rsid w:val="003D3E97"/>
    <w:rsid w:val="003D4984"/>
    <w:rsid w:val="003D5D4B"/>
    <w:rsid w:val="003D6E3F"/>
    <w:rsid w:val="003D72D6"/>
    <w:rsid w:val="003D753E"/>
    <w:rsid w:val="003E2836"/>
    <w:rsid w:val="003E4A18"/>
    <w:rsid w:val="003F0715"/>
    <w:rsid w:val="003F2BFC"/>
    <w:rsid w:val="003F32F1"/>
    <w:rsid w:val="003F4905"/>
    <w:rsid w:val="003F5BE8"/>
    <w:rsid w:val="003F6A21"/>
    <w:rsid w:val="00402F46"/>
    <w:rsid w:val="004032B7"/>
    <w:rsid w:val="004037A2"/>
    <w:rsid w:val="004044D5"/>
    <w:rsid w:val="00405462"/>
    <w:rsid w:val="00405CB3"/>
    <w:rsid w:val="00407EFE"/>
    <w:rsid w:val="0041064E"/>
    <w:rsid w:val="00412B32"/>
    <w:rsid w:val="00412D55"/>
    <w:rsid w:val="004132A7"/>
    <w:rsid w:val="00415A04"/>
    <w:rsid w:val="00415C8A"/>
    <w:rsid w:val="00416304"/>
    <w:rsid w:val="00417292"/>
    <w:rsid w:val="00420094"/>
    <w:rsid w:val="00420D0E"/>
    <w:rsid w:val="004249DD"/>
    <w:rsid w:val="00425031"/>
    <w:rsid w:val="004255EC"/>
    <w:rsid w:val="00427891"/>
    <w:rsid w:val="00430A3C"/>
    <w:rsid w:val="00431A42"/>
    <w:rsid w:val="00431BC1"/>
    <w:rsid w:val="00431EA0"/>
    <w:rsid w:val="00431F44"/>
    <w:rsid w:val="0043250B"/>
    <w:rsid w:val="00434344"/>
    <w:rsid w:val="00435A6A"/>
    <w:rsid w:val="00435EBD"/>
    <w:rsid w:val="00436DCE"/>
    <w:rsid w:val="004377EE"/>
    <w:rsid w:val="00440008"/>
    <w:rsid w:val="00440957"/>
    <w:rsid w:val="00440C26"/>
    <w:rsid w:val="004428E2"/>
    <w:rsid w:val="00442B4A"/>
    <w:rsid w:val="00442BF0"/>
    <w:rsid w:val="00443523"/>
    <w:rsid w:val="00445C28"/>
    <w:rsid w:val="004465A7"/>
    <w:rsid w:val="00446BF1"/>
    <w:rsid w:val="00447D64"/>
    <w:rsid w:val="00447DF3"/>
    <w:rsid w:val="00450590"/>
    <w:rsid w:val="004507AD"/>
    <w:rsid w:val="004544ED"/>
    <w:rsid w:val="004568E6"/>
    <w:rsid w:val="00456F47"/>
    <w:rsid w:val="00457795"/>
    <w:rsid w:val="00457A71"/>
    <w:rsid w:val="004607A8"/>
    <w:rsid w:val="004614AC"/>
    <w:rsid w:val="00461D22"/>
    <w:rsid w:val="00461E40"/>
    <w:rsid w:val="00462A82"/>
    <w:rsid w:val="004649EF"/>
    <w:rsid w:val="004651D3"/>
    <w:rsid w:val="00466618"/>
    <w:rsid w:val="00466FB7"/>
    <w:rsid w:val="0047313B"/>
    <w:rsid w:val="00474174"/>
    <w:rsid w:val="004747E9"/>
    <w:rsid w:val="0047517E"/>
    <w:rsid w:val="00475DB8"/>
    <w:rsid w:val="00477689"/>
    <w:rsid w:val="004825B1"/>
    <w:rsid w:val="00486140"/>
    <w:rsid w:val="004869AC"/>
    <w:rsid w:val="00486CB9"/>
    <w:rsid w:val="004875CB"/>
    <w:rsid w:val="00487FAB"/>
    <w:rsid w:val="004925A5"/>
    <w:rsid w:val="00493E52"/>
    <w:rsid w:val="004945C4"/>
    <w:rsid w:val="00494D15"/>
    <w:rsid w:val="00497085"/>
    <w:rsid w:val="004A23B7"/>
    <w:rsid w:val="004A2E0F"/>
    <w:rsid w:val="004A3CD0"/>
    <w:rsid w:val="004A46ED"/>
    <w:rsid w:val="004A47CD"/>
    <w:rsid w:val="004A4F2B"/>
    <w:rsid w:val="004A5631"/>
    <w:rsid w:val="004A5CA0"/>
    <w:rsid w:val="004A6666"/>
    <w:rsid w:val="004A6BB8"/>
    <w:rsid w:val="004A6C75"/>
    <w:rsid w:val="004A7016"/>
    <w:rsid w:val="004A71FF"/>
    <w:rsid w:val="004A7DC8"/>
    <w:rsid w:val="004B06EF"/>
    <w:rsid w:val="004B098F"/>
    <w:rsid w:val="004B120A"/>
    <w:rsid w:val="004B2105"/>
    <w:rsid w:val="004B23D0"/>
    <w:rsid w:val="004B34D9"/>
    <w:rsid w:val="004B3715"/>
    <w:rsid w:val="004B3E39"/>
    <w:rsid w:val="004B4509"/>
    <w:rsid w:val="004B4632"/>
    <w:rsid w:val="004B5D95"/>
    <w:rsid w:val="004B6755"/>
    <w:rsid w:val="004B722B"/>
    <w:rsid w:val="004C073B"/>
    <w:rsid w:val="004C1BC6"/>
    <w:rsid w:val="004C1D64"/>
    <w:rsid w:val="004C2422"/>
    <w:rsid w:val="004C3288"/>
    <w:rsid w:val="004C656A"/>
    <w:rsid w:val="004C69F6"/>
    <w:rsid w:val="004C6AB6"/>
    <w:rsid w:val="004C6C0D"/>
    <w:rsid w:val="004C7900"/>
    <w:rsid w:val="004D2084"/>
    <w:rsid w:val="004D269A"/>
    <w:rsid w:val="004D2B14"/>
    <w:rsid w:val="004D5E2D"/>
    <w:rsid w:val="004D609A"/>
    <w:rsid w:val="004D7E0E"/>
    <w:rsid w:val="004E101B"/>
    <w:rsid w:val="004E2196"/>
    <w:rsid w:val="004E2DF9"/>
    <w:rsid w:val="004E384B"/>
    <w:rsid w:val="004F09CF"/>
    <w:rsid w:val="004F0E04"/>
    <w:rsid w:val="004F111B"/>
    <w:rsid w:val="004F1860"/>
    <w:rsid w:val="004F47B3"/>
    <w:rsid w:val="004F5DF2"/>
    <w:rsid w:val="004F6B23"/>
    <w:rsid w:val="004F77DB"/>
    <w:rsid w:val="00500774"/>
    <w:rsid w:val="0050200E"/>
    <w:rsid w:val="00502C28"/>
    <w:rsid w:val="005032BF"/>
    <w:rsid w:val="005035AE"/>
    <w:rsid w:val="00504297"/>
    <w:rsid w:val="00505D7E"/>
    <w:rsid w:val="0050707C"/>
    <w:rsid w:val="0051118F"/>
    <w:rsid w:val="005114C5"/>
    <w:rsid w:val="00512B9E"/>
    <w:rsid w:val="0051355E"/>
    <w:rsid w:val="00514F56"/>
    <w:rsid w:val="005161BF"/>
    <w:rsid w:val="00516B00"/>
    <w:rsid w:val="00517D38"/>
    <w:rsid w:val="00517F80"/>
    <w:rsid w:val="005207F9"/>
    <w:rsid w:val="0052082F"/>
    <w:rsid w:val="00521F0D"/>
    <w:rsid w:val="00522CB6"/>
    <w:rsid w:val="00522FC2"/>
    <w:rsid w:val="00523B02"/>
    <w:rsid w:val="00524120"/>
    <w:rsid w:val="005242A5"/>
    <w:rsid w:val="005249D0"/>
    <w:rsid w:val="0052537C"/>
    <w:rsid w:val="0052583B"/>
    <w:rsid w:val="00526155"/>
    <w:rsid w:val="00527BC8"/>
    <w:rsid w:val="00531329"/>
    <w:rsid w:val="0053289E"/>
    <w:rsid w:val="00532DE7"/>
    <w:rsid w:val="00533B7E"/>
    <w:rsid w:val="00533E26"/>
    <w:rsid w:val="00533F17"/>
    <w:rsid w:val="00535546"/>
    <w:rsid w:val="00535562"/>
    <w:rsid w:val="00535C9C"/>
    <w:rsid w:val="00535CE9"/>
    <w:rsid w:val="00536208"/>
    <w:rsid w:val="005373AF"/>
    <w:rsid w:val="0053776A"/>
    <w:rsid w:val="00540068"/>
    <w:rsid w:val="005406BC"/>
    <w:rsid w:val="005420E5"/>
    <w:rsid w:val="0054228C"/>
    <w:rsid w:val="00542992"/>
    <w:rsid w:val="00543087"/>
    <w:rsid w:val="00543937"/>
    <w:rsid w:val="00543D6C"/>
    <w:rsid w:val="005440E9"/>
    <w:rsid w:val="00544560"/>
    <w:rsid w:val="00545217"/>
    <w:rsid w:val="00545309"/>
    <w:rsid w:val="005459DA"/>
    <w:rsid w:val="00545CF1"/>
    <w:rsid w:val="0054654A"/>
    <w:rsid w:val="00552DA6"/>
    <w:rsid w:val="0055359B"/>
    <w:rsid w:val="005537F2"/>
    <w:rsid w:val="00553DDF"/>
    <w:rsid w:val="005553E8"/>
    <w:rsid w:val="005557AD"/>
    <w:rsid w:val="00555A0D"/>
    <w:rsid w:val="00555BA7"/>
    <w:rsid w:val="005562A9"/>
    <w:rsid w:val="00557AC3"/>
    <w:rsid w:val="005603B7"/>
    <w:rsid w:val="005638CA"/>
    <w:rsid w:val="00563986"/>
    <w:rsid w:val="00564A67"/>
    <w:rsid w:val="00564D8B"/>
    <w:rsid w:val="00564EB5"/>
    <w:rsid w:val="00565415"/>
    <w:rsid w:val="00570FD5"/>
    <w:rsid w:val="005726F0"/>
    <w:rsid w:val="005730C8"/>
    <w:rsid w:val="0057321C"/>
    <w:rsid w:val="00573DEA"/>
    <w:rsid w:val="00576AAA"/>
    <w:rsid w:val="00577783"/>
    <w:rsid w:val="00580207"/>
    <w:rsid w:val="00580BE9"/>
    <w:rsid w:val="00583532"/>
    <w:rsid w:val="00583A5D"/>
    <w:rsid w:val="0058429B"/>
    <w:rsid w:val="00585B69"/>
    <w:rsid w:val="00586AAA"/>
    <w:rsid w:val="005870F3"/>
    <w:rsid w:val="0059224E"/>
    <w:rsid w:val="005949B0"/>
    <w:rsid w:val="005963EC"/>
    <w:rsid w:val="00596956"/>
    <w:rsid w:val="00597563"/>
    <w:rsid w:val="005A245D"/>
    <w:rsid w:val="005A29AA"/>
    <w:rsid w:val="005A2F5C"/>
    <w:rsid w:val="005A310E"/>
    <w:rsid w:val="005A402E"/>
    <w:rsid w:val="005A494F"/>
    <w:rsid w:val="005A53BF"/>
    <w:rsid w:val="005A6329"/>
    <w:rsid w:val="005A6CE6"/>
    <w:rsid w:val="005A7897"/>
    <w:rsid w:val="005A7899"/>
    <w:rsid w:val="005B1526"/>
    <w:rsid w:val="005B1A2C"/>
    <w:rsid w:val="005B1DED"/>
    <w:rsid w:val="005B2191"/>
    <w:rsid w:val="005B2E64"/>
    <w:rsid w:val="005B31DA"/>
    <w:rsid w:val="005B3EF8"/>
    <w:rsid w:val="005B41C9"/>
    <w:rsid w:val="005B508D"/>
    <w:rsid w:val="005B60CF"/>
    <w:rsid w:val="005B7DF9"/>
    <w:rsid w:val="005C07D8"/>
    <w:rsid w:val="005C1928"/>
    <w:rsid w:val="005C4573"/>
    <w:rsid w:val="005C4A89"/>
    <w:rsid w:val="005C5D89"/>
    <w:rsid w:val="005C640B"/>
    <w:rsid w:val="005C6844"/>
    <w:rsid w:val="005C6E7E"/>
    <w:rsid w:val="005C759A"/>
    <w:rsid w:val="005D1981"/>
    <w:rsid w:val="005D1D39"/>
    <w:rsid w:val="005D236B"/>
    <w:rsid w:val="005D2B82"/>
    <w:rsid w:val="005D3969"/>
    <w:rsid w:val="005D41CA"/>
    <w:rsid w:val="005D48FB"/>
    <w:rsid w:val="005D4A1A"/>
    <w:rsid w:val="005D5FBE"/>
    <w:rsid w:val="005E063D"/>
    <w:rsid w:val="005E0EE9"/>
    <w:rsid w:val="005E1CA6"/>
    <w:rsid w:val="005E2E5E"/>
    <w:rsid w:val="005E3E6D"/>
    <w:rsid w:val="005E40D0"/>
    <w:rsid w:val="005E429A"/>
    <w:rsid w:val="005E4774"/>
    <w:rsid w:val="005E5399"/>
    <w:rsid w:val="005E53AB"/>
    <w:rsid w:val="005E6377"/>
    <w:rsid w:val="005E6A68"/>
    <w:rsid w:val="005E71AE"/>
    <w:rsid w:val="005F071A"/>
    <w:rsid w:val="005F1071"/>
    <w:rsid w:val="005F2CC2"/>
    <w:rsid w:val="005F3060"/>
    <w:rsid w:val="005F4142"/>
    <w:rsid w:val="005F70F5"/>
    <w:rsid w:val="005F7AB4"/>
    <w:rsid w:val="00600524"/>
    <w:rsid w:val="00600CE6"/>
    <w:rsid w:val="006017D6"/>
    <w:rsid w:val="00604FCD"/>
    <w:rsid w:val="006065E2"/>
    <w:rsid w:val="00606A98"/>
    <w:rsid w:val="0060772E"/>
    <w:rsid w:val="00611D4F"/>
    <w:rsid w:val="00612CCE"/>
    <w:rsid w:val="00612F0C"/>
    <w:rsid w:val="00613DB8"/>
    <w:rsid w:val="006148BA"/>
    <w:rsid w:val="00614F3E"/>
    <w:rsid w:val="00615585"/>
    <w:rsid w:val="00616027"/>
    <w:rsid w:val="00616D0C"/>
    <w:rsid w:val="006173A1"/>
    <w:rsid w:val="00617632"/>
    <w:rsid w:val="00620183"/>
    <w:rsid w:val="0062119B"/>
    <w:rsid w:val="006216D3"/>
    <w:rsid w:val="0062282D"/>
    <w:rsid w:val="006231CC"/>
    <w:rsid w:val="006234AA"/>
    <w:rsid w:val="006239A2"/>
    <w:rsid w:val="00624B73"/>
    <w:rsid w:val="00624C4A"/>
    <w:rsid w:val="00624EE0"/>
    <w:rsid w:val="006255D5"/>
    <w:rsid w:val="0063015F"/>
    <w:rsid w:val="00630A4E"/>
    <w:rsid w:val="0063184B"/>
    <w:rsid w:val="006320E4"/>
    <w:rsid w:val="00632741"/>
    <w:rsid w:val="00632F37"/>
    <w:rsid w:val="00633CFE"/>
    <w:rsid w:val="0063453B"/>
    <w:rsid w:val="00635F17"/>
    <w:rsid w:val="0063764A"/>
    <w:rsid w:val="006377A6"/>
    <w:rsid w:val="00640595"/>
    <w:rsid w:val="006409E6"/>
    <w:rsid w:val="0064210C"/>
    <w:rsid w:val="0064283E"/>
    <w:rsid w:val="00642C98"/>
    <w:rsid w:val="00644DF8"/>
    <w:rsid w:val="00646B80"/>
    <w:rsid w:val="00646EB0"/>
    <w:rsid w:val="00647D79"/>
    <w:rsid w:val="00650A8F"/>
    <w:rsid w:val="00651081"/>
    <w:rsid w:val="0065116B"/>
    <w:rsid w:val="00651B5A"/>
    <w:rsid w:val="00652842"/>
    <w:rsid w:val="00652844"/>
    <w:rsid w:val="00653895"/>
    <w:rsid w:val="00654E2E"/>
    <w:rsid w:val="0065553A"/>
    <w:rsid w:val="00655DC0"/>
    <w:rsid w:val="00656AC0"/>
    <w:rsid w:val="00656D84"/>
    <w:rsid w:val="006615E2"/>
    <w:rsid w:val="006615F9"/>
    <w:rsid w:val="00661E6E"/>
    <w:rsid w:val="00664932"/>
    <w:rsid w:val="00665417"/>
    <w:rsid w:val="00665478"/>
    <w:rsid w:val="0066595D"/>
    <w:rsid w:val="0067176C"/>
    <w:rsid w:val="00671FED"/>
    <w:rsid w:val="00672C47"/>
    <w:rsid w:val="00672E09"/>
    <w:rsid w:val="00673358"/>
    <w:rsid w:val="00673BC8"/>
    <w:rsid w:val="006746BD"/>
    <w:rsid w:val="00674FBC"/>
    <w:rsid w:val="00675FEA"/>
    <w:rsid w:val="006771CD"/>
    <w:rsid w:val="00680067"/>
    <w:rsid w:val="00680676"/>
    <w:rsid w:val="0068205D"/>
    <w:rsid w:val="00682C99"/>
    <w:rsid w:val="0068362D"/>
    <w:rsid w:val="006836BE"/>
    <w:rsid w:val="00684018"/>
    <w:rsid w:val="006874EB"/>
    <w:rsid w:val="00690C5A"/>
    <w:rsid w:val="00690D45"/>
    <w:rsid w:val="00690F0D"/>
    <w:rsid w:val="00691891"/>
    <w:rsid w:val="00691B33"/>
    <w:rsid w:val="006935FD"/>
    <w:rsid w:val="00693960"/>
    <w:rsid w:val="00694226"/>
    <w:rsid w:val="0069517A"/>
    <w:rsid w:val="00695354"/>
    <w:rsid w:val="00695513"/>
    <w:rsid w:val="0069709D"/>
    <w:rsid w:val="006A089D"/>
    <w:rsid w:val="006A0944"/>
    <w:rsid w:val="006A1CA7"/>
    <w:rsid w:val="006A342B"/>
    <w:rsid w:val="006A4D4F"/>
    <w:rsid w:val="006A5183"/>
    <w:rsid w:val="006A5920"/>
    <w:rsid w:val="006A66DA"/>
    <w:rsid w:val="006B0A08"/>
    <w:rsid w:val="006B1211"/>
    <w:rsid w:val="006B142C"/>
    <w:rsid w:val="006B196A"/>
    <w:rsid w:val="006B1CD6"/>
    <w:rsid w:val="006B2072"/>
    <w:rsid w:val="006B20AC"/>
    <w:rsid w:val="006B33C4"/>
    <w:rsid w:val="006B36F4"/>
    <w:rsid w:val="006B4151"/>
    <w:rsid w:val="006B4E48"/>
    <w:rsid w:val="006B55A1"/>
    <w:rsid w:val="006B5620"/>
    <w:rsid w:val="006B5872"/>
    <w:rsid w:val="006B6A43"/>
    <w:rsid w:val="006B6FBE"/>
    <w:rsid w:val="006C01BA"/>
    <w:rsid w:val="006C14C8"/>
    <w:rsid w:val="006C1682"/>
    <w:rsid w:val="006C17DA"/>
    <w:rsid w:val="006C185F"/>
    <w:rsid w:val="006C1ADA"/>
    <w:rsid w:val="006C3B67"/>
    <w:rsid w:val="006C5810"/>
    <w:rsid w:val="006C59C3"/>
    <w:rsid w:val="006C5ABB"/>
    <w:rsid w:val="006D162A"/>
    <w:rsid w:val="006D1BA6"/>
    <w:rsid w:val="006D2A71"/>
    <w:rsid w:val="006D2EFC"/>
    <w:rsid w:val="006D36C8"/>
    <w:rsid w:val="006D3CE2"/>
    <w:rsid w:val="006D4ED5"/>
    <w:rsid w:val="006D5D21"/>
    <w:rsid w:val="006D6436"/>
    <w:rsid w:val="006D6F24"/>
    <w:rsid w:val="006D7B66"/>
    <w:rsid w:val="006E1631"/>
    <w:rsid w:val="006E30A7"/>
    <w:rsid w:val="006E3639"/>
    <w:rsid w:val="006E3F82"/>
    <w:rsid w:val="006E53B4"/>
    <w:rsid w:val="006E5BF2"/>
    <w:rsid w:val="006E5F80"/>
    <w:rsid w:val="006E73B0"/>
    <w:rsid w:val="006E7E8E"/>
    <w:rsid w:val="006F0E96"/>
    <w:rsid w:val="006F0F91"/>
    <w:rsid w:val="006F1242"/>
    <w:rsid w:val="006F1C7B"/>
    <w:rsid w:val="006F1CF6"/>
    <w:rsid w:val="006F2C46"/>
    <w:rsid w:val="006F2D83"/>
    <w:rsid w:val="006F37A6"/>
    <w:rsid w:val="006F4A84"/>
    <w:rsid w:val="006F555B"/>
    <w:rsid w:val="006F5D35"/>
    <w:rsid w:val="006F7D79"/>
    <w:rsid w:val="007014BE"/>
    <w:rsid w:val="007017D5"/>
    <w:rsid w:val="00704653"/>
    <w:rsid w:val="00705C70"/>
    <w:rsid w:val="00707254"/>
    <w:rsid w:val="0071499D"/>
    <w:rsid w:val="007149DE"/>
    <w:rsid w:val="00716182"/>
    <w:rsid w:val="0071683F"/>
    <w:rsid w:val="00720265"/>
    <w:rsid w:val="007235AE"/>
    <w:rsid w:val="00723774"/>
    <w:rsid w:val="00723C92"/>
    <w:rsid w:val="00723EC9"/>
    <w:rsid w:val="00724BA5"/>
    <w:rsid w:val="00730A50"/>
    <w:rsid w:val="007337EF"/>
    <w:rsid w:val="00734D35"/>
    <w:rsid w:val="00736020"/>
    <w:rsid w:val="007363DE"/>
    <w:rsid w:val="007366EB"/>
    <w:rsid w:val="00736BDB"/>
    <w:rsid w:val="00736D46"/>
    <w:rsid w:val="00737183"/>
    <w:rsid w:val="0073763E"/>
    <w:rsid w:val="00740FB3"/>
    <w:rsid w:val="00741908"/>
    <w:rsid w:val="00741D38"/>
    <w:rsid w:val="00744901"/>
    <w:rsid w:val="00745526"/>
    <w:rsid w:val="00745818"/>
    <w:rsid w:val="00746258"/>
    <w:rsid w:val="007462AC"/>
    <w:rsid w:val="0074697E"/>
    <w:rsid w:val="00746B3F"/>
    <w:rsid w:val="00750161"/>
    <w:rsid w:val="00752D7A"/>
    <w:rsid w:val="0075324F"/>
    <w:rsid w:val="0075368E"/>
    <w:rsid w:val="007542B3"/>
    <w:rsid w:val="007543DD"/>
    <w:rsid w:val="0075518C"/>
    <w:rsid w:val="00755294"/>
    <w:rsid w:val="00756253"/>
    <w:rsid w:val="0075632C"/>
    <w:rsid w:val="00757F91"/>
    <w:rsid w:val="00762860"/>
    <w:rsid w:val="00763619"/>
    <w:rsid w:val="00763A43"/>
    <w:rsid w:val="00765F1A"/>
    <w:rsid w:val="00766B07"/>
    <w:rsid w:val="00766F9C"/>
    <w:rsid w:val="00767340"/>
    <w:rsid w:val="00767BE2"/>
    <w:rsid w:val="007701F8"/>
    <w:rsid w:val="00770D74"/>
    <w:rsid w:val="007711D4"/>
    <w:rsid w:val="007713F1"/>
    <w:rsid w:val="007718C6"/>
    <w:rsid w:val="007721E9"/>
    <w:rsid w:val="00773BFC"/>
    <w:rsid w:val="007743F0"/>
    <w:rsid w:val="00774AB4"/>
    <w:rsid w:val="00774B98"/>
    <w:rsid w:val="00775BB9"/>
    <w:rsid w:val="007779E5"/>
    <w:rsid w:val="00780D50"/>
    <w:rsid w:val="00784B66"/>
    <w:rsid w:val="00784CFD"/>
    <w:rsid w:val="00785E06"/>
    <w:rsid w:val="00785EAC"/>
    <w:rsid w:val="00786553"/>
    <w:rsid w:val="00786C09"/>
    <w:rsid w:val="00791174"/>
    <w:rsid w:val="00791C7D"/>
    <w:rsid w:val="00792E97"/>
    <w:rsid w:val="0079344B"/>
    <w:rsid w:val="00793DE0"/>
    <w:rsid w:val="00794966"/>
    <w:rsid w:val="00795A9E"/>
    <w:rsid w:val="00796280"/>
    <w:rsid w:val="00797823"/>
    <w:rsid w:val="00797C10"/>
    <w:rsid w:val="007A01B9"/>
    <w:rsid w:val="007A059E"/>
    <w:rsid w:val="007A0BBC"/>
    <w:rsid w:val="007A10CC"/>
    <w:rsid w:val="007A14E5"/>
    <w:rsid w:val="007A26DB"/>
    <w:rsid w:val="007A32B1"/>
    <w:rsid w:val="007A45ED"/>
    <w:rsid w:val="007A727C"/>
    <w:rsid w:val="007A7419"/>
    <w:rsid w:val="007A7E7B"/>
    <w:rsid w:val="007B05EF"/>
    <w:rsid w:val="007B116E"/>
    <w:rsid w:val="007B50A9"/>
    <w:rsid w:val="007B7BB2"/>
    <w:rsid w:val="007C452F"/>
    <w:rsid w:val="007C4C98"/>
    <w:rsid w:val="007C4F46"/>
    <w:rsid w:val="007C57A5"/>
    <w:rsid w:val="007C7621"/>
    <w:rsid w:val="007C7A90"/>
    <w:rsid w:val="007D1729"/>
    <w:rsid w:val="007D348A"/>
    <w:rsid w:val="007D3703"/>
    <w:rsid w:val="007D4237"/>
    <w:rsid w:val="007D6731"/>
    <w:rsid w:val="007E0212"/>
    <w:rsid w:val="007E091E"/>
    <w:rsid w:val="007E0EE4"/>
    <w:rsid w:val="007E32BB"/>
    <w:rsid w:val="007E4030"/>
    <w:rsid w:val="007E4383"/>
    <w:rsid w:val="007E4607"/>
    <w:rsid w:val="007E490C"/>
    <w:rsid w:val="007E60C6"/>
    <w:rsid w:val="007E7660"/>
    <w:rsid w:val="007E7C09"/>
    <w:rsid w:val="007F169E"/>
    <w:rsid w:val="007F2614"/>
    <w:rsid w:val="007F320C"/>
    <w:rsid w:val="007F3965"/>
    <w:rsid w:val="007F3CE7"/>
    <w:rsid w:val="007F7347"/>
    <w:rsid w:val="00800D49"/>
    <w:rsid w:val="00800F24"/>
    <w:rsid w:val="008026D2"/>
    <w:rsid w:val="00804C44"/>
    <w:rsid w:val="008055D8"/>
    <w:rsid w:val="0080590E"/>
    <w:rsid w:val="00806D12"/>
    <w:rsid w:val="0080749F"/>
    <w:rsid w:val="00807634"/>
    <w:rsid w:val="00811377"/>
    <w:rsid w:val="00811B42"/>
    <w:rsid w:val="008122F0"/>
    <w:rsid w:val="00812B4C"/>
    <w:rsid w:val="00813271"/>
    <w:rsid w:val="008142E0"/>
    <w:rsid w:val="0081457C"/>
    <w:rsid w:val="00814CE0"/>
    <w:rsid w:val="0081525C"/>
    <w:rsid w:val="0081585F"/>
    <w:rsid w:val="008159F5"/>
    <w:rsid w:val="00815A33"/>
    <w:rsid w:val="00815B74"/>
    <w:rsid w:val="00816295"/>
    <w:rsid w:val="008213F4"/>
    <w:rsid w:val="00822924"/>
    <w:rsid w:val="00822D05"/>
    <w:rsid w:val="00822D89"/>
    <w:rsid w:val="0082405D"/>
    <w:rsid w:val="008248B0"/>
    <w:rsid w:val="00825172"/>
    <w:rsid w:val="008256F1"/>
    <w:rsid w:val="00826594"/>
    <w:rsid w:val="008268C5"/>
    <w:rsid w:val="00826D08"/>
    <w:rsid w:val="00826D17"/>
    <w:rsid w:val="00826DFA"/>
    <w:rsid w:val="00826F3D"/>
    <w:rsid w:val="008275DC"/>
    <w:rsid w:val="00830B4A"/>
    <w:rsid w:val="00830D12"/>
    <w:rsid w:val="00831766"/>
    <w:rsid w:val="00831972"/>
    <w:rsid w:val="00831D57"/>
    <w:rsid w:val="00833182"/>
    <w:rsid w:val="00833269"/>
    <w:rsid w:val="00833994"/>
    <w:rsid w:val="008364E5"/>
    <w:rsid w:val="00837FCC"/>
    <w:rsid w:val="00841760"/>
    <w:rsid w:val="00841EFB"/>
    <w:rsid w:val="008427BE"/>
    <w:rsid w:val="00845441"/>
    <w:rsid w:val="00846376"/>
    <w:rsid w:val="008467C5"/>
    <w:rsid w:val="00846CC3"/>
    <w:rsid w:val="00846D8E"/>
    <w:rsid w:val="008471EF"/>
    <w:rsid w:val="00850C4F"/>
    <w:rsid w:val="008526A1"/>
    <w:rsid w:val="00853010"/>
    <w:rsid w:val="00854153"/>
    <w:rsid w:val="008544F3"/>
    <w:rsid w:val="00855819"/>
    <w:rsid w:val="00855D88"/>
    <w:rsid w:val="00855EA0"/>
    <w:rsid w:val="0085653E"/>
    <w:rsid w:val="00857C26"/>
    <w:rsid w:val="00861233"/>
    <w:rsid w:val="0086167B"/>
    <w:rsid w:val="00862334"/>
    <w:rsid w:val="008627B5"/>
    <w:rsid w:val="0086299F"/>
    <w:rsid w:val="00862ED1"/>
    <w:rsid w:val="00863081"/>
    <w:rsid w:val="00863111"/>
    <w:rsid w:val="0086359C"/>
    <w:rsid w:val="00863620"/>
    <w:rsid w:val="008637E3"/>
    <w:rsid w:val="008639A6"/>
    <w:rsid w:val="00864CD9"/>
    <w:rsid w:val="008653C8"/>
    <w:rsid w:val="00865632"/>
    <w:rsid w:val="00865B68"/>
    <w:rsid w:val="00871287"/>
    <w:rsid w:val="00873FF8"/>
    <w:rsid w:val="008748E0"/>
    <w:rsid w:val="00874ACD"/>
    <w:rsid w:val="00874BBF"/>
    <w:rsid w:val="00875F04"/>
    <w:rsid w:val="00876F3F"/>
    <w:rsid w:val="008772A6"/>
    <w:rsid w:val="0088041A"/>
    <w:rsid w:val="00882BAF"/>
    <w:rsid w:val="00882BE2"/>
    <w:rsid w:val="008834C5"/>
    <w:rsid w:val="00883E44"/>
    <w:rsid w:val="00883E9A"/>
    <w:rsid w:val="008855BF"/>
    <w:rsid w:val="00885DE4"/>
    <w:rsid w:val="00885E17"/>
    <w:rsid w:val="00887AAA"/>
    <w:rsid w:val="00887CD2"/>
    <w:rsid w:val="00890F4A"/>
    <w:rsid w:val="00893522"/>
    <w:rsid w:val="0089383B"/>
    <w:rsid w:val="00893890"/>
    <w:rsid w:val="00893BE8"/>
    <w:rsid w:val="00893F11"/>
    <w:rsid w:val="00896557"/>
    <w:rsid w:val="008968B6"/>
    <w:rsid w:val="0089691E"/>
    <w:rsid w:val="008969FD"/>
    <w:rsid w:val="00896D8F"/>
    <w:rsid w:val="00897669"/>
    <w:rsid w:val="008978A0"/>
    <w:rsid w:val="00897D42"/>
    <w:rsid w:val="008A2ACA"/>
    <w:rsid w:val="008A385C"/>
    <w:rsid w:val="008A6361"/>
    <w:rsid w:val="008A7E3F"/>
    <w:rsid w:val="008B0184"/>
    <w:rsid w:val="008B472F"/>
    <w:rsid w:val="008B4BFB"/>
    <w:rsid w:val="008B4F6A"/>
    <w:rsid w:val="008B5DFE"/>
    <w:rsid w:val="008C1140"/>
    <w:rsid w:val="008C114E"/>
    <w:rsid w:val="008C1B6D"/>
    <w:rsid w:val="008C349E"/>
    <w:rsid w:val="008C57D2"/>
    <w:rsid w:val="008C63DD"/>
    <w:rsid w:val="008C6698"/>
    <w:rsid w:val="008C728D"/>
    <w:rsid w:val="008D145E"/>
    <w:rsid w:val="008D1C1B"/>
    <w:rsid w:val="008D36A9"/>
    <w:rsid w:val="008D655B"/>
    <w:rsid w:val="008D6E4D"/>
    <w:rsid w:val="008E0110"/>
    <w:rsid w:val="008E1254"/>
    <w:rsid w:val="008E13FC"/>
    <w:rsid w:val="008E1C71"/>
    <w:rsid w:val="008E1ED5"/>
    <w:rsid w:val="008E2CC6"/>
    <w:rsid w:val="008E2DCE"/>
    <w:rsid w:val="008E2F3D"/>
    <w:rsid w:val="008E4F18"/>
    <w:rsid w:val="008E5144"/>
    <w:rsid w:val="008E62BE"/>
    <w:rsid w:val="008E64C9"/>
    <w:rsid w:val="008F0432"/>
    <w:rsid w:val="008F1E54"/>
    <w:rsid w:val="008F20E9"/>
    <w:rsid w:val="008F24B5"/>
    <w:rsid w:val="008F2768"/>
    <w:rsid w:val="008F345A"/>
    <w:rsid w:val="008F6D06"/>
    <w:rsid w:val="008F7206"/>
    <w:rsid w:val="008F78E4"/>
    <w:rsid w:val="00901527"/>
    <w:rsid w:val="009017A2"/>
    <w:rsid w:val="00903257"/>
    <w:rsid w:val="00903829"/>
    <w:rsid w:val="00906093"/>
    <w:rsid w:val="009069B9"/>
    <w:rsid w:val="00906ACF"/>
    <w:rsid w:val="00906EB9"/>
    <w:rsid w:val="009106F7"/>
    <w:rsid w:val="00911146"/>
    <w:rsid w:val="00914283"/>
    <w:rsid w:val="00914391"/>
    <w:rsid w:val="00914F6A"/>
    <w:rsid w:val="009172B1"/>
    <w:rsid w:val="009174E7"/>
    <w:rsid w:val="00917CE7"/>
    <w:rsid w:val="009222BA"/>
    <w:rsid w:val="009233B2"/>
    <w:rsid w:val="00924BDE"/>
    <w:rsid w:val="00926547"/>
    <w:rsid w:val="00927270"/>
    <w:rsid w:val="00930C1A"/>
    <w:rsid w:val="00932561"/>
    <w:rsid w:val="00934EA9"/>
    <w:rsid w:val="00936739"/>
    <w:rsid w:val="00937179"/>
    <w:rsid w:val="0094194F"/>
    <w:rsid w:val="009427CC"/>
    <w:rsid w:val="00943809"/>
    <w:rsid w:val="009448E0"/>
    <w:rsid w:val="0094514E"/>
    <w:rsid w:val="00946B73"/>
    <w:rsid w:val="00946E9F"/>
    <w:rsid w:val="00947357"/>
    <w:rsid w:val="00950BE4"/>
    <w:rsid w:val="009538B8"/>
    <w:rsid w:val="009539C8"/>
    <w:rsid w:val="00955616"/>
    <w:rsid w:val="00956139"/>
    <w:rsid w:val="009602B7"/>
    <w:rsid w:val="00960BD7"/>
    <w:rsid w:val="009613AF"/>
    <w:rsid w:val="00961A2F"/>
    <w:rsid w:val="0096213B"/>
    <w:rsid w:val="009628BB"/>
    <w:rsid w:val="0096474C"/>
    <w:rsid w:val="009668B9"/>
    <w:rsid w:val="00967AD4"/>
    <w:rsid w:val="00967CFC"/>
    <w:rsid w:val="00972C29"/>
    <w:rsid w:val="009736AD"/>
    <w:rsid w:val="00974763"/>
    <w:rsid w:val="00974C40"/>
    <w:rsid w:val="0097673C"/>
    <w:rsid w:val="00977DC9"/>
    <w:rsid w:val="00977F30"/>
    <w:rsid w:val="00977FBE"/>
    <w:rsid w:val="00981CB4"/>
    <w:rsid w:val="00982C4B"/>
    <w:rsid w:val="0098346A"/>
    <w:rsid w:val="009839AC"/>
    <w:rsid w:val="00984DE6"/>
    <w:rsid w:val="00987050"/>
    <w:rsid w:val="00987CB3"/>
    <w:rsid w:val="009902AF"/>
    <w:rsid w:val="0099083E"/>
    <w:rsid w:val="00991194"/>
    <w:rsid w:val="00992EB4"/>
    <w:rsid w:val="00994CA1"/>
    <w:rsid w:val="00995605"/>
    <w:rsid w:val="0099577B"/>
    <w:rsid w:val="00995CA2"/>
    <w:rsid w:val="00997D5B"/>
    <w:rsid w:val="009A0A07"/>
    <w:rsid w:val="009A1E0F"/>
    <w:rsid w:val="009A2C08"/>
    <w:rsid w:val="009A2DCB"/>
    <w:rsid w:val="009A6426"/>
    <w:rsid w:val="009B0F4B"/>
    <w:rsid w:val="009B1552"/>
    <w:rsid w:val="009B1BB4"/>
    <w:rsid w:val="009B1BD1"/>
    <w:rsid w:val="009B213B"/>
    <w:rsid w:val="009B2FEE"/>
    <w:rsid w:val="009B3534"/>
    <w:rsid w:val="009B70A7"/>
    <w:rsid w:val="009B716E"/>
    <w:rsid w:val="009B74E7"/>
    <w:rsid w:val="009B7C09"/>
    <w:rsid w:val="009C023E"/>
    <w:rsid w:val="009C37B0"/>
    <w:rsid w:val="009D2AF0"/>
    <w:rsid w:val="009D2D4F"/>
    <w:rsid w:val="009D4360"/>
    <w:rsid w:val="009D4F1D"/>
    <w:rsid w:val="009D52E8"/>
    <w:rsid w:val="009D68B3"/>
    <w:rsid w:val="009D6C93"/>
    <w:rsid w:val="009D79FD"/>
    <w:rsid w:val="009E0535"/>
    <w:rsid w:val="009E1CCA"/>
    <w:rsid w:val="009E201C"/>
    <w:rsid w:val="009E32A0"/>
    <w:rsid w:val="009E3D56"/>
    <w:rsid w:val="009E4068"/>
    <w:rsid w:val="009E40D6"/>
    <w:rsid w:val="009E4465"/>
    <w:rsid w:val="009E5B64"/>
    <w:rsid w:val="009F199C"/>
    <w:rsid w:val="009F221F"/>
    <w:rsid w:val="009F43AB"/>
    <w:rsid w:val="009F50BC"/>
    <w:rsid w:val="009F5282"/>
    <w:rsid w:val="00A00686"/>
    <w:rsid w:val="00A0106D"/>
    <w:rsid w:val="00A013E5"/>
    <w:rsid w:val="00A018D7"/>
    <w:rsid w:val="00A02146"/>
    <w:rsid w:val="00A02310"/>
    <w:rsid w:val="00A02B0C"/>
    <w:rsid w:val="00A038CE"/>
    <w:rsid w:val="00A0408D"/>
    <w:rsid w:val="00A058DE"/>
    <w:rsid w:val="00A07516"/>
    <w:rsid w:val="00A07DF9"/>
    <w:rsid w:val="00A1123E"/>
    <w:rsid w:val="00A1146D"/>
    <w:rsid w:val="00A11FFE"/>
    <w:rsid w:val="00A13378"/>
    <w:rsid w:val="00A13EF6"/>
    <w:rsid w:val="00A1415D"/>
    <w:rsid w:val="00A15295"/>
    <w:rsid w:val="00A15BD1"/>
    <w:rsid w:val="00A1637F"/>
    <w:rsid w:val="00A1768D"/>
    <w:rsid w:val="00A20232"/>
    <w:rsid w:val="00A2087B"/>
    <w:rsid w:val="00A20A97"/>
    <w:rsid w:val="00A21FA1"/>
    <w:rsid w:val="00A23F19"/>
    <w:rsid w:val="00A23F64"/>
    <w:rsid w:val="00A24EF1"/>
    <w:rsid w:val="00A25076"/>
    <w:rsid w:val="00A27879"/>
    <w:rsid w:val="00A33069"/>
    <w:rsid w:val="00A34580"/>
    <w:rsid w:val="00A34B51"/>
    <w:rsid w:val="00A34CC4"/>
    <w:rsid w:val="00A3531F"/>
    <w:rsid w:val="00A3620D"/>
    <w:rsid w:val="00A36763"/>
    <w:rsid w:val="00A40B9A"/>
    <w:rsid w:val="00A429DA"/>
    <w:rsid w:val="00A42A4F"/>
    <w:rsid w:val="00A45FF0"/>
    <w:rsid w:val="00A476FA"/>
    <w:rsid w:val="00A50466"/>
    <w:rsid w:val="00A50ADF"/>
    <w:rsid w:val="00A51A3C"/>
    <w:rsid w:val="00A51EE7"/>
    <w:rsid w:val="00A53885"/>
    <w:rsid w:val="00A53D43"/>
    <w:rsid w:val="00A53F9D"/>
    <w:rsid w:val="00A54FBC"/>
    <w:rsid w:val="00A554D0"/>
    <w:rsid w:val="00A556BB"/>
    <w:rsid w:val="00A56DE8"/>
    <w:rsid w:val="00A56F2D"/>
    <w:rsid w:val="00A576B6"/>
    <w:rsid w:val="00A63E80"/>
    <w:rsid w:val="00A6410F"/>
    <w:rsid w:val="00A64D68"/>
    <w:rsid w:val="00A6511F"/>
    <w:rsid w:val="00A6626E"/>
    <w:rsid w:val="00A669B2"/>
    <w:rsid w:val="00A66AB3"/>
    <w:rsid w:val="00A6737D"/>
    <w:rsid w:val="00A675AC"/>
    <w:rsid w:val="00A70DB8"/>
    <w:rsid w:val="00A73399"/>
    <w:rsid w:val="00A73FEC"/>
    <w:rsid w:val="00A746E5"/>
    <w:rsid w:val="00A748B4"/>
    <w:rsid w:val="00A7577C"/>
    <w:rsid w:val="00A775C6"/>
    <w:rsid w:val="00A80977"/>
    <w:rsid w:val="00A80EA0"/>
    <w:rsid w:val="00A822CA"/>
    <w:rsid w:val="00A8280B"/>
    <w:rsid w:val="00A839CE"/>
    <w:rsid w:val="00A86D8D"/>
    <w:rsid w:val="00A87516"/>
    <w:rsid w:val="00A87ABD"/>
    <w:rsid w:val="00A90AC3"/>
    <w:rsid w:val="00A926DD"/>
    <w:rsid w:val="00A9278B"/>
    <w:rsid w:val="00A92A65"/>
    <w:rsid w:val="00A935B0"/>
    <w:rsid w:val="00A93DEC"/>
    <w:rsid w:val="00A946A9"/>
    <w:rsid w:val="00A94FF2"/>
    <w:rsid w:val="00A95624"/>
    <w:rsid w:val="00A96A95"/>
    <w:rsid w:val="00A9750A"/>
    <w:rsid w:val="00A975A4"/>
    <w:rsid w:val="00A9781F"/>
    <w:rsid w:val="00AA0AB3"/>
    <w:rsid w:val="00AA1099"/>
    <w:rsid w:val="00AA1107"/>
    <w:rsid w:val="00AA155B"/>
    <w:rsid w:val="00AA1AC9"/>
    <w:rsid w:val="00AA28A2"/>
    <w:rsid w:val="00AA37FF"/>
    <w:rsid w:val="00AA3FFA"/>
    <w:rsid w:val="00AA47A9"/>
    <w:rsid w:val="00AA573C"/>
    <w:rsid w:val="00AA6190"/>
    <w:rsid w:val="00AA66E8"/>
    <w:rsid w:val="00AA76C3"/>
    <w:rsid w:val="00AA7C0D"/>
    <w:rsid w:val="00AA7FBB"/>
    <w:rsid w:val="00AB0354"/>
    <w:rsid w:val="00AB10F1"/>
    <w:rsid w:val="00AB2375"/>
    <w:rsid w:val="00AB360A"/>
    <w:rsid w:val="00AB38C9"/>
    <w:rsid w:val="00AB65D8"/>
    <w:rsid w:val="00AB7179"/>
    <w:rsid w:val="00AB71EF"/>
    <w:rsid w:val="00AB77AC"/>
    <w:rsid w:val="00AC0CCC"/>
    <w:rsid w:val="00AC29BE"/>
    <w:rsid w:val="00AC3DCD"/>
    <w:rsid w:val="00AC5663"/>
    <w:rsid w:val="00AC614D"/>
    <w:rsid w:val="00AC6A86"/>
    <w:rsid w:val="00AC7DEE"/>
    <w:rsid w:val="00AD01DF"/>
    <w:rsid w:val="00AD12CB"/>
    <w:rsid w:val="00AD1E74"/>
    <w:rsid w:val="00AD3716"/>
    <w:rsid w:val="00AD441E"/>
    <w:rsid w:val="00AD4678"/>
    <w:rsid w:val="00AD4BEB"/>
    <w:rsid w:val="00AD5153"/>
    <w:rsid w:val="00AE1187"/>
    <w:rsid w:val="00AE1D84"/>
    <w:rsid w:val="00AE26CD"/>
    <w:rsid w:val="00AE2FA7"/>
    <w:rsid w:val="00AE62E4"/>
    <w:rsid w:val="00AE63D6"/>
    <w:rsid w:val="00AF2521"/>
    <w:rsid w:val="00AF27E4"/>
    <w:rsid w:val="00AF328D"/>
    <w:rsid w:val="00AF4CF3"/>
    <w:rsid w:val="00AF50A8"/>
    <w:rsid w:val="00AF5BE3"/>
    <w:rsid w:val="00AF5D8D"/>
    <w:rsid w:val="00AF72EA"/>
    <w:rsid w:val="00AF7422"/>
    <w:rsid w:val="00AF76DC"/>
    <w:rsid w:val="00AF7E93"/>
    <w:rsid w:val="00B00574"/>
    <w:rsid w:val="00B00F75"/>
    <w:rsid w:val="00B02785"/>
    <w:rsid w:val="00B03066"/>
    <w:rsid w:val="00B0558A"/>
    <w:rsid w:val="00B06B9F"/>
    <w:rsid w:val="00B07828"/>
    <w:rsid w:val="00B10CBB"/>
    <w:rsid w:val="00B10D6F"/>
    <w:rsid w:val="00B11AB4"/>
    <w:rsid w:val="00B1275A"/>
    <w:rsid w:val="00B1370F"/>
    <w:rsid w:val="00B13F13"/>
    <w:rsid w:val="00B15940"/>
    <w:rsid w:val="00B1618E"/>
    <w:rsid w:val="00B168EF"/>
    <w:rsid w:val="00B169D9"/>
    <w:rsid w:val="00B2030A"/>
    <w:rsid w:val="00B21423"/>
    <w:rsid w:val="00B22C9A"/>
    <w:rsid w:val="00B22EFC"/>
    <w:rsid w:val="00B25C52"/>
    <w:rsid w:val="00B260AB"/>
    <w:rsid w:val="00B2632A"/>
    <w:rsid w:val="00B26EEE"/>
    <w:rsid w:val="00B304AB"/>
    <w:rsid w:val="00B339D3"/>
    <w:rsid w:val="00B33DF5"/>
    <w:rsid w:val="00B34266"/>
    <w:rsid w:val="00B34645"/>
    <w:rsid w:val="00B3469D"/>
    <w:rsid w:val="00B348FA"/>
    <w:rsid w:val="00B35075"/>
    <w:rsid w:val="00B35C41"/>
    <w:rsid w:val="00B36729"/>
    <w:rsid w:val="00B3696C"/>
    <w:rsid w:val="00B37007"/>
    <w:rsid w:val="00B37A7D"/>
    <w:rsid w:val="00B37FF3"/>
    <w:rsid w:val="00B40119"/>
    <w:rsid w:val="00B40355"/>
    <w:rsid w:val="00B4254F"/>
    <w:rsid w:val="00B42588"/>
    <w:rsid w:val="00B4303B"/>
    <w:rsid w:val="00B45159"/>
    <w:rsid w:val="00B4545F"/>
    <w:rsid w:val="00B45B5B"/>
    <w:rsid w:val="00B45D76"/>
    <w:rsid w:val="00B461CD"/>
    <w:rsid w:val="00B469EF"/>
    <w:rsid w:val="00B4709B"/>
    <w:rsid w:val="00B509E8"/>
    <w:rsid w:val="00B50D4E"/>
    <w:rsid w:val="00B519F9"/>
    <w:rsid w:val="00B52466"/>
    <w:rsid w:val="00B52DB2"/>
    <w:rsid w:val="00B54415"/>
    <w:rsid w:val="00B5447F"/>
    <w:rsid w:val="00B55DC9"/>
    <w:rsid w:val="00B56335"/>
    <w:rsid w:val="00B56A6E"/>
    <w:rsid w:val="00B606D7"/>
    <w:rsid w:val="00B60FAD"/>
    <w:rsid w:val="00B639B1"/>
    <w:rsid w:val="00B63CD4"/>
    <w:rsid w:val="00B646F4"/>
    <w:rsid w:val="00B672B6"/>
    <w:rsid w:val="00B71C24"/>
    <w:rsid w:val="00B730C5"/>
    <w:rsid w:val="00B73E47"/>
    <w:rsid w:val="00B7494A"/>
    <w:rsid w:val="00B7523C"/>
    <w:rsid w:val="00B7613C"/>
    <w:rsid w:val="00B77C68"/>
    <w:rsid w:val="00B82221"/>
    <w:rsid w:val="00B83163"/>
    <w:rsid w:val="00B83D81"/>
    <w:rsid w:val="00B83FFC"/>
    <w:rsid w:val="00B8547B"/>
    <w:rsid w:val="00B85B9C"/>
    <w:rsid w:val="00B85BEA"/>
    <w:rsid w:val="00B86A07"/>
    <w:rsid w:val="00B875C0"/>
    <w:rsid w:val="00B87BA3"/>
    <w:rsid w:val="00B90185"/>
    <w:rsid w:val="00B9050D"/>
    <w:rsid w:val="00B91B04"/>
    <w:rsid w:val="00B920D2"/>
    <w:rsid w:val="00B93043"/>
    <w:rsid w:val="00B93ED9"/>
    <w:rsid w:val="00B9432A"/>
    <w:rsid w:val="00B947B8"/>
    <w:rsid w:val="00B965F5"/>
    <w:rsid w:val="00B96E36"/>
    <w:rsid w:val="00B970CC"/>
    <w:rsid w:val="00BA0289"/>
    <w:rsid w:val="00BA08D4"/>
    <w:rsid w:val="00BA162F"/>
    <w:rsid w:val="00BA16B6"/>
    <w:rsid w:val="00BA17B3"/>
    <w:rsid w:val="00BA1DF8"/>
    <w:rsid w:val="00BA2962"/>
    <w:rsid w:val="00BA33DA"/>
    <w:rsid w:val="00BA3BFF"/>
    <w:rsid w:val="00BA4B7D"/>
    <w:rsid w:val="00BA5268"/>
    <w:rsid w:val="00BA5CC0"/>
    <w:rsid w:val="00BA6604"/>
    <w:rsid w:val="00BA68A6"/>
    <w:rsid w:val="00BA695C"/>
    <w:rsid w:val="00BB022D"/>
    <w:rsid w:val="00BB05BE"/>
    <w:rsid w:val="00BB103F"/>
    <w:rsid w:val="00BB13D1"/>
    <w:rsid w:val="00BB23E6"/>
    <w:rsid w:val="00BB2AD6"/>
    <w:rsid w:val="00BB36FE"/>
    <w:rsid w:val="00BB3D04"/>
    <w:rsid w:val="00BB49FE"/>
    <w:rsid w:val="00BB5FC2"/>
    <w:rsid w:val="00BB6058"/>
    <w:rsid w:val="00BB6303"/>
    <w:rsid w:val="00BB7C9E"/>
    <w:rsid w:val="00BC107D"/>
    <w:rsid w:val="00BC33BC"/>
    <w:rsid w:val="00BC38F7"/>
    <w:rsid w:val="00BC48B8"/>
    <w:rsid w:val="00BC48DF"/>
    <w:rsid w:val="00BD04A1"/>
    <w:rsid w:val="00BD347E"/>
    <w:rsid w:val="00BD6361"/>
    <w:rsid w:val="00BD6AF5"/>
    <w:rsid w:val="00BD6C4A"/>
    <w:rsid w:val="00BD6F22"/>
    <w:rsid w:val="00BE0766"/>
    <w:rsid w:val="00BE42B9"/>
    <w:rsid w:val="00BE535F"/>
    <w:rsid w:val="00BF0B5F"/>
    <w:rsid w:val="00BF0D8B"/>
    <w:rsid w:val="00BF140C"/>
    <w:rsid w:val="00BF3332"/>
    <w:rsid w:val="00BF4D69"/>
    <w:rsid w:val="00BF63B0"/>
    <w:rsid w:val="00BF7CB0"/>
    <w:rsid w:val="00BF7F72"/>
    <w:rsid w:val="00C01151"/>
    <w:rsid w:val="00C011AB"/>
    <w:rsid w:val="00C01C15"/>
    <w:rsid w:val="00C05C56"/>
    <w:rsid w:val="00C063C0"/>
    <w:rsid w:val="00C06ED7"/>
    <w:rsid w:val="00C10768"/>
    <w:rsid w:val="00C1113C"/>
    <w:rsid w:val="00C11E9D"/>
    <w:rsid w:val="00C12A10"/>
    <w:rsid w:val="00C1313D"/>
    <w:rsid w:val="00C160EE"/>
    <w:rsid w:val="00C16668"/>
    <w:rsid w:val="00C17B92"/>
    <w:rsid w:val="00C20944"/>
    <w:rsid w:val="00C2134D"/>
    <w:rsid w:val="00C21D15"/>
    <w:rsid w:val="00C22B41"/>
    <w:rsid w:val="00C24A37"/>
    <w:rsid w:val="00C250A9"/>
    <w:rsid w:val="00C25214"/>
    <w:rsid w:val="00C26134"/>
    <w:rsid w:val="00C2618F"/>
    <w:rsid w:val="00C30A3D"/>
    <w:rsid w:val="00C31A89"/>
    <w:rsid w:val="00C33BCB"/>
    <w:rsid w:val="00C35218"/>
    <w:rsid w:val="00C3571F"/>
    <w:rsid w:val="00C36162"/>
    <w:rsid w:val="00C362F9"/>
    <w:rsid w:val="00C363B3"/>
    <w:rsid w:val="00C37067"/>
    <w:rsid w:val="00C4011A"/>
    <w:rsid w:val="00C401DE"/>
    <w:rsid w:val="00C4093C"/>
    <w:rsid w:val="00C416C1"/>
    <w:rsid w:val="00C423D8"/>
    <w:rsid w:val="00C42514"/>
    <w:rsid w:val="00C43223"/>
    <w:rsid w:val="00C43966"/>
    <w:rsid w:val="00C4429E"/>
    <w:rsid w:val="00C44C61"/>
    <w:rsid w:val="00C44E0D"/>
    <w:rsid w:val="00C45EF0"/>
    <w:rsid w:val="00C4691B"/>
    <w:rsid w:val="00C46952"/>
    <w:rsid w:val="00C5097E"/>
    <w:rsid w:val="00C50CB7"/>
    <w:rsid w:val="00C52A08"/>
    <w:rsid w:val="00C52E8D"/>
    <w:rsid w:val="00C53769"/>
    <w:rsid w:val="00C53838"/>
    <w:rsid w:val="00C54852"/>
    <w:rsid w:val="00C54B82"/>
    <w:rsid w:val="00C54DC5"/>
    <w:rsid w:val="00C55C98"/>
    <w:rsid w:val="00C5650C"/>
    <w:rsid w:val="00C571B3"/>
    <w:rsid w:val="00C60E84"/>
    <w:rsid w:val="00C6273C"/>
    <w:rsid w:val="00C62C62"/>
    <w:rsid w:val="00C6375D"/>
    <w:rsid w:val="00C6419A"/>
    <w:rsid w:val="00C6533E"/>
    <w:rsid w:val="00C663B0"/>
    <w:rsid w:val="00C66654"/>
    <w:rsid w:val="00C66F89"/>
    <w:rsid w:val="00C67340"/>
    <w:rsid w:val="00C67826"/>
    <w:rsid w:val="00C711F7"/>
    <w:rsid w:val="00C7163E"/>
    <w:rsid w:val="00C73353"/>
    <w:rsid w:val="00C73FB0"/>
    <w:rsid w:val="00C74716"/>
    <w:rsid w:val="00C74DAA"/>
    <w:rsid w:val="00C74DEC"/>
    <w:rsid w:val="00C75654"/>
    <w:rsid w:val="00C75F47"/>
    <w:rsid w:val="00C76003"/>
    <w:rsid w:val="00C761D0"/>
    <w:rsid w:val="00C7684F"/>
    <w:rsid w:val="00C7692A"/>
    <w:rsid w:val="00C77296"/>
    <w:rsid w:val="00C80B4B"/>
    <w:rsid w:val="00C82718"/>
    <w:rsid w:val="00C8324B"/>
    <w:rsid w:val="00C83483"/>
    <w:rsid w:val="00C85F0C"/>
    <w:rsid w:val="00C87D43"/>
    <w:rsid w:val="00C90601"/>
    <w:rsid w:val="00C90CC4"/>
    <w:rsid w:val="00C90F4A"/>
    <w:rsid w:val="00C919AF"/>
    <w:rsid w:val="00C92565"/>
    <w:rsid w:val="00C938EC"/>
    <w:rsid w:val="00C951DB"/>
    <w:rsid w:val="00C95816"/>
    <w:rsid w:val="00C96CDF"/>
    <w:rsid w:val="00C974B2"/>
    <w:rsid w:val="00C976E1"/>
    <w:rsid w:val="00CA0351"/>
    <w:rsid w:val="00CA231F"/>
    <w:rsid w:val="00CA3179"/>
    <w:rsid w:val="00CA3BD3"/>
    <w:rsid w:val="00CA3BEC"/>
    <w:rsid w:val="00CA5729"/>
    <w:rsid w:val="00CA6307"/>
    <w:rsid w:val="00CA665E"/>
    <w:rsid w:val="00CA6AB7"/>
    <w:rsid w:val="00CB06AA"/>
    <w:rsid w:val="00CB0E71"/>
    <w:rsid w:val="00CB1B00"/>
    <w:rsid w:val="00CB2632"/>
    <w:rsid w:val="00CB2F3B"/>
    <w:rsid w:val="00CB7260"/>
    <w:rsid w:val="00CB77B9"/>
    <w:rsid w:val="00CB7F4F"/>
    <w:rsid w:val="00CC02A3"/>
    <w:rsid w:val="00CC0536"/>
    <w:rsid w:val="00CC13E5"/>
    <w:rsid w:val="00CC2225"/>
    <w:rsid w:val="00CC2BB0"/>
    <w:rsid w:val="00CC2EE8"/>
    <w:rsid w:val="00CC394B"/>
    <w:rsid w:val="00CC5412"/>
    <w:rsid w:val="00CC57F2"/>
    <w:rsid w:val="00CC5C04"/>
    <w:rsid w:val="00CC6551"/>
    <w:rsid w:val="00CC6BC5"/>
    <w:rsid w:val="00CD068F"/>
    <w:rsid w:val="00CD11B8"/>
    <w:rsid w:val="00CD2497"/>
    <w:rsid w:val="00CD2DD8"/>
    <w:rsid w:val="00CD5961"/>
    <w:rsid w:val="00CD6E6B"/>
    <w:rsid w:val="00CD720F"/>
    <w:rsid w:val="00CD7846"/>
    <w:rsid w:val="00CD7EA8"/>
    <w:rsid w:val="00CE0FF1"/>
    <w:rsid w:val="00CE1923"/>
    <w:rsid w:val="00CE1925"/>
    <w:rsid w:val="00CE2A25"/>
    <w:rsid w:val="00CE2DDF"/>
    <w:rsid w:val="00CE40E3"/>
    <w:rsid w:val="00CE44D8"/>
    <w:rsid w:val="00CE4628"/>
    <w:rsid w:val="00CE4F2C"/>
    <w:rsid w:val="00CE5572"/>
    <w:rsid w:val="00CE5C49"/>
    <w:rsid w:val="00CF01A0"/>
    <w:rsid w:val="00CF1A5E"/>
    <w:rsid w:val="00CF391D"/>
    <w:rsid w:val="00CF3C14"/>
    <w:rsid w:val="00CF443E"/>
    <w:rsid w:val="00CF5F6E"/>
    <w:rsid w:val="00CF6849"/>
    <w:rsid w:val="00CF6892"/>
    <w:rsid w:val="00CF6A73"/>
    <w:rsid w:val="00CF6FF0"/>
    <w:rsid w:val="00CF7A04"/>
    <w:rsid w:val="00D00B1A"/>
    <w:rsid w:val="00D00BF3"/>
    <w:rsid w:val="00D0206D"/>
    <w:rsid w:val="00D05835"/>
    <w:rsid w:val="00D05BF0"/>
    <w:rsid w:val="00D05E5F"/>
    <w:rsid w:val="00D06DA9"/>
    <w:rsid w:val="00D10803"/>
    <w:rsid w:val="00D130FA"/>
    <w:rsid w:val="00D13A34"/>
    <w:rsid w:val="00D140CE"/>
    <w:rsid w:val="00D160DB"/>
    <w:rsid w:val="00D16CA9"/>
    <w:rsid w:val="00D201E4"/>
    <w:rsid w:val="00D2115F"/>
    <w:rsid w:val="00D21E38"/>
    <w:rsid w:val="00D249E4"/>
    <w:rsid w:val="00D251E7"/>
    <w:rsid w:val="00D26908"/>
    <w:rsid w:val="00D26B7A"/>
    <w:rsid w:val="00D27EAA"/>
    <w:rsid w:val="00D3143E"/>
    <w:rsid w:val="00D33824"/>
    <w:rsid w:val="00D33DD8"/>
    <w:rsid w:val="00D343C1"/>
    <w:rsid w:val="00D3582A"/>
    <w:rsid w:val="00D3618D"/>
    <w:rsid w:val="00D36240"/>
    <w:rsid w:val="00D378C1"/>
    <w:rsid w:val="00D379E5"/>
    <w:rsid w:val="00D415A6"/>
    <w:rsid w:val="00D41714"/>
    <w:rsid w:val="00D41CF3"/>
    <w:rsid w:val="00D428BB"/>
    <w:rsid w:val="00D43C40"/>
    <w:rsid w:val="00D4554F"/>
    <w:rsid w:val="00D46E53"/>
    <w:rsid w:val="00D47218"/>
    <w:rsid w:val="00D50AD5"/>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345C"/>
    <w:rsid w:val="00D74BA6"/>
    <w:rsid w:val="00D74BBE"/>
    <w:rsid w:val="00D765AA"/>
    <w:rsid w:val="00D77492"/>
    <w:rsid w:val="00D8026A"/>
    <w:rsid w:val="00D80937"/>
    <w:rsid w:val="00D82604"/>
    <w:rsid w:val="00D8429D"/>
    <w:rsid w:val="00D84925"/>
    <w:rsid w:val="00D8564A"/>
    <w:rsid w:val="00D86B5E"/>
    <w:rsid w:val="00D90245"/>
    <w:rsid w:val="00D90C96"/>
    <w:rsid w:val="00D91B0D"/>
    <w:rsid w:val="00D92318"/>
    <w:rsid w:val="00D92592"/>
    <w:rsid w:val="00D92D6F"/>
    <w:rsid w:val="00D935B1"/>
    <w:rsid w:val="00D93691"/>
    <w:rsid w:val="00D93901"/>
    <w:rsid w:val="00D93AAD"/>
    <w:rsid w:val="00D96F22"/>
    <w:rsid w:val="00D97218"/>
    <w:rsid w:val="00D97437"/>
    <w:rsid w:val="00DA1E92"/>
    <w:rsid w:val="00DA20DA"/>
    <w:rsid w:val="00DA4427"/>
    <w:rsid w:val="00DA4500"/>
    <w:rsid w:val="00DA476A"/>
    <w:rsid w:val="00DA4FD3"/>
    <w:rsid w:val="00DA5200"/>
    <w:rsid w:val="00DA6C16"/>
    <w:rsid w:val="00DB1513"/>
    <w:rsid w:val="00DB2A79"/>
    <w:rsid w:val="00DB34A2"/>
    <w:rsid w:val="00DB3605"/>
    <w:rsid w:val="00DB4BB4"/>
    <w:rsid w:val="00DB5A40"/>
    <w:rsid w:val="00DB5EB0"/>
    <w:rsid w:val="00DB6C75"/>
    <w:rsid w:val="00DC0AC9"/>
    <w:rsid w:val="00DC0B9E"/>
    <w:rsid w:val="00DC22AE"/>
    <w:rsid w:val="00DC3A29"/>
    <w:rsid w:val="00DC3CDB"/>
    <w:rsid w:val="00DC44C7"/>
    <w:rsid w:val="00DC457B"/>
    <w:rsid w:val="00DC5758"/>
    <w:rsid w:val="00DC79CB"/>
    <w:rsid w:val="00DD09C1"/>
    <w:rsid w:val="00DD134E"/>
    <w:rsid w:val="00DD1B48"/>
    <w:rsid w:val="00DD3183"/>
    <w:rsid w:val="00DD3E9B"/>
    <w:rsid w:val="00DD4C73"/>
    <w:rsid w:val="00DD53E8"/>
    <w:rsid w:val="00DD792F"/>
    <w:rsid w:val="00DD7E5B"/>
    <w:rsid w:val="00DE0229"/>
    <w:rsid w:val="00DE02EC"/>
    <w:rsid w:val="00DE144B"/>
    <w:rsid w:val="00DE297F"/>
    <w:rsid w:val="00DE3E0D"/>
    <w:rsid w:val="00DE408E"/>
    <w:rsid w:val="00DE62B0"/>
    <w:rsid w:val="00DE7C87"/>
    <w:rsid w:val="00DF0078"/>
    <w:rsid w:val="00DF0348"/>
    <w:rsid w:val="00DF1A43"/>
    <w:rsid w:val="00DF42B7"/>
    <w:rsid w:val="00DF47A8"/>
    <w:rsid w:val="00DF4A12"/>
    <w:rsid w:val="00DF52E2"/>
    <w:rsid w:val="00DF5FD6"/>
    <w:rsid w:val="00DF61B7"/>
    <w:rsid w:val="00DF65F0"/>
    <w:rsid w:val="00DF6609"/>
    <w:rsid w:val="00DF71E4"/>
    <w:rsid w:val="00DF7564"/>
    <w:rsid w:val="00E023A3"/>
    <w:rsid w:val="00E03236"/>
    <w:rsid w:val="00E06733"/>
    <w:rsid w:val="00E07623"/>
    <w:rsid w:val="00E07FC6"/>
    <w:rsid w:val="00E10E00"/>
    <w:rsid w:val="00E126EA"/>
    <w:rsid w:val="00E12C93"/>
    <w:rsid w:val="00E12DE3"/>
    <w:rsid w:val="00E12F2B"/>
    <w:rsid w:val="00E14632"/>
    <w:rsid w:val="00E154FB"/>
    <w:rsid w:val="00E16194"/>
    <w:rsid w:val="00E174A2"/>
    <w:rsid w:val="00E20681"/>
    <w:rsid w:val="00E24140"/>
    <w:rsid w:val="00E24CD5"/>
    <w:rsid w:val="00E26B25"/>
    <w:rsid w:val="00E27FD2"/>
    <w:rsid w:val="00E31F00"/>
    <w:rsid w:val="00E33412"/>
    <w:rsid w:val="00E3386C"/>
    <w:rsid w:val="00E342EC"/>
    <w:rsid w:val="00E40E16"/>
    <w:rsid w:val="00E414B8"/>
    <w:rsid w:val="00E4393D"/>
    <w:rsid w:val="00E45E0A"/>
    <w:rsid w:val="00E45ED4"/>
    <w:rsid w:val="00E47C35"/>
    <w:rsid w:val="00E50FAA"/>
    <w:rsid w:val="00E52AB7"/>
    <w:rsid w:val="00E53654"/>
    <w:rsid w:val="00E55356"/>
    <w:rsid w:val="00E57258"/>
    <w:rsid w:val="00E61A10"/>
    <w:rsid w:val="00E627BB"/>
    <w:rsid w:val="00E63562"/>
    <w:rsid w:val="00E64BE3"/>
    <w:rsid w:val="00E652C3"/>
    <w:rsid w:val="00E6685E"/>
    <w:rsid w:val="00E67703"/>
    <w:rsid w:val="00E716C1"/>
    <w:rsid w:val="00E71DBD"/>
    <w:rsid w:val="00E7223C"/>
    <w:rsid w:val="00E735E6"/>
    <w:rsid w:val="00E77875"/>
    <w:rsid w:val="00E8021E"/>
    <w:rsid w:val="00E80FFE"/>
    <w:rsid w:val="00E8104C"/>
    <w:rsid w:val="00E854AF"/>
    <w:rsid w:val="00E86D67"/>
    <w:rsid w:val="00E8750C"/>
    <w:rsid w:val="00E908E1"/>
    <w:rsid w:val="00E9099D"/>
    <w:rsid w:val="00E91170"/>
    <w:rsid w:val="00E91673"/>
    <w:rsid w:val="00E93682"/>
    <w:rsid w:val="00E9403E"/>
    <w:rsid w:val="00E949C0"/>
    <w:rsid w:val="00E96293"/>
    <w:rsid w:val="00E96657"/>
    <w:rsid w:val="00E9713D"/>
    <w:rsid w:val="00EA119B"/>
    <w:rsid w:val="00EA1281"/>
    <w:rsid w:val="00EA2214"/>
    <w:rsid w:val="00EA3673"/>
    <w:rsid w:val="00EA40EB"/>
    <w:rsid w:val="00EA5104"/>
    <w:rsid w:val="00EA65AF"/>
    <w:rsid w:val="00EA6F74"/>
    <w:rsid w:val="00EA7D70"/>
    <w:rsid w:val="00EB07C5"/>
    <w:rsid w:val="00EB1238"/>
    <w:rsid w:val="00EB2721"/>
    <w:rsid w:val="00EB4D10"/>
    <w:rsid w:val="00EB528C"/>
    <w:rsid w:val="00EB71BA"/>
    <w:rsid w:val="00EC07BA"/>
    <w:rsid w:val="00EC0D12"/>
    <w:rsid w:val="00EC0DF3"/>
    <w:rsid w:val="00EC0E43"/>
    <w:rsid w:val="00EC13EB"/>
    <w:rsid w:val="00EC2AC8"/>
    <w:rsid w:val="00EC2E58"/>
    <w:rsid w:val="00EC33D6"/>
    <w:rsid w:val="00EC3D93"/>
    <w:rsid w:val="00EC5C6F"/>
    <w:rsid w:val="00EC6F89"/>
    <w:rsid w:val="00EC707E"/>
    <w:rsid w:val="00EC78AB"/>
    <w:rsid w:val="00EC7B0C"/>
    <w:rsid w:val="00ED0849"/>
    <w:rsid w:val="00ED0AFD"/>
    <w:rsid w:val="00ED23B5"/>
    <w:rsid w:val="00ED2AAC"/>
    <w:rsid w:val="00ED3803"/>
    <w:rsid w:val="00ED3A23"/>
    <w:rsid w:val="00ED40A8"/>
    <w:rsid w:val="00ED4D9A"/>
    <w:rsid w:val="00ED4DC6"/>
    <w:rsid w:val="00ED551C"/>
    <w:rsid w:val="00ED5563"/>
    <w:rsid w:val="00ED5DFA"/>
    <w:rsid w:val="00ED74CC"/>
    <w:rsid w:val="00ED7FCD"/>
    <w:rsid w:val="00EE02F9"/>
    <w:rsid w:val="00EE0A91"/>
    <w:rsid w:val="00EE24D6"/>
    <w:rsid w:val="00EE2588"/>
    <w:rsid w:val="00EE3D2F"/>
    <w:rsid w:val="00EE51D1"/>
    <w:rsid w:val="00EE53A0"/>
    <w:rsid w:val="00EE57C0"/>
    <w:rsid w:val="00EE5F4E"/>
    <w:rsid w:val="00EE6065"/>
    <w:rsid w:val="00EE62DF"/>
    <w:rsid w:val="00EE6970"/>
    <w:rsid w:val="00EE7B45"/>
    <w:rsid w:val="00EF0176"/>
    <w:rsid w:val="00EF094B"/>
    <w:rsid w:val="00EF1674"/>
    <w:rsid w:val="00EF394B"/>
    <w:rsid w:val="00EF3E6B"/>
    <w:rsid w:val="00EF4242"/>
    <w:rsid w:val="00EF6BE8"/>
    <w:rsid w:val="00F00341"/>
    <w:rsid w:val="00F00CCC"/>
    <w:rsid w:val="00F00F34"/>
    <w:rsid w:val="00F04327"/>
    <w:rsid w:val="00F04632"/>
    <w:rsid w:val="00F049D4"/>
    <w:rsid w:val="00F04B01"/>
    <w:rsid w:val="00F05449"/>
    <w:rsid w:val="00F056D0"/>
    <w:rsid w:val="00F10FF0"/>
    <w:rsid w:val="00F1304F"/>
    <w:rsid w:val="00F15D8B"/>
    <w:rsid w:val="00F15F33"/>
    <w:rsid w:val="00F164F1"/>
    <w:rsid w:val="00F16767"/>
    <w:rsid w:val="00F1694A"/>
    <w:rsid w:val="00F16F5D"/>
    <w:rsid w:val="00F2095A"/>
    <w:rsid w:val="00F20EDE"/>
    <w:rsid w:val="00F21983"/>
    <w:rsid w:val="00F2200B"/>
    <w:rsid w:val="00F23328"/>
    <w:rsid w:val="00F24287"/>
    <w:rsid w:val="00F25782"/>
    <w:rsid w:val="00F259E4"/>
    <w:rsid w:val="00F2791C"/>
    <w:rsid w:val="00F30EB9"/>
    <w:rsid w:val="00F3180F"/>
    <w:rsid w:val="00F34503"/>
    <w:rsid w:val="00F34B32"/>
    <w:rsid w:val="00F35ADC"/>
    <w:rsid w:val="00F35BF3"/>
    <w:rsid w:val="00F41787"/>
    <w:rsid w:val="00F428FA"/>
    <w:rsid w:val="00F4313D"/>
    <w:rsid w:val="00F45EEA"/>
    <w:rsid w:val="00F466A0"/>
    <w:rsid w:val="00F466CC"/>
    <w:rsid w:val="00F51115"/>
    <w:rsid w:val="00F55546"/>
    <w:rsid w:val="00F557DA"/>
    <w:rsid w:val="00F55C57"/>
    <w:rsid w:val="00F571C8"/>
    <w:rsid w:val="00F6033B"/>
    <w:rsid w:val="00F60FAF"/>
    <w:rsid w:val="00F62984"/>
    <w:rsid w:val="00F62E0D"/>
    <w:rsid w:val="00F63BA2"/>
    <w:rsid w:val="00F63FF0"/>
    <w:rsid w:val="00F647A0"/>
    <w:rsid w:val="00F64BCD"/>
    <w:rsid w:val="00F654D2"/>
    <w:rsid w:val="00F66296"/>
    <w:rsid w:val="00F6747E"/>
    <w:rsid w:val="00F67D46"/>
    <w:rsid w:val="00F70F98"/>
    <w:rsid w:val="00F711C8"/>
    <w:rsid w:val="00F71384"/>
    <w:rsid w:val="00F71803"/>
    <w:rsid w:val="00F71970"/>
    <w:rsid w:val="00F72694"/>
    <w:rsid w:val="00F73D71"/>
    <w:rsid w:val="00F7540A"/>
    <w:rsid w:val="00F757CE"/>
    <w:rsid w:val="00F76625"/>
    <w:rsid w:val="00F76F98"/>
    <w:rsid w:val="00F7794C"/>
    <w:rsid w:val="00F825F1"/>
    <w:rsid w:val="00F82767"/>
    <w:rsid w:val="00F85D4F"/>
    <w:rsid w:val="00F861F5"/>
    <w:rsid w:val="00F867B6"/>
    <w:rsid w:val="00F867F4"/>
    <w:rsid w:val="00F86884"/>
    <w:rsid w:val="00F87D50"/>
    <w:rsid w:val="00F92013"/>
    <w:rsid w:val="00F92766"/>
    <w:rsid w:val="00F92F76"/>
    <w:rsid w:val="00F95243"/>
    <w:rsid w:val="00F954AB"/>
    <w:rsid w:val="00F978DA"/>
    <w:rsid w:val="00FA0205"/>
    <w:rsid w:val="00FA25C4"/>
    <w:rsid w:val="00FA2C3C"/>
    <w:rsid w:val="00FA2EFF"/>
    <w:rsid w:val="00FA45A1"/>
    <w:rsid w:val="00FB2D58"/>
    <w:rsid w:val="00FB3BAF"/>
    <w:rsid w:val="00FB3F6F"/>
    <w:rsid w:val="00FB4DB7"/>
    <w:rsid w:val="00FB521E"/>
    <w:rsid w:val="00FB52DF"/>
    <w:rsid w:val="00FB53C0"/>
    <w:rsid w:val="00FB59FD"/>
    <w:rsid w:val="00FB6540"/>
    <w:rsid w:val="00FB6B54"/>
    <w:rsid w:val="00FB6CA2"/>
    <w:rsid w:val="00FB7DFA"/>
    <w:rsid w:val="00FC167A"/>
    <w:rsid w:val="00FC1F2C"/>
    <w:rsid w:val="00FC2052"/>
    <w:rsid w:val="00FC3D76"/>
    <w:rsid w:val="00FC5CD1"/>
    <w:rsid w:val="00FD079B"/>
    <w:rsid w:val="00FD0A89"/>
    <w:rsid w:val="00FD0EE3"/>
    <w:rsid w:val="00FD23A9"/>
    <w:rsid w:val="00FD242B"/>
    <w:rsid w:val="00FD265B"/>
    <w:rsid w:val="00FD35BF"/>
    <w:rsid w:val="00FD4021"/>
    <w:rsid w:val="00FD5F58"/>
    <w:rsid w:val="00FD63AC"/>
    <w:rsid w:val="00FD63AF"/>
    <w:rsid w:val="00FD6A73"/>
    <w:rsid w:val="00FD70F7"/>
    <w:rsid w:val="00FD73FF"/>
    <w:rsid w:val="00FD7674"/>
    <w:rsid w:val="00FE0AD0"/>
    <w:rsid w:val="00FE21BB"/>
    <w:rsid w:val="00FE2A0A"/>
    <w:rsid w:val="00FE3FEA"/>
    <w:rsid w:val="00FF072F"/>
    <w:rsid w:val="00FF0839"/>
    <w:rsid w:val="00FF22E1"/>
    <w:rsid w:val="00FF2F67"/>
    <w:rsid w:val="00FF43E5"/>
    <w:rsid w:val="00FF4C93"/>
    <w:rsid w:val="00FF5D61"/>
    <w:rsid w:val="00FF6323"/>
    <w:rsid w:val="00FF78E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2"/>
    </o:shapelayout>
  </w:shapeDefaults>
  <w:decimalSymbol w:val="."/>
  <w:listSeparator w:val=","/>
  <w14:docId w14:val="61AC66B7"/>
  <w15:chartTrackingRefBased/>
  <w15:docId w15:val="{EC8E34E2-A935-408A-B2A3-B38AC84F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5F9"/>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styleId="Emphasis">
    <w:name w:val="Emphasis"/>
    <w:basedOn w:val="DefaultParagraphFont"/>
    <w:uiPriority w:val="20"/>
    <w:qFormat/>
    <w:rsid w:val="006C14C8"/>
    <w:rPr>
      <w:i/>
      <w:iCs/>
    </w:rPr>
  </w:style>
  <w:style w:type="paragraph" w:customStyle="1" w:styleId="indent-1">
    <w:name w:val="indent-1"/>
    <w:basedOn w:val="Normal"/>
    <w:rsid w:val="00420D0E"/>
    <w:pPr>
      <w:spacing w:before="100" w:beforeAutospacing="1" w:after="100" w:afterAutospacing="1"/>
    </w:pPr>
    <w:rPr>
      <w:rFonts w:ascii="Times New Roman" w:hAnsi="Times New Roman"/>
      <w:sz w:val="24"/>
      <w:szCs w:val="24"/>
    </w:rPr>
  </w:style>
  <w:style w:type="paragraph" w:customStyle="1" w:styleId="indent-2">
    <w:name w:val="indent-2"/>
    <w:basedOn w:val="Normal"/>
    <w:rsid w:val="00062875"/>
    <w:pPr>
      <w:spacing w:before="100" w:beforeAutospacing="1" w:after="100" w:afterAutospacing="1"/>
    </w:pPr>
    <w:rPr>
      <w:rFonts w:ascii="Times New Roman" w:hAnsi="Times New Roman"/>
      <w:sz w:val="24"/>
      <w:szCs w:val="24"/>
    </w:rPr>
  </w:style>
  <w:style w:type="paragraph" w:customStyle="1" w:styleId="indent-3">
    <w:name w:val="indent-3"/>
    <w:basedOn w:val="Normal"/>
    <w:rsid w:val="00062875"/>
    <w:pPr>
      <w:spacing w:before="100" w:beforeAutospacing="1" w:after="100" w:afterAutospacing="1"/>
    </w:pPr>
    <w:rPr>
      <w:rFonts w:ascii="Times New Roman" w:hAnsi="Times New Roman"/>
      <w:sz w:val="24"/>
      <w:szCs w:val="24"/>
    </w:rPr>
  </w:style>
  <w:style w:type="character" w:customStyle="1" w:styleId="paragraph-hierarchy">
    <w:name w:val="paragraph-hierarchy"/>
    <w:basedOn w:val="DefaultParagraphFont"/>
    <w:rsid w:val="00062875"/>
  </w:style>
  <w:style w:type="character" w:customStyle="1" w:styleId="paren">
    <w:name w:val="paren"/>
    <w:basedOn w:val="DefaultParagraphFont"/>
    <w:rsid w:val="00062875"/>
  </w:style>
  <w:style w:type="paragraph" w:customStyle="1" w:styleId="indent-4">
    <w:name w:val="indent-4"/>
    <w:basedOn w:val="Normal"/>
    <w:rsid w:val="0004717F"/>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303B5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238">
      <w:bodyDiv w:val="1"/>
      <w:marLeft w:val="0"/>
      <w:marRight w:val="0"/>
      <w:marTop w:val="0"/>
      <w:marBottom w:val="0"/>
      <w:divBdr>
        <w:top w:val="none" w:sz="0" w:space="0" w:color="auto"/>
        <w:left w:val="none" w:sz="0" w:space="0" w:color="auto"/>
        <w:bottom w:val="none" w:sz="0" w:space="0" w:color="auto"/>
        <w:right w:val="none" w:sz="0" w:space="0" w:color="auto"/>
      </w:divBdr>
      <w:divsChild>
        <w:div w:id="1160265568">
          <w:marLeft w:val="0"/>
          <w:marRight w:val="0"/>
          <w:marTop w:val="0"/>
          <w:marBottom w:val="0"/>
          <w:divBdr>
            <w:top w:val="none" w:sz="0" w:space="0" w:color="auto"/>
            <w:left w:val="none" w:sz="0" w:space="0" w:color="auto"/>
            <w:bottom w:val="none" w:sz="0" w:space="0" w:color="auto"/>
            <w:right w:val="none" w:sz="0" w:space="0" w:color="auto"/>
          </w:divBdr>
        </w:div>
        <w:div w:id="1709720023">
          <w:marLeft w:val="0"/>
          <w:marRight w:val="0"/>
          <w:marTop w:val="0"/>
          <w:marBottom w:val="0"/>
          <w:divBdr>
            <w:top w:val="none" w:sz="0" w:space="0" w:color="auto"/>
            <w:left w:val="none" w:sz="0" w:space="0" w:color="auto"/>
            <w:bottom w:val="none" w:sz="0" w:space="0" w:color="auto"/>
            <w:right w:val="none" w:sz="0" w:space="0" w:color="auto"/>
          </w:divBdr>
        </w:div>
        <w:div w:id="2036996888">
          <w:marLeft w:val="0"/>
          <w:marRight w:val="0"/>
          <w:marTop w:val="0"/>
          <w:marBottom w:val="0"/>
          <w:divBdr>
            <w:top w:val="none" w:sz="0" w:space="0" w:color="auto"/>
            <w:left w:val="none" w:sz="0" w:space="0" w:color="auto"/>
            <w:bottom w:val="none" w:sz="0" w:space="0" w:color="auto"/>
            <w:right w:val="none" w:sz="0" w:space="0" w:color="auto"/>
          </w:divBdr>
        </w:div>
        <w:div w:id="1827211118">
          <w:marLeft w:val="0"/>
          <w:marRight w:val="0"/>
          <w:marTop w:val="0"/>
          <w:marBottom w:val="0"/>
          <w:divBdr>
            <w:top w:val="none" w:sz="0" w:space="0" w:color="auto"/>
            <w:left w:val="none" w:sz="0" w:space="0" w:color="auto"/>
            <w:bottom w:val="none" w:sz="0" w:space="0" w:color="auto"/>
            <w:right w:val="none" w:sz="0" w:space="0" w:color="auto"/>
          </w:divBdr>
        </w:div>
      </w:divsChild>
    </w:div>
    <w:div w:id="26570473">
      <w:bodyDiv w:val="1"/>
      <w:marLeft w:val="0"/>
      <w:marRight w:val="0"/>
      <w:marTop w:val="0"/>
      <w:marBottom w:val="0"/>
      <w:divBdr>
        <w:top w:val="none" w:sz="0" w:space="0" w:color="auto"/>
        <w:left w:val="none" w:sz="0" w:space="0" w:color="auto"/>
        <w:bottom w:val="none" w:sz="0" w:space="0" w:color="auto"/>
        <w:right w:val="none" w:sz="0" w:space="0" w:color="auto"/>
      </w:divBdr>
      <w:divsChild>
        <w:div w:id="1647129402">
          <w:marLeft w:val="0"/>
          <w:marRight w:val="0"/>
          <w:marTop w:val="0"/>
          <w:marBottom w:val="0"/>
          <w:divBdr>
            <w:top w:val="none" w:sz="0" w:space="0" w:color="auto"/>
            <w:left w:val="none" w:sz="0" w:space="0" w:color="auto"/>
            <w:bottom w:val="none" w:sz="0" w:space="0" w:color="auto"/>
            <w:right w:val="none" w:sz="0" w:space="0" w:color="auto"/>
          </w:divBdr>
        </w:div>
        <w:div w:id="1491292085">
          <w:marLeft w:val="0"/>
          <w:marRight w:val="0"/>
          <w:marTop w:val="0"/>
          <w:marBottom w:val="0"/>
          <w:divBdr>
            <w:top w:val="none" w:sz="0" w:space="0" w:color="auto"/>
            <w:left w:val="none" w:sz="0" w:space="0" w:color="auto"/>
            <w:bottom w:val="none" w:sz="0" w:space="0" w:color="auto"/>
            <w:right w:val="none" w:sz="0" w:space="0" w:color="auto"/>
          </w:divBdr>
        </w:div>
      </w:divsChild>
    </w:div>
    <w:div w:id="573970983">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0">
          <w:marLeft w:val="0"/>
          <w:marRight w:val="0"/>
          <w:marTop w:val="0"/>
          <w:marBottom w:val="0"/>
          <w:divBdr>
            <w:top w:val="none" w:sz="0" w:space="0" w:color="auto"/>
            <w:left w:val="none" w:sz="0" w:space="0" w:color="auto"/>
            <w:bottom w:val="none" w:sz="0" w:space="0" w:color="auto"/>
            <w:right w:val="none" w:sz="0" w:space="0" w:color="auto"/>
          </w:divBdr>
        </w:div>
        <w:div w:id="1677727119">
          <w:marLeft w:val="0"/>
          <w:marRight w:val="0"/>
          <w:marTop w:val="0"/>
          <w:marBottom w:val="0"/>
          <w:divBdr>
            <w:top w:val="none" w:sz="0" w:space="0" w:color="auto"/>
            <w:left w:val="none" w:sz="0" w:space="0" w:color="auto"/>
            <w:bottom w:val="none" w:sz="0" w:space="0" w:color="auto"/>
            <w:right w:val="none" w:sz="0" w:space="0" w:color="auto"/>
          </w:divBdr>
        </w:div>
      </w:divsChild>
    </w:div>
    <w:div w:id="588121207">
      <w:bodyDiv w:val="1"/>
      <w:marLeft w:val="0"/>
      <w:marRight w:val="0"/>
      <w:marTop w:val="0"/>
      <w:marBottom w:val="0"/>
      <w:divBdr>
        <w:top w:val="none" w:sz="0" w:space="0" w:color="auto"/>
        <w:left w:val="none" w:sz="0" w:space="0" w:color="auto"/>
        <w:bottom w:val="none" w:sz="0" w:space="0" w:color="auto"/>
        <w:right w:val="none" w:sz="0" w:space="0" w:color="auto"/>
      </w:divBdr>
      <w:divsChild>
        <w:div w:id="1734086757">
          <w:marLeft w:val="0"/>
          <w:marRight w:val="0"/>
          <w:marTop w:val="0"/>
          <w:marBottom w:val="0"/>
          <w:divBdr>
            <w:top w:val="none" w:sz="0" w:space="0" w:color="auto"/>
            <w:left w:val="none" w:sz="0" w:space="0" w:color="auto"/>
            <w:bottom w:val="none" w:sz="0" w:space="0" w:color="auto"/>
            <w:right w:val="none" w:sz="0" w:space="0" w:color="auto"/>
          </w:divBdr>
          <w:divsChild>
            <w:div w:id="637340868">
              <w:marLeft w:val="0"/>
              <w:marRight w:val="0"/>
              <w:marTop w:val="0"/>
              <w:marBottom w:val="0"/>
              <w:divBdr>
                <w:top w:val="none" w:sz="0" w:space="0" w:color="auto"/>
                <w:left w:val="none" w:sz="0" w:space="0" w:color="auto"/>
                <w:bottom w:val="none" w:sz="0" w:space="0" w:color="auto"/>
                <w:right w:val="none" w:sz="0" w:space="0" w:color="auto"/>
              </w:divBdr>
            </w:div>
            <w:div w:id="1509557988">
              <w:marLeft w:val="0"/>
              <w:marRight w:val="0"/>
              <w:marTop w:val="0"/>
              <w:marBottom w:val="0"/>
              <w:divBdr>
                <w:top w:val="none" w:sz="0" w:space="0" w:color="auto"/>
                <w:left w:val="none" w:sz="0" w:space="0" w:color="auto"/>
                <w:bottom w:val="none" w:sz="0" w:space="0" w:color="auto"/>
                <w:right w:val="none" w:sz="0" w:space="0" w:color="auto"/>
              </w:divBdr>
            </w:div>
          </w:divsChild>
        </w:div>
        <w:div w:id="1082290156">
          <w:marLeft w:val="0"/>
          <w:marRight w:val="0"/>
          <w:marTop w:val="0"/>
          <w:marBottom w:val="0"/>
          <w:divBdr>
            <w:top w:val="none" w:sz="0" w:space="0" w:color="auto"/>
            <w:left w:val="none" w:sz="0" w:space="0" w:color="auto"/>
            <w:bottom w:val="none" w:sz="0" w:space="0" w:color="auto"/>
            <w:right w:val="none" w:sz="0" w:space="0" w:color="auto"/>
          </w:divBdr>
          <w:divsChild>
            <w:div w:id="2141145513">
              <w:marLeft w:val="0"/>
              <w:marRight w:val="0"/>
              <w:marTop w:val="0"/>
              <w:marBottom w:val="0"/>
              <w:divBdr>
                <w:top w:val="none" w:sz="0" w:space="0" w:color="auto"/>
                <w:left w:val="none" w:sz="0" w:space="0" w:color="auto"/>
                <w:bottom w:val="none" w:sz="0" w:space="0" w:color="auto"/>
                <w:right w:val="none" w:sz="0" w:space="0" w:color="auto"/>
              </w:divBdr>
            </w:div>
            <w:div w:id="77868427">
              <w:marLeft w:val="0"/>
              <w:marRight w:val="0"/>
              <w:marTop w:val="0"/>
              <w:marBottom w:val="0"/>
              <w:divBdr>
                <w:top w:val="none" w:sz="0" w:space="0" w:color="auto"/>
                <w:left w:val="none" w:sz="0" w:space="0" w:color="auto"/>
                <w:bottom w:val="none" w:sz="0" w:space="0" w:color="auto"/>
                <w:right w:val="none" w:sz="0" w:space="0" w:color="auto"/>
              </w:divBdr>
            </w:div>
          </w:divsChild>
        </w:div>
        <w:div w:id="839151458">
          <w:marLeft w:val="0"/>
          <w:marRight w:val="0"/>
          <w:marTop w:val="0"/>
          <w:marBottom w:val="0"/>
          <w:divBdr>
            <w:top w:val="none" w:sz="0" w:space="0" w:color="auto"/>
            <w:left w:val="none" w:sz="0" w:space="0" w:color="auto"/>
            <w:bottom w:val="none" w:sz="0" w:space="0" w:color="auto"/>
            <w:right w:val="none" w:sz="0" w:space="0" w:color="auto"/>
          </w:divBdr>
          <w:divsChild>
            <w:div w:id="895242479">
              <w:marLeft w:val="0"/>
              <w:marRight w:val="0"/>
              <w:marTop w:val="0"/>
              <w:marBottom w:val="0"/>
              <w:divBdr>
                <w:top w:val="none" w:sz="0" w:space="0" w:color="auto"/>
                <w:left w:val="none" w:sz="0" w:space="0" w:color="auto"/>
                <w:bottom w:val="none" w:sz="0" w:space="0" w:color="auto"/>
                <w:right w:val="none" w:sz="0" w:space="0" w:color="auto"/>
              </w:divBdr>
              <w:divsChild>
                <w:div w:id="1791044874">
                  <w:marLeft w:val="0"/>
                  <w:marRight w:val="0"/>
                  <w:marTop w:val="0"/>
                  <w:marBottom w:val="0"/>
                  <w:divBdr>
                    <w:top w:val="none" w:sz="0" w:space="0" w:color="auto"/>
                    <w:left w:val="none" w:sz="0" w:space="0" w:color="auto"/>
                    <w:bottom w:val="none" w:sz="0" w:space="0" w:color="auto"/>
                    <w:right w:val="none" w:sz="0" w:space="0" w:color="auto"/>
                  </w:divBdr>
                </w:div>
                <w:div w:id="2139175631">
                  <w:marLeft w:val="0"/>
                  <w:marRight w:val="0"/>
                  <w:marTop w:val="0"/>
                  <w:marBottom w:val="0"/>
                  <w:divBdr>
                    <w:top w:val="none" w:sz="0" w:space="0" w:color="auto"/>
                    <w:left w:val="none" w:sz="0" w:space="0" w:color="auto"/>
                    <w:bottom w:val="none" w:sz="0" w:space="0" w:color="auto"/>
                    <w:right w:val="none" w:sz="0" w:space="0" w:color="auto"/>
                  </w:divBdr>
                </w:div>
              </w:divsChild>
            </w:div>
            <w:div w:id="1670984162">
              <w:marLeft w:val="0"/>
              <w:marRight w:val="0"/>
              <w:marTop w:val="0"/>
              <w:marBottom w:val="0"/>
              <w:divBdr>
                <w:top w:val="none" w:sz="0" w:space="0" w:color="auto"/>
                <w:left w:val="none" w:sz="0" w:space="0" w:color="auto"/>
                <w:bottom w:val="none" w:sz="0" w:space="0" w:color="auto"/>
                <w:right w:val="none" w:sz="0" w:space="0" w:color="auto"/>
              </w:divBdr>
              <w:divsChild>
                <w:div w:id="262346023">
                  <w:marLeft w:val="0"/>
                  <w:marRight w:val="0"/>
                  <w:marTop w:val="0"/>
                  <w:marBottom w:val="0"/>
                  <w:divBdr>
                    <w:top w:val="none" w:sz="0" w:space="0" w:color="auto"/>
                    <w:left w:val="none" w:sz="0" w:space="0" w:color="auto"/>
                    <w:bottom w:val="none" w:sz="0" w:space="0" w:color="auto"/>
                    <w:right w:val="none" w:sz="0" w:space="0" w:color="auto"/>
                  </w:divBdr>
                </w:div>
                <w:div w:id="427964389">
                  <w:marLeft w:val="0"/>
                  <w:marRight w:val="0"/>
                  <w:marTop w:val="0"/>
                  <w:marBottom w:val="0"/>
                  <w:divBdr>
                    <w:top w:val="none" w:sz="0" w:space="0" w:color="auto"/>
                    <w:left w:val="none" w:sz="0" w:space="0" w:color="auto"/>
                    <w:bottom w:val="none" w:sz="0" w:space="0" w:color="auto"/>
                    <w:right w:val="none" w:sz="0" w:space="0" w:color="auto"/>
                  </w:divBdr>
                </w:div>
                <w:div w:id="19235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6058">
          <w:marLeft w:val="0"/>
          <w:marRight w:val="0"/>
          <w:marTop w:val="0"/>
          <w:marBottom w:val="0"/>
          <w:divBdr>
            <w:top w:val="none" w:sz="0" w:space="0" w:color="auto"/>
            <w:left w:val="none" w:sz="0" w:space="0" w:color="auto"/>
            <w:bottom w:val="none" w:sz="0" w:space="0" w:color="auto"/>
            <w:right w:val="none" w:sz="0" w:space="0" w:color="auto"/>
          </w:divBdr>
          <w:divsChild>
            <w:div w:id="889541115">
              <w:marLeft w:val="0"/>
              <w:marRight w:val="0"/>
              <w:marTop w:val="0"/>
              <w:marBottom w:val="0"/>
              <w:divBdr>
                <w:top w:val="none" w:sz="0" w:space="0" w:color="auto"/>
                <w:left w:val="none" w:sz="0" w:space="0" w:color="auto"/>
                <w:bottom w:val="none" w:sz="0" w:space="0" w:color="auto"/>
                <w:right w:val="none" w:sz="0" w:space="0" w:color="auto"/>
              </w:divBdr>
            </w:div>
            <w:div w:id="1502502009">
              <w:marLeft w:val="0"/>
              <w:marRight w:val="0"/>
              <w:marTop w:val="0"/>
              <w:marBottom w:val="0"/>
              <w:divBdr>
                <w:top w:val="none" w:sz="0" w:space="0" w:color="auto"/>
                <w:left w:val="none" w:sz="0" w:space="0" w:color="auto"/>
                <w:bottom w:val="none" w:sz="0" w:space="0" w:color="auto"/>
                <w:right w:val="none" w:sz="0" w:space="0" w:color="auto"/>
              </w:divBdr>
              <w:divsChild>
                <w:div w:id="801381784">
                  <w:marLeft w:val="0"/>
                  <w:marRight w:val="0"/>
                  <w:marTop w:val="0"/>
                  <w:marBottom w:val="0"/>
                  <w:divBdr>
                    <w:top w:val="none" w:sz="0" w:space="0" w:color="auto"/>
                    <w:left w:val="none" w:sz="0" w:space="0" w:color="auto"/>
                    <w:bottom w:val="none" w:sz="0" w:space="0" w:color="auto"/>
                    <w:right w:val="none" w:sz="0" w:space="0" w:color="auto"/>
                  </w:divBdr>
                </w:div>
                <w:div w:id="1619026798">
                  <w:marLeft w:val="0"/>
                  <w:marRight w:val="0"/>
                  <w:marTop w:val="0"/>
                  <w:marBottom w:val="0"/>
                  <w:divBdr>
                    <w:top w:val="none" w:sz="0" w:space="0" w:color="auto"/>
                    <w:left w:val="none" w:sz="0" w:space="0" w:color="auto"/>
                    <w:bottom w:val="none" w:sz="0" w:space="0" w:color="auto"/>
                    <w:right w:val="none" w:sz="0" w:space="0" w:color="auto"/>
                  </w:divBdr>
                </w:div>
                <w:div w:id="526527170">
                  <w:marLeft w:val="0"/>
                  <w:marRight w:val="0"/>
                  <w:marTop w:val="0"/>
                  <w:marBottom w:val="0"/>
                  <w:divBdr>
                    <w:top w:val="none" w:sz="0" w:space="0" w:color="auto"/>
                    <w:left w:val="none" w:sz="0" w:space="0" w:color="auto"/>
                    <w:bottom w:val="none" w:sz="0" w:space="0" w:color="auto"/>
                    <w:right w:val="none" w:sz="0" w:space="0" w:color="auto"/>
                  </w:divBdr>
                </w:div>
              </w:divsChild>
            </w:div>
            <w:div w:id="72287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987200705">
      <w:bodyDiv w:val="1"/>
      <w:marLeft w:val="0"/>
      <w:marRight w:val="0"/>
      <w:marTop w:val="0"/>
      <w:marBottom w:val="0"/>
      <w:divBdr>
        <w:top w:val="none" w:sz="0" w:space="0" w:color="auto"/>
        <w:left w:val="none" w:sz="0" w:space="0" w:color="auto"/>
        <w:bottom w:val="none" w:sz="0" w:space="0" w:color="auto"/>
        <w:right w:val="none" w:sz="0" w:space="0" w:color="auto"/>
      </w:divBdr>
      <w:divsChild>
        <w:div w:id="1774277839">
          <w:marLeft w:val="0"/>
          <w:marRight w:val="0"/>
          <w:marTop w:val="0"/>
          <w:marBottom w:val="0"/>
          <w:divBdr>
            <w:top w:val="none" w:sz="0" w:space="0" w:color="auto"/>
            <w:left w:val="none" w:sz="0" w:space="0" w:color="auto"/>
            <w:bottom w:val="none" w:sz="0" w:space="0" w:color="auto"/>
            <w:right w:val="none" w:sz="0" w:space="0" w:color="auto"/>
          </w:divBdr>
        </w:div>
      </w:divsChild>
    </w:div>
    <w:div w:id="1005742930">
      <w:bodyDiv w:val="1"/>
      <w:marLeft w:val="0"/>
      <w:marRight w:val="0"/>
      <w:marTop w:val="0"/>
      <w:marBottom w:val="0"/>
      <w:divBdr>
        <w:top w:val="none" w:sz="0" w:space="0" w:color="auto"/>
        <w:left w:val="none" w:sz="0" w:space="0" w:color="auto"/>
        <w:bottom w:val="none" w:sz="0" w:space="0" w:color="auto"/>
        <w:right w:val="none" w:sz="0" w:space="0" w:color="auto"/>
      </w:divBdr>
      <w:divsChild>
        <w:div w:id="896009975">
          <w:marLeft w:val="0"/>
          <w:marRight w:val="0"/>
          <w:marTop w:val="0"/>
          <w:marBottom w:val="0"/>
          <w:divBdr>
            <w:top w:val="none" w:sz="0" w:space="0" w:color="auto"/>
            <w:left w:val="none" w:sz="0" w:space="0" w:color="auto"/>
            <w:bottom w:val="none" w:sz="0" w:space="0" w:color="auto"/>
            <w:right w:val="none" w:sz="0" w:space="0" w:color="auto"/>
          </w:divBdr>
          <w:divsChild>
            <w:div w:id="827552228">
              <w:marLeft w:val="0"/>
              <w:marRight w:val="0"/>
              <w:marTop w:val="0"/>
              <w:marBottom w:val="0"/>
              <w:divBdr>
                <w:top w:val="none" w:sz="0" w:space="0" w:color="auto"/>
                <w:left w:val="none" w:sz="0" w:space="0" w:color="auto"/>
                <w:bottom w:val="none" w:sz="0" w:space="0" w:color="auto"/>
                <w:right w:val="none" w:sz="0" w:space="0" w:color="auto"/>
              </w:divBdr>
            </w:div>
            <w:div w:id="619798925">
              <w:marLeft w:val="0"/>
              <w:marRight w:val="0"/>
              <w:marTop w:val="0"/>
              <w:marBottom w:val="0"/>
              <w:divBdr>
                <w:top w:val="none" w:sz="0" w:space="0" w:color="auto"/>
                <w:left w:val="none" w:sz="0" w:space="0" w:color="auto"/>
                <w:bottom w:val="none" w:sz="0" w:space="0" w:color="auto"/>
                <w:right w:val="none" w:sz="0" w:space="0" w:color="auto"/>
              </w:divBdr>
              <w:divsChild>
                <w:div w:id="1502114991">
                  <w:marLeft w:val="0"/>
                  <w:marRight w:val="0"/>
                  <w:marTop w:val="0"/>
                  <w:marBottom w:val="0"/>
                  <w:divBdr>
                    <w:top w:val="none" w:sz="0" w:space="0" w:color="auto"/>
                    <w:left w:val="none" w:sz="0" w:space="0" w:color="auto"/>
                    <w:bottom w:val="none" w:sz="0" w:space="0" w:color="auto"/>
                    <w:right w:val="none" w:sz="0" w:space="0" w:color="auto"/>
                  </w:divBdr>
                </w:div>
                <w:div w:id="2044935177">
                  <w:marLeft w:val="0"/>
                  <w:marRight w:val="0"/>
                  <w:marTop w:val="0"/>
                  <w:marBottom w:val="0"/>
                  <w:divBdr>
                    <w:top w:val="none" w:sz="0" w:space="0" w:color="auto"/>
                    <w:left w:val="none" w:sz="0" w:space="0" w:color="auto"/>
                    <w:bottom w:val="none" w:sz="0" w:space="0" w:color="auto"/>
                    <w:right w:val="none" w:sz="0" w:space="0" w:color="auto"/>
                  </w:divBdr>
                </w:div>
                <w:div w:id="1377657036">
                  <w:marLeft w:val="0"/>
                  <w:marRight w:val="0"/>
                  <w:marTop w:val="0"/>
                  <w:marBottom w:val="0"/>
                  <w:divBdr>
                    <w:top w:val="none" w:sz="0" w:space="0" w:color="auto"/>
                    <w:left w:val="none" w:sz="0" w:space="0" w:color="auto"/>
                    <w:bottom w:val="none" w:sz="0" w:space="0" w:color="auto"/>
                    <w:right w:val="none" w:sz="0" w:space="0" w:color="auto"/>
                  </w:divBdr>
                </w:div>
              </w:divsChild>
            </w:div>
            <w:div w:id="2073699772">
              <w:marLeft w:val="0"/>
              <w:marRight w:val="0"/>
              <w:marTop w:val="0"/>
              <w:marBottom w:val="0"/>
              <w:divBdr>
                <w:top w:val="none" w:sz="0" w:space="0" w:color="auto"/>
                <w:left w:val="none" w:sz="0" w:space="0" w:color="auto"/>
                <w:bottom w:val="none" w:sz="0" w:space="0" w:color="auto"/>
                <w:right w:val="none" w:sz="0" w:space="0" w:color="auto"/>
              </w:divBdr>
            </w:div>
            <w:div w:id="747192329">
              <w:marLeft w:val="0"/>
              <w:marRight w:val="0"/>
              <w:marTop w:val="0"/>
              <w:marBottom w:val="0"/>
              <w:divBdr>
                <w:top w:val="none" w:sz="0" w:space="0" w:color="auto"/>
                <w:left w:val="none" w:sz="0" w:space="0" w:color="auto"/>
                <w:bottom w:val="none" w:sz="0" w:space="0" w:color="auto"/>
                <w:right w:val="none" w:sz="0" w:space="0" w:color="auto"/>
              </w:divBdr>
            </w:div>
          </w:divsChild>
        </w:div>
        <w:div w:id="42147120">
          <w:marLeft w:val="0"/>
          <w:marRight w:val="0"/>
          <w:marTop w:val="0"/>
          <w:marBottom w:val="0"/>
          <w:divBdr>
            <w:top w:val="none" w:sz="0" w:space="0" w:color="auto"/>
            <w:left w:val="none" w:sz="0" w:space="0" w:color="auto"/>
            <w:bottom w:val="none" w:sz="0" w:space="0" w:color="auto"/>
            <w:right w:val="none" w:sz="0" w:space="0" w:color="auto"/>
          </w:divBdr>
          <w:divsChild>
            <w:div w:id="699622306">
              <w:marLeft w:val="0"/>
              <w:marRight w:val="0"/>
              <w:marTop w:val="0"/>
              <w:marBottom w:val="0"/>
              <w:divBdr>
                <w:top w:val="none" w:sz="0" w:space="0" w:color="auto"/>
                <w:left w:val="none" w:sz="0" w:space="0" w:color="auto"/>
                <w:bottom w:val="none" w:sz="0" w:space="0" w:color="auto"/>
                <w:right w:val="none" w:sz="0" w:space="0" w:color="auto"/>
              </w:divBdr>
            </w:div>
            <w:div w:id="15120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9735">
      <w:bodyDiv w:val="1"/>
      <w:marLeft w:val="0"/>
      <w:marRight w:val="0"/>
      <w:marTop w:val="0"/>
      <w:marBottom w:val="0"/>
      <w:divBdr>
        <w:top w:val="none" w:sz="0" w:space="0" w:color="auto"/>
        <w:left w:val="none" w:sz="0" w:space="0" w:color="auto"/>
        <w:bottom w:val="none" w:sz="0" w:space="0" w:color="auto"/>
        <w:right w:val="none" w:sz="0" w:space="0" w:color="auto"/>
      </w:divBdr>
      <w:divsChild>
        <w:div w:id="1626808566">
          <w:marLeft w:val="0"/>
          <w:marRight w:val="0"/>
          <w:marTop w:val="0"/>
          <w:marBottom w:val="0"/>
          <w:divBdr>
            <w:top w:val="none" w:sz="0" w:space="0" w:color="auto"/>
            <w:left w:val="none" w:sz="0" w:space="0" w:color="auto"/>
            <w:bottom w:val="none" w:sz="0" w:space="0" w:color="auto"/>
            <w:right w:val="none" w:sz="0" w:space="0" w:color="auto"/>
          </w:divBdr>
        </w:div>
        <w:div w:id="103237284">
          <w:marLeft w:val="0"/>
          <w:marRight w:val="0"/>
          <w:marTop w:val="0"/>
          <w:marBottom w:val="0"/>
          <w:divBdr>
            <w:top w:val="none" w:sz="0" w:space="0" w:color="auto"/>
            <w:left w:val="none" w:sz="0" w:space="0" w:color="auto"/>
            <w:bottom w:val="none" w:sz="0" w:space="0" w:color="auto"/>
            <w:right w:val="none" w:sz="0" w:space="0" w:color="auto"/>
          </w:divBdr>
        </w:div>
        <w:div w:id="678699959">
          <w:marLeft w:val="0"/>
          <w:marRight w:val="0"/>
          <w:marTop w:val="0"/>
          <w:marBottom w:val="0"/>
          <w:divBdr>
            <w:top w:val="none" w:sz="0" w:space="0" w:color="auto"/>
            <w:left w:val="none" w:sz="0" w:space="0" w:color="auto"/>
            <w:bottom w:val="none" w:sz="0" w:space="0" w:color="auto"/>
            <w:right w:val="none" w:sz="0" w:space="0" w:color="auto"/>
          </w:divBdr>
        </w:div>
      </w:divsChild>
    </w:div>
    <w:div w:id="1109424638">
      <w:bodyDiv w:val="1"/>
      <w:marLeft w:val="0"/>
      <w:marRight w:val="0"/>
      <w:marTop w:val="0"/>
      <w:marBottom w:val="0"/>
      <w:divBdr>
        <w:top w:val="none" w:sz="0" w:space="0" w:color="auto"/>
        <w:left w:val="none" w:sz="0" w:space="0" w:color="auto"/>
        <w:bottom w:val="none" w:sz="0" w:space="0" w:color="auto"/>
        <w:right w:val="none" w:sz="0" w:space="0" w:color="auto"/>
      </w:divBdr>
      <w:divsChild>
        <w:div w:id="777218815">
          <w:marLeft w:val="0"/>
          <w:marRight w:val="0"/>
          <w:marTop w:val="0"/>
          <w:marBottom w:val="0"/>
          <w:divBdr>
            <w:top w:val="none" w:sz="0" w:space="0" w:color="auto"/>
            <w:left w:val="none" w:sz="0" w:space="0" w:color="auto"/>
            <w:bottom w:val="none" w:sz="0" w:space="0" w:color="auto"/>
            <w:right w:val="none" w:sz="0" w:space="0" w:color="auto"/>
          </w:divBdr>
        </w:div>
        <w:div w:id="1811553003">
          <w:marLeft w:val="0"/>
          <w:marRight w:val="0"/>
          <w:marTop w:val="0"/>
          <w:marBottom w:val="0"/>
          <w:divBdr>
            <w:top w:val="none" w:sz="0" w:space="0" w:color="auto"/>
            <w:left w:val="none" w:sz="0" w:space="0" w:color="auto"/>
            <w:bottom w:val="none" w:sz="0" w:space="0" w:color="auto"/>
            <w:right w:val="none" w:sz="0" w:space="0" w:color="auto"/>
          </w:divBdr>
        </w:div>
        <w:div w:id="1217281286">
          <w:marLeft w:val="0"/>
          <w:marRight w:val="0"/>
          <w:marTop w:val="0"/>
          <w:marBottom w:val="0"/>
          <w:divBdr>
            <w:top w:val="none" w:sz="0" w:space="0" w:color="auto"/>
            <w:left w:val="none" w:sz="0" w:space="0" w:color="auto"/>
            <w:bottom w:val="none" w:sz="0" w:space="0" w:color="auto"/>
            <w:right w:val="none" w:sz="0" w:space="0" w:color="auto"/>
          </w:divBdr>
        </w:div>
        <w:div w:id="864756936">
          <w:marLeft w:val="0"/>
          <w:marRight w:val="0"/>
          <w:marTop w:val="0"/>
          <w:marBottom w:val="0"/>
          <w:divBdr>
            <w:top w:val="none" w:sz="0" w:space="0" w:color="auto"/>
            <w:left w:val="none" w:sz="0" w:space="0" w:color="auto"/>
            <w:bottom w:val="none" w:sz="0" w:space="0" w:color="auto"/>
            <w:right w:val="none" w:sz="0" w:space="0" w:color="auto"/>
          </w:divBdr>
        </w:div>
        <w:div w:id="350767077">
          <w:marLeft w:val="0"/>
          <w:marRight w:val="0"/>
          <w:marTop w:val="0"/>
          <w:marBottom w:val="0"/>
          <w:divBdr>
            <w:top w:val="none" w:sz="0" w:space="0" w:color="auto"/>
            <w:left w:val="none" w:sz="0" w:space="0" w:color="auto"/>
            <w:bottom w:val="none" w:sz="0" w:space="0" w:color="auto"/>
            <w:right w:val="none" w:sz="0" w:space="0" w:color="auto"/>
          </w:divBdr>
        </w:div>
        <w:div w:id="723023849">
          <w:marLeft w:val="0"/>
          <w:marRight w:val="0"/>
          <w:marTop w:val="0"/>
          <w:marBottom w:val="0"/>
          <w:divBdr>
            <w:top w:val="none" w:sz="0" w:space="0" w:color="auto"/>
            <w:left w:val="none" w:sz="0" w:space="0" w:color="auto"/>
            <w:bottom w:val="none" w:sz="0" w:space="0" w:color="auto"/>
            <w:right w:val="none" w:sz="0" w:space="0" w:color="auto"/>
          </w:divBdr>
        </w:div>
      </w:divsChild>
    </w:div>
    <w:div w:id="1128666591">
      <w:bodyDiv w:val="1"/>
      <w:marLeft w:val="0"/>
      <w:marRight w:val="0"/>
      <w:marTop w:val="0"/>
      <w:marBottom w:val="0"/>
      <w:divBdr>
        <w:top w:val="none" w:sz="0" w:space="0" w:color="auto"/>
        <w:left w:val="none" w:sz="0" w:space="0" w:color="auto"/>
        <w:bottom w:val="none" w:sz="0" w:space="0" w:color="auto"/>
        <w:right w:val="none" w:sz="0" w:space="0" w:color="auto"/>
      </w:divBdr>
      <w:divsChild>
        <w:div w:id="299111252">
          <w:marLeft w:val="0"/>
          <w:marRight w:val="0"/>
          <w:marTop w:val="0"/>
          <w:marBottom w:val="0"/>
          <w:divBdr>
            <w:top w:val="none" w:sz="0" w:space="0" w:color="auto"/>
            <w:left w:val="none" w:sz="0" w:space="0" w:color="auto"/>
            <w:bottom w:val="none" w:sz="0" w:space="0" w:color="auto"/>
            <w:right w:val="none" w:sz="0" w:space="0" w:color="auto"/>
          </w:divBdr>
        </w:div>
        <w:div w:id="236406634">
          <w:marLeft w:val="0"/>
          <w:marRight w:val="0"/>
          <w:marTop w:val="0"/>
          <w:marBottom w:val="0"/>
          <w:divBdr>
            <w:top w:val="none" w:sz="0" w:space="0" w:color="auto"/>
            <w:left w:val="none" w:sz="0" w:space="0" w:color="auto"/>
            <w:bottom w:val="none" w:sz="0" w:space="0" w:color="auto"/>
            <w:right w:val="none" w:sz="0" w:space="0" w:color="auto"/>
          </w:divBdr>
        </w:div>
      </w:divsChild>
    </w:div>
    <w:div w:id="1208568555">
      <w:bodyDiv w:val="1"/>
      <w:marLeft w:val="0"/>
      <w:marRight w:val="0"/>
      <w:marTop w:val="0"/>
      <w:marBottom w:val="0"/>
      <w:divBdr>
        <w:top w:val="none" w:sz="0" w:space="0" w:color="auto"/>
        <w:left w:val="none" w:sz="0" w:space="0" w:color="auto"/>
        <w:bottom w:val="none" w:sz="0" w:space="0" w:color="auto"/>
        <w:right w:val="none" w:sz="0" w:space="0" w:color="auto"/>
      </w:divBdr>
      <w:divsChild>
        <w:div w:id="1179854591">
          <w:marLeft w:val="0"/>
          <w:marRight w:val="0"/>
          <w:marTop w:val="0"/>
          <w:marBottom w:val="0"/>
          <w:divBdr>
            <w:top w:val="none" w:sz="0" w:space="0" w:color="auto"/>
            <w:left w:val="none" w:sz="0" w:space="0" w:color="auto"/>
            <w:bottom w:val="none" w:sz="0" w:space="0" w:color="auto"/>
            <w:right w:val="none" w:sz="0" w:space="0" w:color="auto"/>
          </w:divBdr>
        </w:div>
        <w:div w:id="716323482">
          <w:marLeft w:val="0"/>
          <w:marRight w:val="0"/>
          <w:marTop w:val="0"/>
          <w:marBottom w:val="0"/>
          <w:divBdr>
            <w:top w:val="none" w:sz="0" w:space="0" w:color="auto"/>
            <w:left w:val="none" w:sz="0" w:space="0" w:color="auto"/>
            <w:bottom w:val="none" w:sz="0" w:space="0" w:color="auto"/>
            <w:right w:val="none" w:sz="0" w:space="0" w:color="auto"/>
          </w:divBdr>
        </w:div>
      </w:divsChild>
    </w:div>
    <w:div w:id="1351293182">
      <w:bodyDiv w:val="1"/>
      <w:marLeft w:val="0"/>
      <w:marRight w:val="0"/>
      <w:marTop w:val="0"/>
      <w:marBottom w:val="0"/>
      <w:divBdr>
        <w:top w:val="none" w:sz="0" w:space="0" w:color="auto"/>
        <w:left w:val="none" w:sz="0" w:space="0" w:color="auto"/>
        <w:bottom w:val="none" w:sz="0" w:space="0" w:color="auto"/>
        <w:right w:val="none" w:sz="0" w:space="0" w:color="auto"/>
      </w:divBdr>
      <w:divsChild>
        <w:div w:id="516119980">
          <w:marLeft w:val="0"/>
          <w:marRight w:val="0"/>
          <w:marTop w:val="0"/>
          <w:marBottom w:val="0"/>
          <w:divBdr>
            <w:top w:val="none" w:sz="0" w:space="0" w:color="auto"/>
            <w:left w:val="none" w:sz="0" w:space="0" w:color="auto"/>
            <w:bottom w:val="none" w:sz="0" w:space="0" w:color="auto"/>
            <w:right w:val="none" w:sz="0" w:space="0" w:color="auto"/>
          </w:divBdr>
        </w:div>
        <w:div w:id="549995617">
          <w:marLeft w:val="0"/>
          <w:marRight w:val="0"/>
          <w:marTop w:val="0"/>
          <w:marBottom w:val="0"/>
          <w:divBdr>
            <w:top w:val="none" w:sz="0" w:space="0" w:color="auto"/>
            <w:left w:val="none" w:sz="0" w:space="0" w:color="auto"/>
            <w:bottom w:val="none" w:sz="0" w:space="0" w:color="auto"/>
            <w:right w:val="none" w:sz="0" w:space="0" w:color="auto"/>
          </w:divBdr>
        </w:div>
      </w:divsChild>
    </w:div>
    <w:div w:id="1385568434">
      <w:bodyDiv w:val="1"/>
      <w:marLeft w:val="0"/>
      <w:marRight w:val="0"/>
      <w:marTop w:val="0"/>
      <w:marBottom w:val="0"/>
      <w:divBdr>
        <w:top w:val="none" w:sz="0" w:space="0" w:color="auto"/>
        <w:left w:val="none" w:sz="0" w:space="0" w:color="auto"/>
        <w:bottom w:val="none" w:sz="0" w:space="0" w:color="auto"/>
        <w:right w:val="none" w:sz="0" w:space="0" w:color="auto"/>
      </w:divBdr>
      <w:divsChild>
        <w:div w:id="542138119">
          <w:marLeft w:val="0"/>
          <w:marRight w:val="0"/>
          <w:marTop w:val="0"/>
          <w:marBottom w:val="0"/>
          <w:divBdr>
            <w:top w:val="none" w:sz="0" w:space="0" w:color="auto"/>
            <w:left w:val="none" w:sz="0" w:space="0" w:color="auto"/>
            <w:bottom w:val="none" w:sz="0" w:space="0" w:color="auto"/>
            <w:right w:val="none" w:sz="0" w:space="0" w:color="auto"/>
          </w:divBdr>
        </w:div>
        <w:div w:id="596062507">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498107542">
      <w:bodyDiv w:val="1"/>
      <w:marLeft w:val="0"/>
      <w:marRight w:val="0"/>
      <w:marTop w:val="0"/>
      <w:marBottom w:val="0"/>
      <w:divBdr>
        <w:top w:val="none" w:sz="0" w:space="0" w:color="auto"/>
        <w:left w:val="none" w:sz="0" w:space="0" w:color="auto"/>
        <w:bottom w:val="none" w:sz="0" w:space="0" w:color="auto"/>
        <w:right w:val="none" w:sz="0" w:space="0" w:color="auto"/>
      </w:divBdr>
      <w:divsChild>
        <w:div w:id="1833254883">
          <w:marLeft w:val="0"/>
          <w:marRight w:val="0"/>
          <w:marTop w:val="0"/>
          <w:marBottom w:val="0"/>
          <w:divBdr>
            <w:top w:val="none" w:sz="0" w:space="0" w:color="auto"/>
            <w:left w:val="none" w:sz="0" w:space="0" w:color="auto"/>
            <w:bottom w:val="none" w:sz="0" w:space="0" w:color="auto"/>
            <w:right w:val="none" w:sz="0" w:space="0" w:color="auto"/>
          </w:divBdr>
        </w:div>
        <w:div w:id="2010910973">
          <w:marLeft w:val="0"/>
          <w:marRight w:val="0"/>
          <w:marTop w:val="0"/>
          <w:marBottom w:val="0"/>
          <w:divBdr>
            <w:top w:val="none" w:sz="0" w:space="0" w:color="auto"/>
            <w:left w:val="none" w:sz="0" w:space="0" w:color="auto"/>
            <w:bottom w:val="none" w:sz="0" w:space="0" w:color="auto"/>
            <w:right w:val="none" w:sz="0" w:space="0" w:color="auto"/>
          </w:divBdr>
        </w:div>
      </w:divsChild>
    </w:div>
    <w:div w:id="1997147409">
      <w:bodyDiv w:val="1"/>
      <w:marLeft w:val="0"/>
      <w:marRight w:val="0"/>
      <w:marTop w:val="0"/>
      <w:marBottom w:val="0"/>
      <w:divBdr>
        <w:top w:val="none" w:sz="0" w:space="0" w:color="auto"/>
        <w:left w:val="none" w:sz="0" w:space="0" w:color="auto"/>
        <w:bottom w:val="none" w:sz="0" w:space="0" w:color="auto"/>
        <w:right w:val="none" w:sz="0" w:space="0" w:color="auto"/>
      </w:divBdr>
      <w:divsChild>
        <w:div w:id="2119372727">
          <w:marLeft w:val="0"/>
          <w:marRight w:val="0"/>
          <w:marTop w:val="0"/>
          <w:marBottom w:val="0"/>
          <w:divBdr>
            <w:top w:val="none" w:sz="0" w:space="0" w:color="auto"/>
            <w:left w:val="none" w:sz="0" w:space="0" w:color="auto"/>
            <w:bottom w:val="none" w:sz="0" w:space="0" w:color="auto"/>
            <w:right w:val="none" w:sz="0" w:space="0" w:color="auto"/>
          </w:divBdr>
        </w:div>
        <w:div w:id="207064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40/section-63.802" TargetMode="External"/><Relationship Id="rId18" Type="http://schemas.openxmlformats.org/officeDocument/2006/relationships/hyperlink" Target="https://www.ecfr.gov/current/title-40/section-63.802" TargetMode="External"/><Relationship Id="rId26" Type="http://schemas.openxmlformats.org/officeDocument/2006/relationships/hyperlink" Target="https://www.ecfr.gov/current/title-40/section-63.804" TargetMode="External"/><Relationship Id="rId39" Type="http://schemas.openxmlformats.org/officeDocument/2006/relationships/hyperlink" Target="https://www.ecfr.gov/current/title-40/section-63.802" TargetMode="External"/><Relationship Id="rId21" Type="http://schemas.openxmlformats.org/officeDocument/2006/relationships/hyperlink" Target="https://www.ecfr.gov/current/title-40/section-63.804" TargetMode="External"/><Relationship Id="rId34" Type="http://schemas.openxmlformats.org/officeDocument/2006/relationships/hyperlink" Target="https://www.ecfr.gov/current/title-40/section-63.802" TargetMode="External"/><Relationship Id="rId42" Type="http://schemas.openxmlformats.org/officeDocument/2006/relationships/hyperlink" Target="https://www.ecfr.gov/current/title-40/section-63.803" TargetMode="External"/><Relationship Id="rId47" Type="http://schemas.openxmlformats.org/officeDocument/2006/relationships/hyperlink" Target="https://www.ecfr.gov/current/title-40/section-63.804" TargetMode="External"/><Relationship Id="rId50" Type="http://schemas.openxmlformats.org/officeDocument/2006/relationships/hyperlink" Target="https://www.ecfr.gov/current/title-40/section-63.804" TargetMode="External"/><Relationship Id="rId55" Type="http://schemas.openxmlformats.org/officeDocument/2006/relationships/hyperlink" Target="https://www.ecfr.gov/current/title-40/section-63.804"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cfr.gov/current/title-40/section-63.804" TargetMode="External"/><Relationship Id="rId29" Type="http://schemas.openxmlformats.org/officeDocument/2006/relationships/hyperlink" Target="https://www.ecfr.gov/current/title-40/section-63.8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definitions/index.php?width=840&amp;height=800&amp;iframe=true&amp;def_id=e23a27897f275dec5a449aef49f45191&amp;term_occur=999&amp;term_src=Title:40:Chapter:I:Subchapter:C:Part:63:Subpart:JJ:63.805" TargetMode="External"/><Relationship Id="rId24" Type="http://schemas.openxmlformats.org/officeDocument/2006/relationships/hyperlink" Target="https://www.ecfr.gov/current/title-40/section-63.804" TargetMode="External"/><Relationship Id="rId32" Type="http://schemas.openxmlformats.org/officeDocument/2006/relationships/hyperlink" Target="https://www.ecfr.gov/current/title-40/section-63.802" TargetMode="External"/><Relationship Id="rId37" Type="http://schemas.openxmlformats.org/officeDocument/2006/relationships/hyperlink" Target="https://www.ecfr.gov/current/title-40/section-63.804" TargetMode="External"/><Relationship Id="rId40" Type="http://schemas.openxmlformats.org/officeDocument/2006/relationships/hyperlink" Target="https://www.ecfr.gov/current/title-40/section-63.802" TargetMode="External"/><Relationship Id="rId45" Type="http://schemas.openxmlformats.org/officeDocument/2006/relationships/hyperlink" Target="https://www.ecfr.gov/current/title-40/section-63.804" TargetMode="External"/><Relationship Id="rId53" Type="http://schemas.openxmlformats.org/officeDocument/2006/relationships/hyperlink" Target="https://www.ecfr.gov/current/title-40/section-63.803" TargetMode="External"/><Relationship Id="rId58" Type="http://schemas.openxmlformats.org/officeDocument/2006/relationships/hyperlink" Target="https://www.ecfr.gov/current/title-40/section-63.802"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cfr.gov/current/title-40/section-63.804" TargetMode="External"/><Relationship Id="rId23" Type="http://schemas.openxmlformats.org/officeDocument/2006/relationships/hyperlink" Target="https://www.ecfr.gov/current/title-40/section-63.802" TargetMode="External"/><Relationship Id="rId28" Type="http://schemas.openxmlformats.org/officeDocument/2006/relationships/hyperlink" Target="https://www.ecfr.gov/current/title-40/section-63.807" TargetMode="External"/><Relationship Id="rId36" Type="http://schemas.openxmlformats.org/officeDocument/2006/relationships/hyperlink" Target="https://www.ecfr.gov/current/title-40/section-63.804" TargetMode="External"/><Relationship Id="rId49" Type="http://schemas.openxmlformats.org/officeDocument/2006/relationships/hyperlink" Target="https://www.ecfr.gov/current/title-40/section-63.804" TargetMode="External"/><Relationship Id="rId57" Type="http://schemas.openxmlformats.org/officeDocument/2006/relationships/oleObject" Target="embeddings/oleObject1.bin"/><Relationship Id="rId61" Type="http://schemas.openxmlformats.org/officeDocument/2006/relationships/header" Target="header2.xml"/><Relationship Id="rId10" Type="http://schemas.openxmlformats.org/officeDocument/2006/relationships/hyperlink" Target="https://www.ecfr.gov/current/title-40/section-63.804" TargetMode="External"/><Relationship Id="rId19" Type="http://schemas.openxmlformats.org/officeDocument/2006/relationships/hyperlink" Target="https://www.ecfr.gov/current/title-40/section-63.802" TargetMode="External"/><Relationship Id="rId31" Type="http://schemas.openxmlformats.org/officeDocument/2006/relationships/hyperlink" Target="https://www.ecfr.gov/current/title-40/section-63.804" TargetMode="External"/><Relationship Id="rId44" Type="http://schemas.openxmlformats.org/officeDocument/2006/relationships/hyperlink" Target="https://www.ecfr.gov/current/title-40/section-63.804" TargetMode="External"/><Relationship Id="rId52" Type="http://schemas.openxmlformats.org/officeDocument/2006/relationships/hyperlink" Target="https://www.ecfr.gov/current/title-40/section-63.802"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ecfr.gov/current/title-40/section-63.803" TargetMode="External"/><Relationship Id="rId14" Type="http://schemas.openxmlformats.org/officeDocument/2006/relationships/hyperlink" Target="https://www.ecfr.gov/current/title-40/section-63.802" TargetMode="External"/><Relationship Id="rId22" Type="http://schemas.openxmlformats.org/officeDocument/2006/relationships/hyperlink" Target="https://www.ecfr.gov/current/title-40/section-63.807" TargetMode="External"/><Relationship Id="rId27" Type="http://schemas.openxmlformats.org/officeDocument/2006/relationships/hyperlink" Target="https://www.ecfr.gov/current/title-40/section-63.804" TargetMode="External"/><Relationship Id="rId30" Type="http://schemas.openxmlformats.org/officeDocument/2006/relationships/hyperlink" Target="https://www.ecfr.gov/current/title-40/section-63.804" TargetMode="External"/><Relationship Id="rId35" Type="http://schemas.openxmlformats.org/officeDocument/2006/relationships/hyperlink" Target="https://www.ecfr.gov/current/title-40/section-63.804" TargetMode="External"/><Relationship Id="rId43" Type="http://schemas.openxmlformats.org/officeDocument/2006/relationships/hyperlink" Target="https://www.ecfr.gov/current/title-40/section-63.807" TargetMode="External"/><Relationship Id="rId48" Type="http://schemas.openxmlformats.org/officeDocument/2006/relationships/hyperlink" Target="https://www.ecfr.gov/current/title-40/section-63.804" TargetMode="External"/><Relationship Id="rId56" Type="http://schemas.openxmlformats.org/officeDocument/2006/relationships/image" Target="media/image1.wmf"/><Relationship Id="rId64" Type="http://schemas.openxmlformats.org/officeDocument/2006/relationships/header" Target="header3.xml"/><Relationship Id="rId8" Type="http://schemas.openxmlformats.org/officeDocument/2006/relationships/hyperlink" Target="https://www.ecfr.gov/current/title-40/section-63.803" TargetMode="External"/><Relationship Id="rId51" Type="http://schemas.openxmlformats.org/officeDocument/2006/relationships/hyperlink" Target="https://www.ecfr.gov/current/title-40/section-63.804" TargetMode="External"/><Relationship Id="rId3" Type="http://schemas.openxmlformats.org/officeDocument/2006/relationships/styles" Target="styles.xml"/><Relationship Id="rId12" Type="http://schemas.openxmlformats.org/officeDocument/2006/relationships/hyperlink" Target="https://www.law.cornell.edu/definitions/index.php?width=840&amp;height=800&amp;iframe=true&amp;def_id=de99b93ff15b3862f74515033c29b716&amp;term_occur=999&amp;term_src=Title:40:Chapter:I:Subchapter:C:Part:63:Subpart:JJ:63.805" TargetMode="External"/><Relationship Id="rId17" Type="http://schemas.openxmlformats.org/officeDocument/2006/relationships/hyperlink" Target="https://www.ecfr.gov/current/title-40/section-63.807" TargetMode="External"/><Relationship Id="rId25" Type="http://schemas.openxmlformats.org/officeDocument/2006/relationships/hyperlink" Target="https://www.ecfr.gov/current/title-40/section-63.804" TargetMode="External"/><Relationship Id="rId33" Type="http://schemas.openxmlformats.org/officeDocument/2006/relationships/hyperlink" Target="https://www.ecfr.gov/current/title-40/section-63.802" TargetMode="External"/><Relationship Id="rId38" Type="http://schemas.openxmlformats.org/officeDocument/2006/relationships/hyperlink" Target="https://www.ecfr.gov/current/title-40/section-63.807" TargetMode="External"/><Relationship Id="rId46" Type="http://schemas.openxmlformats.org/officeDocument/2006/relationships/hyperlink" Target="https://www.ecfr.gov/current/title-40/section-63.804" TargetMode="External"/><Relationship Id="rId59" Type="http://schemas.openxmlformats.org/officeDocument/2006/relationships/hyperlink" Target="https://www.ecfr.gov/current/title-40/section-63.802" TargetMode="External"/><Relationship Id="rId67" Type="http://schemas.openxmlformats.org/officeDocument/2006/relationships/theme" Target="theme/theme1.xml"/><Relationship Id="rId20" Type="http://schemas.openxmlformats.org/officeDocument/2006/relationships/hyperlink" Target="https://www.ecfr.gov/current/title-40/section-63.804" TargetMode="External"/><Relationship Id="rId41" Type="http://schemas.openxmlformats.org/officeDocument/2006/relationships/hyperlink" Target="https://www.ecfr.gov/current/title-40/section-63.807" TargetMode="External"/><Relationship Id="rId54" Type="http://schemas.openxmlformats.org/officeDocument/2006/relationships/hyperlink" Target="https://www.ecfr.gov/current/title-40/section-63.804" TargetMode="External"/><Relationship Id="rId6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6448-288B-4700-AB4B-AB3575C1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24</TotalTime>
  <Pages>41</Pages>
  <Words>16697</Words>
  <Characters>95176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111650</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Ciavattone, Deborah (EGLE)</dc:creator>
  <cp:keywords>AQD-AIR-ROP-TITLE V, Template Shell</cp:keywords>
  <dc:description/>
  <cp:lastModifiedBy>Ciavattone, Deborah (EGLE)</cp:lastModifiedBy>
  <cp:revision>8</cp:revision>
  <cp:lastPrinted>2002-09-24T20:30:00Z</cp:lastPrinted>
  <dcterms:created xsi:type="dcterms:W3CDTF">2022-08-29T14:48:00Z</dcterms:created>
  <dcterms:modified xsi:type="dcterms:W3CDTF">2022-10-19T15:23:00Z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