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4CF"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0A23F82" w14:textId="77777777" w:rsidTr="00240431">
        <w:tc>
          <w:tcPr>
            <w:tcW w:w="2250" w:type="dxa"/>
          </w:tcPr>
          <w:p w14:paraId="7D58D5B4" w14:textId="77777777" w:rsidR="00AA0D6E" w:rsidRDefault="00AA0D6E" w:rsidP="00AA0D6E">
            <w:pPr>
              <w:jc w:val="center"/>
              <w:rPr>
                <w:rFonts w:ascii="Arial" w:hAnsi="Arial"/>
                <w:sz w:val="16"/>
              </w:rPr>
            </w:pPr>
          </w:p>
        </w:tc>
        <w:tc>
          <w:tcPr>
            <w:tcW w:w="5670" w:type="dxa"/>
          </w:tcPr>
          <w:p w14:paraId="540B568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20411F3" w14:textId="77777777" w:rsidR="00AA0D6E" w:rsidRDefault="00AA0D6E" w:rsidP="00AA0D6E">
            <w:pPr>
              <w:jc w:val="center"/>
              <w:rPr>
                <w:rFonts w:ascii="Arial" w:hAnsi="Arial"/>
                <w:sz w:val="16"/>
              </w:rPr>
            </w:pPr>
            <w:r>
              <w:rPr>
                <w:rFonts w:ascii="Arial" w:hAnsi="Arial"/>
              </w:rPr>
              <w:t>Air Quality Division</w:t>
            </w:r>
          </w:p>
        </w:tc>
        <w:tc>
          <w:tcPr>
            <w:tcW w:w="2430" w:type="dxa"/>
          </w:tcPr>
          <w:p w14:paraId="01316FFF" w14:textId="77777777" w:rsidR="00AA0D6E" w:rsidRDefault="00AA0D6E" w:rsidP="00AA0D6E">
            <w:pPr>
              <w:jc w:val="center"/>
              <w:rPr>
                <w:rFonts w:ascii="Arial" w:hAnsi="Arial"/>
                <w:b/>
                <w:sz w:val="24"/>
              </w:rPr>
            </w:pPr>
          </w:p>
        </w:tc>
      </w:tr>
      <w:tr w:rsidR="00AA0D6E" w14:paraId="71AF1386" w14:textId="77777777" w:rsidTr="00240431">
        <w:trPr>
          <w:cantSplit/>
          <w:trHeight w:val="146"/>
        </w:trPr>
        <w:tc>
          <w:tcPr>
            <w:tcW w:w="2250" w:type="dxa"/>
          </w:tcPr>
          <w:p w14:paraId="4B6B4F1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EC5399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F3FE7D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12D5" w:rsidRPr="002812D5" w14:paraId="7B5D1431" w14:textId="77777777" w:rsidTr="00240431">
        <w:trPr>
          <w:cantSplit/>
          <w:trHeight w:val="145"/>
        </w:trPr>
        <w:tc>
          <w:tcPr>
            <w:tcW w:w="2250" w:type="dxa"/>
          </w:tcPr>
          <w:p w14:paraId="648D00C0" w14:textId="5E8544F9" w:rsidR="00AA0D6E" w:rsidRPr="00910FEA" w:rsidRDefault="006811DD" w:rsidP="00AA0D6E">
            <w:pPr>
              <w:pStyle w:val="Header"/>
              <w:jc w:val="center"/>
              <w:rPr>
                <w:rFonts w:ascii="Arial" w:hAnsi="Arial"/>
                <w:sz w:val="22"/>
                <w:szCs w:val="22"/>
              </w:rPr>
            </w:pPr>
            <w:r w:rsidRPr="006811DD">
              <w:rPr>
                <w:rFonts w:ascii="Arial" w:hAnsi="Arial"/>
                <w:sz w:val="22"/>
              </w:rPr>
              <w:t>A6497</w:t>
            </w:r>
          </w:p>
        </w:tc>
        <w:tc>
          <w:tcPr>
            <w:tcW w:w="5670" w:type="dxa"/>
          </w:tcPr>
          <w:p w14:paraId="1062B65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5FB0E37" w14:textId="5BD52243" w:rsidR="00AA0D6E" w:rsidRPr="002812D5" w:rsidRDefault="006811DD" w:rsidP="00AA0D6E">
            <w:pPr>
              <w:pStyle w:val="Header"/>
              <w:jc w:val="center"/>
              <w:rPr>
                <w:rFonts w:ascii="Arial" w:hAnsi="Arial"/>
                <w:sz w:val="22"/>
                <w:szCs w:val="22"/>
              </w:rPr>
            </w:pPr>
            <w:r w:rsidRPr="002812D5">
              <w:rPr>
                <w:rFonts w:ascii="Arial" w:hAnsi="Arial"/>
                <w:sz w:val="22"/>
                <w:szCs w:val="22"/>
              </w:rPr>
              <w:t>MI-ROP-A6497-20</w:t>
            </w:r>
            <w:r w:rsidR="00F31B1F" w:rsidRPr="002812D5">
              <w:rPr>
                <w:rFonts w:ascii="Arial" w:hAnsi="Arial"/>
                <w:sz w:val="22"/>
                <w:szCs w:val="22"/>
              </w:rPr>
              <w:t>22</w:t>
            </w:r>
            <w:r w:rsidR="000C2478" w:rsidRPr="002812D5">
              <w:rPr>
                <w:rFonts w:ascii="Arial" w:hAnsi="Arial"/>
                <w:sz w:val="22"/>
                <w:szCs w:val="22"/>
              </w:rPr>
              <w:t>a</w:t>
            </w:r>
            <w:r w:rsidR="00AA0D6E" w:rsidRPr="002812D5">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2812D5">
              <w:rPr>
                <w:rFonts w:ascii="Arial" w:hAnsi="Arial"/>
                <w:sz w:val="22"/>
                <w:szCs w:val="22"/>
              </w:rPr>
              <w:instrText xml:space="preserve"> FORMTEXT </w:instrText>
            </w:r>
            <w:r w:rsidR="0043448C" w:rsidRPr="002812D5">
              <w:rPr>
                <w:rFonts w:ascii="Arial" w:hAnsi="Arial"/>
                <w:sz w:val="22"/>
                <w:szCs w:val="22"/>
              </w:rPr>
            </w:r>
            <w:r w:rsidR="0043448C" w:rsidRPr="002812D5">
              <w:rPr>
                <w:rFonts w:ascii="Arial" w:hAnsi="Arial"/>
                <w:sz w:val="22"/>
                <w:szCs w:val="22"/>
              </w:rPr>
              <w:fldChar w:fldCharType="separate"/>
            </w:r>
            <w:r w:rsidR="00AA0D6E" w:rsidRPr="002812D5">
              <w:rPr>
                <w:rFonts w:ascii="Arial" w:hAnsi="Arial"/>
                <w:sz w:val="22"/>
                <w:szCs w:val="22"/>
              </w:rPr>
              <w:fldChar w:fldCharType="end"/>
            </w:r>
            <w:bookmarkEnd w:id="0"/>
          </w:p>
        </w:tc>
      </w:tr>
    </w:tbl>
    <w:p w14:paraId="3CDC8F31" w14:textId="77777777" w:rsidR="00AF4326" w:rsidRDefault="00AF4326">
      <w:pPr>
        <w:rPr>
          <w:rFonts w:ascii="Arial" w:hAnsi="Arial"/>
          <w:color w:val="000000"/>
          <w:sz w:val="14"/>
        </w:rPr>
      </w:pPr>
    </w:p>
    <w:p w14:paraId="746E1A26" w14:textId="77777777" w:rsidR="00AF4326" w:rsidRDefault="00AF4326">
      <w:pPr>
        <w:jc w:val="center"/>
        <w:rPr>
          <w:rFonts w:ascii="Arial" w:hAnsi="Arial"/>
          <w:sz w:val="22"/>
        </w:rPr>
      </w:pPr>
    </w:p>
    <w:p w14:paraId="59BA0FC5" w14:textId="77777777" w:rsidR="006F719A" w:rsidRPr="002812D5" w:rsidRDefault="006F719A" w:rsidP="006F719A">
      <w:pPr>
        <w:autoSpaceDE w:val="0"/>
        <w:autoSpaceDN w:val="0"/>
        <w:adjustRightInd w:val="0"/>
        <w:jc w:val="center"/>
        <w:rPr>
          <w:rFonts w:ascii="Arial" w:hAnsi="Arial" w:cs="Arial"/>
          <w:b/>
          <w:sz w:val="22"/>
          <w:szCs w:val="22"/>
        </w:rPr>
      </w:pPr>
      <w:bookmarkStart w:id="1" w:name="bCompanyName"/>
      <w:r w:rsidRPr="002812D5">
        <w:rPr>
          <w:rFonts w:ascii="Arial" w:hAnsi="Arial" w:cs="Arial"/>
          <w:b/>
          <w:sz w:val="22"/>
          <w:szCs w:val="22"/>
        </w:rPr>
        <w:t>General Shale Brick, Inc. (Plant 66) - DBA Michigan Brick</w:t>
      </w:r>
    </w:p>
    <w:bookmarkEnd w:id="1"/>
    <w:p w14:paraId="3E69F628" w14:textId="77777777" w:rsidR="00AF4326" w:rsidRPr="002812D5" w:rsidRDefault="00AF4326">
      <w:pPr>
        <w:jc w:val="center"/>
        <w:rPr>
          <w:rFonts w:ascii="Arial" w:hAnsi="Arial"/>
          <w:sz w:val="22"/>
        </w:rPr>
      </w:pPr>
    </w:p>
    <w:p w14:paraId="021540B7" w14:textId="08BF6424" w:rsidR="00AF4326" w:rsidRPr="002812D5" w:rsidRDefault="009A000C">
      <w:pPr>
        <w:jc w:val="center"/>
        <w:rPr>
          <w:rFonts w:ascii="Arial" w:hAnsi="Arial"/>
          <w:sz w:val="22"/>
        </w:rPr>
      </w:pPr>
      <w:r w:rsidRPr="002812D5">
        <w:rPr>
          <w:rFonts w:ascii="Arial" w:hAnsi="Arial"/>
          <w:sz w:val="22"/>
        </w:rPr>
        <w:t>State Registration Number (</w:t>
      </w:r>
      <w:r w:rsidR="00AF4326" w:rsidRPr="002812D5">
        <w:rPr>
          <w:rFonts w:ascii="Arial" w:hAnsi="Arial"/>
          <w:sz w:val="22"/>
        </w:rPr>
        <w:t>SRN</w:t>
      </w:r>
      <w:r w:rsidRPr="002812D5">
        <w:rPr>
          <w:rFonts w:ascii="Arial" w:hAnsi="Arial"/>
          <w:sz w:val="22"/>
        </w:rPr>
        <w:t>)</w:t>
      </w:r>
      <w:r w:rsidR="00AF4326" w:rsidRPr="002812D5">
        <w:rPr>
          <w:rFonts w:ascii="Arial" w:hAnsi="Arial"/>
          <w:sz w:val="22"/>
        </w:rPr>
        <w:t xml:space="preserve">: </w:t>
      </w:r>
      <w:r w:rsidR="002D3017" w:rsidRPr="002812D5">
        <w:rPr>
          <w:rFonts w:ascii="Arial" w:hAnsi="Arial"/>
          <w:sz w:val="22"/>
        </w:rPr>
        <w:t>A6497</w:t>
      </w:r>
    </w:p>
    <w:p w14:paraId="04605A57" w14:textId="77777777" w:rsidR="00AF4326" w:rsidRPr="002812D5" w:rsidRDefault="00AF4326">
      <w:pPr>
        <w:jc w:val="center"/>
        <w:rPr>
          <w:rFonts w:ascii="Arial" w:hAnsi="Arial"/>
          <w:sz w:val="22"/>
        </w:rPr>
      </w:pPr>
    </w:p>
    <w:p w14:paraId="7F767560" w14:textId="77777777" w:rsidR="00AF4326" w:rsidRPr="002812D5" w:rsidRDefault="001301E9">
      <w:pPr>
        <w:jc w:val="center"/>
        <w:outlineLvl w:val="0"/>
        <w:rPr>
          <w:rFonts w:ascii="Arial" w:hAnsi="Arial"/>
          <w:sz w:val="22"/>
        </w:rPr>
      </w:pPr>
      <w:r w:rsidRPr="002812D5">
        <w:rPr>
          <w:rFonts w:ascii="Arial" w:hAnsi="Arial"/>
          <w:sz w:val="22"/>
        </w:rPr>
        <w:t>Located</w:t>
      </w:r>
      <w:r w:rsidR="00AF4326" w:rsidRPr="002812D5">
        <w:rPr>
          <w:rFonts w:ascii="Arial" w:hAnsi="Arial"/>
          <w:sz w:val="22"/>
        </w:rPr>
        <w:t xml:space="preserve"> at</w:t>
      </w:r>
    </w:p>
    <w:p w14:paraId="7E81D66D" w14:textId="77777777" w:rsidR="006240B1" w:rsidRPr="002812D5" w:rsidRDefault="006240B1">
      <w:pPr>
        <w:jc w:val="center"/>
        <w:outlineLvl w:val="0"/>
        <w:rPr>
          <w:rFonts w:ascii="Arial" w:hAnsi="Arial"/>
          <w:sz w:val="22"/>
        </w:rPr>
      </w:pPr>
    </w:p>
    <w:p w14:paraId="560C2089" w14:textId="18357053" w:rsidR="00AF4326" w:rsidRPr="002812D5" w:rsidRDefault="006811DD">
      <w:pPr>
        <w:jc w:val="center"/>
        <w:rPr>
          <w:rFonts w:ascii="Arial" w:hAnsi="Arial"/>
          <w:sz w:val="22"/>
        </w:rPr>
      </w:pPr>
      <w:r w:rsidRPr="002812D5">
        <w:rPr>
          <w:rFonts w:ascii="Arial" w:hAnsi="Arial"/>
          <w:sz w:val="22"/>
        </w:rPr>
        <w:t>3820 E</w:t>
      </w:r>
      <w:r w:rsidR="0049047E" w:rsidRPr="002812D5">
        <w:rPr>
          <w:rFonts w:ascii="Arial" w:hAnsi="Arial"/>
          <w:sz w:val="22"/>
        </w:rPr>
        <w:t>ast</w:t>
      </w:r>
      <w:r w:rsidRPr="002812D5">
        <w:rPr>
          <w:rFonts w:ascii="Arial" w:hAnsi="Arial"/>
          <w:sz w:val="22"/>
        </w:rPr>
        <w:t xml:space="preserve"> Serr Road</w:t>
      </w:r>
      <w:r w:rsidR="00AF4326" w:rsidRPr="002812D5">
        <w:rPr>
          <w:rFonts w:ascii="Arial" w:hAnsi="Arial"/>
          <w:sz w:val="22"/>
        </w:rPr>
        <w:t xml:space="preserve">, </w:t>
      </w:r>
      <w:r w:rsidRPr="002812D5">
        <w:rPr>
          <w:rFonts w:ascii="Arial" w:hAnsi="Arial"/>
          <w:sz w:val="22"/>
        </w:rPr>
        <w:t>Corunna</w:t>
      </w:r>
      <w:r w:rsidR="00AF4326" w:rsidRPr="002812D5">
        <w:rPr>
          <w:rFonts w:ascii="Arial" w:hAnsi="Arial"/>
          <w:sz w:val="22"/>
        </w:rPr>
        <w:t xml:space="preserve">, </w:t>
      </w:r>
      <w:r w:rsidRPr="002812D5">
        <w:rPr>
          <w:rFonts w:ascii="Arial" w:hAnsi="Arial"/>
          <w:sz w:val="22"/>
        </w:rPr>
        <w:t>Shiawassee</w:t>
      </w:r>
      <w:r w:rsidR="000901C4" w:rsidRPr="002812D5">
        <w:rPr>
          <w:rFonts w:ascii="Arial" w:hAnsi="Arial"/>
          <w:sz w:val="22"/>
        </w:rPr>
        <w:t xml:space="preserve"> County</w:t>
      </w:r>
      <w:r w:rsidR="00D325DF" w:rsidRPr="002812D5">
        <w:rPr>
          <w:rFonts w:ascii="Arial" w:hAnsi="Arial"/>
          <w:sz w:val="22"/>
        </w:rPr>
        <w:t xml:space="preserve">, </w:t>
      </w:r>
      <w:r w:rsidR="00AF4326" w:rsidRPr="002812D5">
        <w:rPr>
          <w:rFonts w:ascii="Arial" w:hAnsi="Arial"/>
          <w:sz w:val="22"/>
        </w:rPr>
        <w:t xml:space="preserve">Michigan </w:t>
      </w:r>
      <w:r w:rsidRPr="002812D5">
        <w:rPr>
          <w:rFonts w:ascii="Arial" w:hAnsi="Arial"/>
          <w:sz w:val="22"/>
        </w:rPr>
        <w:t>48817</w:t>
      </w:r>
    </w:p>
    <w:p w14:paraId="2A491B3C" w14:textId="77777777" w:rsidR="00AF4326" w:rsidRPr="002812D5" w:rsidRDefault="00AF4326">
      <w:pPr>
        <w:jc w:val="center"/>
        <w:rPr>
          <w:rFonts w:ascii="Arial" w:hAnsi="Arial"/>
          <w:sz w:val="22"/>
        </w:rPr>
      </w:pPr>
    </w:p>
    <w:p w14:paraId="51A6A31D" w14:textId="0552C6D3" w:rsidR="00AF4326" w:rsidRPr="002812D5" w:rsidRDefault="00AF4326">
      <w:pPr>
        <w:ind w:left="3150"/>
        <w:rPr>
          <w:rFonts w:ascii="Arial" w:hAnsi="Arial"/>
          <w:sz w:val="22"/>
        </w:rPr>
      </w:pPr>
      <w:r w:rsidRPr="002812D5">
        <w:rPr>
          <w:rFonts w:ascii="Arial" w:hAnsi="Arial"/>
          <w:sz w:val="22"/>
        </w:rPr>
        <w:t>Permit Number:</w:t>
      </w:r>
      <w:r w:rsidRPr="002812D5">
        <w:rPr>
          <w:rFonts w:ascii="Arial" w:hAnsi="Arial"/>
          <w:sz w:val="22"/>
        </w:rPr>
        <w:tab/>
      </w:r>
      <w:r w:rsidRPr="002812D5">
        <w:rPr>
          <w:rFonts w:ascii="Arial" w:hAnsi="Arial"/>
          <w:sz w:val="22"/>
        </w:rPr>
        <w:tab/>
      </w:r>
      <w:r w:rsidR="006811DD" w:rsidRPr="002812D5">
        <w:rPr>
          <w:rFonts w:ascii="Arial" w:hAnsi="Arial"/>
          <w:sz w:val="22"/>
        </w:rPr>
        <w:t>MI-ROP-A6497-20</w:t>
      </w:r>
      <w:r w:rsidR="00F31B1F" w:rsidRPr="002812D5">
        <w:rPr>
          <w:rFonts w:ascii="Arial" w:hAnsi="Arial"/>
          <w:sz w:val="22"/>
        </w:rPr>
        <w:t>22</w:t>
      </w:r>
      <w:r w:rsidR="000C2478" w:rsidRPr="002812D5">
        <w:rPr>
          <w:rFonts w:ascii="Arial" w:hAnsi="Arial"/>
          <w:sz w:val="22"/>
        </w:rPr>
        <w:t>a</w:t>
      </w:r>
      <w:r w:rsidRPr="002812D5">
        <w:rPr>
          <w:rFonts w:ascii="Arial" w:hAnsi="Arial"/>
          <w:sz w:val="22"/>
        </w:rPr>
        <w:fldChar w:fldCharType="begin"/>
      </w:r>
      <w:r w:rsidRPr="002812D5">
        <w:rPr>
          <w:rFonts w:ascii="Arial" w:hAnsi="Arial"/>
          <w:sz w:val="22"/>
        </w:rPr>
        <w:instrText xml:space="preserve"> REF ROP \h </w:instrText>
      </w:r>
      <w:r w:rsidRPr="002812D5">
        <w:rPr>
          <w:rFonts w:ascii="Arial" w:hAnsi="Arial"/>
          <w:sz w:val="22"/>
        </w:rPr>
      </w:r>
      <w:r w:rsidRPr="002812D5">
        <w:rPr>
          <w:rFonts w:ascii="Arial" w:hAnsi="Arial"/>
          <w:sz w:val="22"/>
        </w:rPr>
        <w:fldChar w:fldCharType="end"/>
      </w:r>
    </w:p>
    <w:p w14:paraId="00CC72F8" w14:textId="77777777" w:rsidR="00AF4326" w:rsidRPr="002812D5" w:rsidRDefault="00AF4326">
      <w:pPr>
        <w:ind w:left="3150"/>
        <w:rPr>
          <w:rFonts w:ascii="Arial" w:hAnsi="Arial"/>
          <w:sz w:val="22"/>
        </w:rPr>
      </w:pPr>
    </w:p>
    <w:p w14:paraId="3E6348FE" w14:textId="66E49B96" w:rsidR="00AF4326" w:rsidRPr="002812D5" w:rsidRDefault="00AF4326">
      <w:pPr>
        <w:ind w:left="3150"/>
        <w:rPr>
          <w:rFonts w:ascii="Arial" w:hAnsi="Arial"/>
          <w:sz w:val="22"/>
        </w:rPr>
      </w:pPr>
      <w:r w:rsidRPr="002812D5">
        <w:rPr>
          <w:rFonts w:ascii="Arial" w:hAnsi="Arial"/>
          <w:sz w:val="22"/>
        </w:rPr>
        <w:t>Staff Report Date:</w:t>
      </w:r>
      <w:r w:rsidRPr="002812D5">
        <w:rPr>
          <w:rFonts w:ascii="Arial" w:hAnsi="Arial"/>
          <w:sz w:val="22"/>
        </w:rPr>
        <w:tab/>
      </w:r>
      <w:r w:rsidRPr="002812D5">
        <w:rPr>
          <w:rFonts w:ascii="Arial" w:hAnsi="Arial"/>
          <w:sz w:val="22"/>
        </w:rPr>
        <w:tab/>
      </w:r>
      <w:r w:rsidR="00C82E70" w:rsidRPr="002812D5">
        <w:rPr>
          <w:rFonts w:ascii="Arial" w:hAnsi="Arial"/>
          <w:sz w:val="22"/>
        </w:rPr>
        <w:t>April 4, 2022</w:t>
      </w:r>
    </w:p>
    <w:p w14:paraId="6B31B191" w14:textId="6C60FA9D" w:rsidR="000C2478" w:rsidRPr="002812D5" w:rsidRDefault="000C2478">
      <w:pPr>
        <w:ind w:left="3150"/>
        <w:rPr>
          <w:rFonts w:ascii="Arial" w:hAnsi="Arial"/>
          <w:sz w:val="22"/>
        </w:rPr>
      </w:pPr>
    </w:p>
    <w:p w14:paraId="5F7B41EF" w14:textId="54CB2D01" w:rsidR="000C2478" w:rsidRPr="002812D5" w:rsidRDefault="000C2478">
      <w:pPr>
        <w:ind w:left="3150"/>
        <w:rPr>
          <w:rFonts w:ascii="Arial" w:hAnsi="Arial"/>
          <w:sz w:val="22"/>
        </w:rPr>
      </w:pPr>
      <w:r w:rsidRPr="002812D5">
        <w:rPr>
          <w:rFonts w:ascii="Arial" w:hAnsi="Arial"/>
          <w:sz w:val="22"/>
        </w:rPr>
        <w:t>Amended Date:</w:t>
      </w:r>
      <w:r w:rsidRPr="002812D5">
        <w:rPr>
          <w:rFonts w:ascii="Arial" w:hAnsi="Arial"/>
          <w:sz w:val="22"/>
        </w:rPr>
        <w:tab/>
      </w:r>
      <w:r w:rsidRPr="002812D5">
        <w:rPr>
          <w:rFonts w:ascii="Arial" w:hAnsi="Arial"/>
          <w:sz w:val="22"/>
        </w:rPr>
        <w:tab/>
      </w:r>
      <w:r w:rsidR="00B3584F" w:rsidRPr="002812D5">
        <w:rPr>
          <w:rFonts w:ascii="Arial" w:hAnsi="Arial"/>
          <w:sz w:val="22"/>
        </w:rPr>
        <w:t>January 2</w:t>
      </w:r>
      <w:r w:rsidR="003600B9" w:rsidRPr="002812D5">
        <w:rPr>
          <w:rFonts w:ascii="Arial" w:hAnsi="Arial"/>
          <w:sz w:val="22"/>
        </w:rPr>
        <w:t>5</w:t>
      </w:r>
      <w:r w:rsidR="00B3584F" w:rsidRPr="002812D5">
        <w:rPr>
          <w:rFonts w:ascii="Arial" w:hAnsi="Arial"/>
          <w:sz w:val="22"/>
        </w:rPr>
        <w:t>, 2023</w:t>
      </w:r>
    </w:p>
    <w:p w14:paraId="0CC66FE6" w14:textId="77777777" w:rsidR="00DB5924" w:rsidRPr="002812D5" w:rsidRDefault="00DB5924">
      <w:pPr>
        <w:pStyle w:val="BodyText"/>
      </w:pPr>
    </w:p>
    <w:p w14:paraId="33BF7185" w14:textId="77777777" w:rsidR="00644884" w:rsidRDefault="00644884" w:rsidP="00DB5924">
      <w:pPr>
        <w:jc w:val="both"/>
        <w:rPr>
          <w:rFonts w:ascii="Arial" w:hAnsi="Arial"/>
          <w:sz w:val="22"/>
        </w:rPr>
      </w:pPr>
    </w:p>
    <w:p w14:paraId="5272D72B" w14:textId="77777777" w:rsidR="00644884" w:rsidRDefault="00644884" w:rsidP="00DB5924">
      <w:pPr>
        <w:jc w:val="both"/>
        <w:rPr>
          <w:rFonts w:ascii="Arial" w:hAnsi="Arial"/>
          <w:sz w:val="22"/>
        </w:rPr>
      </w:pPr>
    </w:p>
    <w:p w14:paraId="1AB571BD" w14:textId="77777777" w:rsidR="00644884" w:rsidRDefault="00644884" w:rsidP="00DB5924">
      <w:pPr>
        <w:jc w:val="both"/>
        <w:rPr>
          <w:rFonts w:ascii="Arial" w:hAnsi="Arial"/>
          <w:sz w:val="22"/>
        </w:rPr>
      </w:pPr>
    </w:p>
    <w:p w14:paraId="3DD92B0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F54EE22" w14:textId="77777777" w:rsidR="00AF4326" w:rsidRDefault="00AF4326">
      <w:pPr>
        <w:rPr>
          <w:rFonts w:ascii="Arial" w:hAnsi="Arial"/>
          <w:sz w:val="22"/>
        </w:rPr>
      </w:pPr>
    </w:p>
    <w:p w14:paraId="08405D7B" w14:textId="77777777" w:rsidR="00AF4326" w:rsidRDefault="00AF4326">
      <w:pPr>
        <w:rPr>
          <w:rFonts w:ascii="Arial" w:hAnsi="Arial"/>
          <w:sz w:val="22"/>
        </w:rPr>
      </w:pPr>
    </w:p>
    <w:p w14:paraId="284EE3F8" w14:textId="77777777" w:rsidR="00AF4326" w:rsidRDefault="00AF4326">
      <w:pPr>
        <w:rPr>
          <w:rFonts w:ascii="Arial" w:hAnsi="Arial"/>
          <w:sz w:val="22"/>
        </w:rPr>
      </w:pPr>
    </w:p>
    <w:p w14:paraId="758C61FB" w14:textId="77777777" w:rsidR="00AF4326" w:rsidRDefault="00AF4326">
      <w:pPr>
        <w:rPr>
          <w:rFonts w:ascii="Arial" w:hAnsi="Arial"/>
          <w:sz w:val="22"/>
        </w:rPr>
      </w:pPr>
    </w:p>
    <w:p w14:paraId="2597BF90" w14:textId="77777777" w:rsidR="00AF4326" w:rsidRDefault="00AF4326">
      <w:pPr>
        <w:rPr>
          <w:rFonts w:ascii="Arial" w:hAnsi="Arial"/>
          <w:sz w:val="22"/>
        </w:rPr>
      </w:pPr>
    </w:p>
    <w:p w14:paraId="499CC803" w14:textId="77777777" w:rsidR="00AF4326" w:rsidRDefault="00AF4326">
      <w:pPr>
        <w:rPr>
          <w:rFonts w:ascii="Arial" w:hAnsi="Arial"/>
          <w:sz w:val="22"/>
        </w:rPr>
      </w:pPr>
    </w:p>
    <w:p w14:paraId="1EB1E69F" w14:textId="77777777" w:rsidR="00DB5924" w:rsidRDefault="00DB5924">
      <w:pPr>
        <w:rPr>
          <w:rFonts w:ascii="Arial" w:hAnsi="Arial"/>
          <w:sz w:val="22"/>
        </w:rPr>
      </w:pPr>
    </w:p>
    <w:p w14:paraId="29E918D6" w14:textId="77777777" w:rsidR="00DB5924" w:rsidRDefault="00DB5924">
      <w:pPr>
        <w:rPr>
          <w:rFonts w:ascii="Arial" w:hAnsi="Arial"/>
          <w:sz w:val="22"/>
        </w:rPr>
      </w:pPr>
    </w:p>
    <w:p w14:paraId="6E6A909F" w14:textId="77777777" w:rsidR="00DB5924" w:rsidRDefault="00DB5924">
      <w:pPr>
        <w:rPr>
          <w:rFonts w:ascii="Arial" w:hAnsi="Arial"/>
          <w:sz w:val="22"/>
        </w:rPr>
      </w:pPr>
    </w:p>
    <w:p w14:paraId="093B1D86" w14:textId="77777777" w:rsidR="00DB5924" w:rsidRDefault="00DB5924">
      <w:pPr>
        <w:rPr>
          <w:rFonts w:ascii="Arial" w:hAnsi="Arial"/>
          <w:sz w:val="22"/>
        </w:rPr>
      </w:pPr>
    </w:p>
    <w:p w14:paraId="3BE8579A" w14:textId="77777777" w:rsidR="00DB5924" w:rsidRDefault="00DB5924">
      <w:pPr>
        <w:rPr>
          <w:rFonts w:ascii="Arial" w:hAnsi="Arial"/>
          <w:sz w:val="22"/>
        </w:rPr>
      </w:pPr>
    </w:p>
    <w:p w14:paraId="5B757214" w14:textId="77777777" w:rsidR="00DB5924" w:rsidRDefault="00DB5924">
      <w:pPr>
        <w:rPr>
          <w:rFonts w:ascii="Arial" w:hAnsi="Arial"/>
          <w:sz w:val="22"/>
        </w:rPr>
      </w:pPr>
    </w:p>
    <w:p w14:paraId="43A65FE1" w14:textId="77777777" w:rsidR="00DB5924" w:rsidRDefault="00DB5924">
      <w:pPr>
        <w:rPr>
          <w:rFonts w:ascii="Arial" w:hAnsi="Arial"/>
          <w:sz w:val="22"/>
        </w:rPr>
      </w:pPr>
    </w:p>
    <w:p w14:paraId="60B902D1" w14:textId="77777777" w:rsidR="00DB5924" w:rsidRDefault="00DB5924">
      <w:pPr>
        <w:rPr>
          <w:rFonts w:ascii="Arial" w:hAnsi="Arial"/>
          <w:sz w:val="22"/>
        </w:rPr>
      </w:pPr>
    </w:p>
    <w:p w14:paraId="34AE0217" w14:textId="77777777" w:rsidR="00AF4326" w:rsidRDefault="00AF4326">
      <w:pPr>
        <w:rPr>
          <w:rFonts w:ascii="Arial" w:hAnsi="Arial"/>
          <w:sz w:val="22"/>
        </w:rPr>
      </w:pPr>
    </w:p>
    <w:p w14:paraId="1292F0FE" w14:textId="77777777" w:rsidR="00AF4326" w:rsidRDefault="00AF4326">
      <w:pPr>
        <w:rPr>
          <w:rFonts w:ascii="Arial" w:hAnsi="Arial"/>
          <w:sz w:val="22"/>
        </w:rPr>
      </w:pPr>
    </w:p>
    <w:p w14:paraId="2A340270" w14:textId="77777777" w:rsidR="00AF4326" w:rsidRDefault="00AF4326">
      <w:pPr>
        <w:rPr>
          <w:rFonts w:ascii="Arial" w:hAnsi="Arial"/>
          <w:sz w:val="22"/>
        </w:rPr>
      </w:pPr>
    </w:p>
    <w:p w14:paraId="284E4513" w14:textId="77777777" w:rsidR="00644884" w:rsidRDefault="00644884">
      <w:pPr>
        <w:rPr>
          <w:rFonts w:ascii="Arial" w:hAnsi="Arial"/>
          <w:sz w:val="22"/>
        </w:rPr>
      </w:pPr>
    </w:p>
    <w:p w14:paraId="5DBCC131" w14:textId="77777777" w:rsidR="00AF4326" w:rsidRDefault="00644884" w:rsidP="00644884">
      <w:pPr>
        <w:rPr>
          <w:rFonts w:ascii="Arial" w:hAnsi="Arial"/>
          <w:sz w:val="22"/>
        </w:rPr>
      </w:pPr>
      <w:r>
        <w:rPr>
          <w:rFonts w:ascii="Arial" w:hAnsi="Arial"/>
          <w:sz w:val="22"/>
        </w:rPr>
        <w:br w:type="page"/>
      </w:r>
    </w:p>
    <w:p w14:paraId="2D4C6618" w14:textId="77777777" w:rsidR="00AF4326" w:rsidRDefault="00AF4326">
      <w:pPr>
        <w:jc w:val="center"/>
        <w:outlineLvl w:val="0"/>
        <w:rPr>
          <w:rFonts w:ascii="Arial" w:hAnsi="Arial"/>
          <w:b/>
          <w:sz w:val="22"/>
        </w:rPr>
      </w:pPr>
      <w:r>
        <w:rPr>
          <w:rFonts w:ascii="Arial" w:hAnsi="Arial"/>
          <w:b/>
          <w:sz w:val="22"/>
        </w:rPr>
        <w:lastRenderedPageBreak/>
        <w:t>TABLE OF CONTENTS</w:t>
      </w:r>
    </w:p>
    <w:p w14:paraId="18E0573E" w14:textId="7ECE2F4E" w:rsidR="003600B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600B9">
        <w:rPr>
          <w:noProof/>
        </w:rPr>
        <w:t>April 4, 2022 - STAFF REPORT</w:t>
      </w:r>
      <w:r w:rsidR="003600B9">
        <w:rPr>
          <w:noProof/>
        </w:rPr>
        <w:tab/>
      </w:r>
      <w:r w:rsidR="003600B9">
        <w:rPr>
          <w:noProof/>
        </w:rPr>
        <w:fldChar w:fldCharType="begin"/>
      </w:r>
      <w:r w:rsidR="003600B9">
        <w:rPr>
          <w:noProof/>
        </w:rPr>
        <w:instrText xml:space="preserve"> PAGEREF _Toc125453277 \h </w:instrText>
      </w:r>
      <w:r w:rsidR="003600B9">
        <w:rPr>
          <w:noProof/>
        </w:rPr>
      </w:r>
      <w:r w:rsidR="003600B9">
        <w:rPr>
          <w:noProof/>
        </w:rPr>
        <w:fldChar w:fldCharType="separate"/>
      </w:r>
      <w:r w:rsidR="003600B9">
        <w:rPr>
          <w:noProof/>
        </w:rPr>
        <w:t>3</w:t>
      </w:r>
      <w:r w:rsidR="003600B9">
        <w:rPr>
          <w:noProof/>
        </w:rPr>
        <w:fldChar w:fldCharType="end"/>
      </w:r>
    </w:p>
    <w:p w14:paraId="717FADC0" w14:textId="28C51BE9" w:rsidR="003600B9" w:rsidRDefault="003600B9">
      <w:pPr>
        <w:pStyle w:val="TOC1"/>
        <w:tabs>
          <w:tab w:val="right" w:pos="10214"/>
        </w:tabs>
        <w:rPr>
          <w:rFonts w:asciiTheme="minorHAnsi" w:eastAsiaTheme="minorEastAsia" w:hAnsiTheme="minorHAnsi" w:cstheme="minorBidi"/>
          <w:b w:val="0"/>
          <w:noProof/>
          <w:szCs w:val="22"/>
        </w:rPr>
      </w:pPr>
      <w:r>
        <w:rPr>
          <w:noProof/>
        </w:rPr>
        <w:t>June 14, 2022- STAFF REPORT ADDENDUM</w:t>
      </w:r>
      <w:r>
        <w:rPr>
          <w:noProof/>
        </w:rPr>
        <w:tab/>
      </w:r>
      <w:r>
        <w:rPr>
          <w:noProof/>
        </w:rPr>
        <w:fldChar w:fldCharType="begin"/>
      </w:r>
      <w:r>
        <w:rPr>
          <w:noProof/>
        </w:rPr>
        <w:instrText xml:space="preserve"> PAGEREF _Toc125453278 \h </w:instrText>
      </w:r>
      <w:r>
        <w:rPr>
          <w:noProof/>
        </w:rPr>
      </w:r>
      <w:r>
        <w:rPr>
          <w:noProof/>
        </w:rPr>
        <w:fldChar w:fldCharType="separate"/>
      </w:r>
      <w:r>
        <w:rPr>
          <w:noProof/>
        </w:rPr>
        <w:t>11</w:t>
      </w:r>
      <w:r>
        <w:rPr>
          <w:noProof/>
        </w:rPr>
        <w:fldChar w:fldCharType="end"/>
      </w:r>
    </w:p>
    <w:p w14:paraId="4A39A2D9" w14:textId="7B26390A" w:rsidR="003600B9" w:rsidRDefault="003600B9">
      <w:pPr>
        <w:pStyle w:val="TOC1"/>
        <w:tabs>
          <w:tab w:val="right" w:pos="10214"/>
        </w:tabs>
        <w:rPr>
          <w:rFonts w:asciiTheme="minorHAnsi" w:eastAsiaTheme="minorEastAsia" w:hAnsiTheme="minorHAnsi" w:cstheme="minorBidi"/>
          <w:b w:val="0"/>
          <w:noProof/>
          <w:szCs w:val="22"/>
        </w:rPr>
      </w:pPr>
      <w:r w:rsidRPr="002812D5">
        <w:rPr>
          <w:noProof/>
        </w:rPr>
        <w:t>January 25, 2023 - STAFF RE</w:t>
      </w:r>
      <w:r>
        <w:rPr>
          <w:noProof/>
        </w:rPr>
        <w:t>PORT FOR RULE 216(1)(a)(i)-(iv) ADMINISTRATIVE AMENDMENT</w:t>
      </w:r>
      <w:r>
        <w:rPr>
          <w:noProof/>
        </w:rPr>
        <w:tab/>
      </w:r>
      <w:r>
        <w:rPr>
          <w:noProof/>
        </w:rPr>
        <w:fldChar w:fldCharType="begin"/>
      </w:r>
      <w:r>
        <w:rPr>
          <w:noProof/>
        </w:rPr>
        <w:instrText xml:space="preserve"> PAGEREF _Toc125453279 \h </w:instrText>
      </w:r>
      <w:r>
        <w:rPr>
          <w:noProof/>
        </w:rPr>
      </w:r>
      <w:r>
        <w:rPr>
          <w:noProof/>
        </w:rPr>
        <w:fldChar w:fldCharType="separate"/>
      </w:r>
      <w:r>
        <w:rPr>
          <w:noProof/>
        </w:rPr>
        <w:t>13</w:t>
      </w:r>
      <w:r>
        <w:rPr>
          <w:noProof/>
        </w:rPr>
        <w:fldChar w:fldCharType="end"/>
      </w:r>
    </w:p>
    <w:p w14:paraId="7140D76A" w14:textId="202941AA"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CEDFA11" w14:textId="77777777" w:rsidTr="004577DE">
        <w:tc>
          <w:tcPr>
            <w:tcW w:w="2250" w:type="dxa"/>
          </w:tcPr>
          <w:p w14:paraId="5F94F444" w14:textId="77777777" w:rsidR="004577DE" w:rsidRDefault="004577DE" w:rsidP="004577DE">
            <w:pPr>
              <w:ind w:right="252"/>
              <w:jc w:val="center"/>
              <w:rPr>
                <w:rFonts w:ascii="Arial" w:hAnsi="Arial"/>
                <w:sz w:val="16"/>
              </w:rPr>
            </w:pPr>
          </w:p>
        </w:tc>
        <w:tc>
          <w:tcPr>
            <w:tcW w:w="5940" w:type="dxa"/>
          </w:tcPr>
          <w:p w14:paraId="706BD128"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343E06B" w14:textId="77777777" w:rsidR="004577DE" w:rsidRDefault="004577DE" w:rsidP="00C65371">
            <w:pPr>
              <w:jc w:val="center"/>
              <w:rPr>
                <w:rFonts w:ascii="Arial" w:hAnsi="Arial"/>
                <w:sz w:val="16"/>
              </w:rPr>
            </w:pPr>
            <w:r>
              <w:rPr>
                <w:rFonts w:ascii="Arial" w:hAnsi="Arial"/>
              </w:rPr>
              <w:t>Air Quality Division</w:t>
            </w:r>
          </w:p>
        </w:tc>
        <w:tc>
          <w:tcPr>
            <w:tcW w:w="2374" w:type="dxa"/>
          </w:tcPr>
          <w:p w14:paraId="0E055080" w14:textId="77777777" w:rsidR="004577DE" w:rsidRDefault="004577DE" w:rsidP="00C65371">
            <w:pPr>
              <w:ind w:left="-73"/>
              <w:jc w:val="center"/>
              <w:rPr>
                <w:rFonts w:ascii="Arial" w:hAnsi="Arial"/>
                <w:sz w:val="16"/>
              </w:rPr>
            </w:pPr>
          </w:p>
        </w:tc>
      </w:tr>
      <w:tr w:rsidR="004577DE" w:rsidRPr="00DB5924" w14:paraId="2F9A216F" w14:textId="77777777" w:rsidTr="004577DE">
        <w:trPr>
          <w:cantSplit/>
          <w:trHeight w:val="333"/>
        </w:trPr>
        <w:tc>
          <w:tcPr>
            <w:tcW w:w="2250" w:type="dxa"/>
          </w:tcPr>
          <w:p w14:paraId="509F4786"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987C88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923DB2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81188F0" w14:textId="77777777" w:rsidTr="004577DE">
        <w:trPr>
          <w:cantSplit/>
          <w:trHeight w:val="428"/>
        </w:trPr>
        <w:tc>
          <w:tcPr>
            <w:tcW w:w="2250" w:type="dxa"/>
            <w:tcBorders>
              <w:bottom w:val="nil"/>
            </w:tcBorders>
          </w:tcPr>
          <w:p w14:paraId="47016BC0" w14:textId="03C06950" w:rsidR="004577DE" w:rsidRPr="00910FEA" w:rsidRDefault="006811DD" w:rsidP="00C65371">
            <w:pPr>
              <w:pStyle w:val="Header"/>
              <w:jc w:val="center"/>
              <w:rPr>
                <w:rFonts w:ascii="Arial" w:hAnsi="Arial"/>
                <w:sz w:val="22"/>
                <w:szCs w:val="22"/>
              </w:rPr>
            </w:pPr>
            <w:r w:rsidRPr="006811DD">
              <w:rPr>
                <w:rFonts w:ascii="Arial" w:hAnsi="Arial"/>
                <w:sz w:val="22"/>
                <w:szCs w:val="22"/>
              </w:rPr>
              <w:t>A6497</w:t>
            </w:r>
          </w:p>
        </w:tc>
        <w:tc>
          <w:tcPr>
            <w:tcW w:w="5940" w:type="dxa"/>
            <w:tcBorders>
              <w:bottom w:val="nil"/>
            </w:tcBorders>
          </w:tcPr>
          <w:p w14:paraId="498AA66C" w14:textId="152F427E" w:rsidR="004577DE" w:rsidRPr="0057400E" w:rsidRDefault="00C82E70" w:rsidP="00C65371">
            <w:pPr>
              <w:pStyle w:val="Heading1"/>
              <w:spacing w:before="120"/>
              <w:rPr>
                <w:sz w:val="22"/>
                <w:szCs w:val="22"/>
              </w:rPr>
            </w:pPr>
            <w:bookmarkStart w:id="2" w:name="_Toc183429900"/>
            <w:bookmarkStart w:id="3" w:name="_Toc183430200"/>
            <w:bookmarkStart w:id="4" w:name="_Toc323287074"/>
            <w:bookmarkStart w:id="5" w:name="_Toc69376577"/>
            <w:bookmarkStart w:id="6" w:name="_Toc125453277"/>
            <w:r>
              <w:rPr>
                <w:sz w:val="22"/>
                <w:szCs w:val="22"/>
              </w:rPr>
              <w:t>April 4, 2022</w:t>
            </w:r>
            <w:r w:rsidR="004577DE" w:rsidRPr="00983014">
              <w:rPr>
                <w:sz w:val="22"/>
                <w:szCs w:val="22"/>
              </w:rPr>
              <w:t xml:space="preserve"> </w:t>
            </w:r>
            <w:r w:rsidR="004577DE">
              <w:rPr>
                <w:sz w:val="22"/>
                <w:szCs w:val="22"/>
              </w:rPr>
              <w:t>- S</w:t>
            </w:r>
            <w:r w:rsidR="004577DE" w:rsidRPr="0057400E">
              <w:rPr>
                <w:sz w:val="22"/>
                <w:szCs w:val="22"/>
              </w:rPr>
              <w:t>TAFF REPORT</w:t>
            </w:r>
            <w:bookmarkEnd w:id="2"/>
            <w:bookmarkEnd w:id="3"/>
            <w:bookmarkEnd w:id="4"/>
            <w:bookmarkEnd w:id="5"/>
            <w:bookmarkEnd w:id="6"/>
          </w:p>
        </w:tc>
        <w:tc>
          <w:tcPr>
            <w:tcW w:w="2374" w:type="dxa"/>
            <w:tcBorders>
              <w:bottom w:val="nil"/>
            </w:tcBorders>
          </w:tcPr>
          <w:p w14:paraId="671F5520" w14:textId="3BE24BA8" w:rsidR="004577DE" w:rsidRPr="00910FEA" w:rsidRDefault="006811DD" w:rsidP="00C65371">
            <w:pPr>
              <w:pStyle w:val="Header"/>
              <w:jc w:val="center"/>
              <w:rPr>
                <w:rFonts w:ascii="Arial" w:hAnsi="Arial"/>
                <w:b/>
                <w:sz w:val="22"/>
                <w:szCs w:val="22"/>
              </w:rPr>
            </w:pPr>
            <w:r w:rsidRPr="00BB5F1F">
              <w:rPr>
                <w:rFonts w:ascii="Arial" w:hAnsi="Arial"/>
                <w:sz w:val="22"/>
                <w:szCs w:val="22"/>
              </w:rPr>
              <w:t>MI-ROP-A6497-20</w:t>
            </w:r>
            <w:r w:rsidR="00F31B1F">
              <w:rPr>
                <w:rFonts w:ascii="Arial" w:hAnsi="Arial"/>
                <w:sz w:val="22"/>
                <w:szCs w:val="22"/>
              </w:rPr>
              <w:t>22</w:t>
            </w:r>
          </w:p>
        </w:tc>
      </w:tr>
    </w:tbl>
    <w:p w14:paraId="13BF30A3" w14:textId="77777777" w:rsidR="0024506D" w:rsidRDefault="0024506D" w:rsidP="00EE5339">
      <w:pPr>
        <w:pStyle w:val="Header"/>
        <w:tabs>
          <w:tab w:val="clear" w:pos="4320"/>
          <w:tab w:val="clear" w:pos="8640"/>
        </w:tabs>
        <w:rPr>
          <w:rFonts w:ascii="Arial" w:hAnsi="Arial"/>
          <w:sz w:val="22"/>
        </w:rPr>
      </w:pPr>
    </w:p>
    <w:p w14:paraId="28B9A1B3" w14:textId="77777777" w:rsidR="00AF4326" w:rsidRPr="00CB60BD" w:rsidRDefault="00AF4326" w:rsidP="00EE5339">
      <w:pPr>
        <w:pStyle w:val="Header"/>
        <w:tabs>
          <w:tab w:val="clear" w:pos="4320"/>
          <w:tab w:val="clear" w:pos="8640"/>
        </w:tabs>
        <w:rPr>
          <w:rFonts w:ascii="Arial" w:hAnsi="Arial"/>
          <w:sz w:val="22"/>
        </w:rPr>
      </w:pPr>
    </w:p>
    <w:p w14:paraId="747D2A9D"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00D8BA08" w14:textId="77777777" w:rsidR="00AF4326" w:rsidRPr="00290754" w:rsidRDefault="00AF4326">
      <w:pPr>
        <w:jc w:val="both"/>
        <w:rPr>
          <w:rFonts w:ascii="Arial" w:hAnsi="Arial" w:cs="Arial"/>
          <w:sz w:val="22"/>
          <w:szCs w:val="22"/>
        </w:rPr>
      </w:pPr>
    </w:p>
    <w:p w14:paraId="156575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0499EF6" w14:textId="77777777" w:rsidR="00DB5924" w:rsidRPr="00290754" w:rsidRDefault="00DB5924" w:rsidP="00167B85">
      <w:pPr>
        <w:jc w:val="both"/>
        <w:rPr>
          <w:rFonts w:ascii="Arial" w:hAnsi="Arial" w:cs="Arial"/>
          <w:sz w:val="22"/>
          <w:szCs w:val="22"/>
        </w:rPr>
      </w:pPr>
    </w:p>
    <w:p w14:paraId="5364442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9698DA" w14:textId="77777777" w:rsidR="00DB5924" w:rsidRPr="00290754" w:rsidRDefault="00DB5924" w:rsidP="00DB5924">
      <w:pPr>
        <w:rPr>
          <w:rFonts w:ascii="Arial" w:hAnsi="Arial" w:cs="Arial"/>
          <w:sz w:val="22"/>
          <w:szCs w:val="22"/>
        </w:rPr>
      </w:pPr>
    </w:p>
    <w:p w14:paraId="5472CE7E"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536895CF"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A751C00" w14:textId="77777777" w:rsidTr="00DF2D2E">
        <w:tc>
          <w:tcPr>
            <w:tcW w:w="5040" w:type="dxa"/>
          </w:tcPr>
          <w:p w14:paraId="6E47FE7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788565B" w14:textId="77777777" w:rsidR="00262A6B" w:rsidRDefault="00262A6B">
            <w:pPr>
              <w:rPr>
                <w:rFonts w:ascii="Arial" w:hAnsi="Arial" w:cs="Arial"/>
                <w:sz w:val="22"/>
                <w:szCs w:val="22"/>
              </w:rPr>
            </w:pPr>
            <w:r w:rsidRPr="00262A6B">
              <w:rPr>
                <w:rFonts w:ascii="Arial" w:hAnsi="Arial" w:cs="Arial"/>
                <w:sz w:val="22"/>
                <w:szCs w:val="22"/>
              </w:rPr>
              <w:t>Meridian Brick - Michigan Plant</w:t>
            </w:r>
          </w:p>
          <w:p w14:paraId="4D63237F" w14:textId="70FF6FF5" w:rsidR="00262A6B" w:rsidRDefault="00262A6B">
            <w:pPr>
              <w:rPr>
                <w:rFonts w:ascii="Arial" w:hAnsi="Arial" w:cs="Arial"/>
                <w:sz w:val="22"/>
                <w:szCs w:val="22"/>
              </w:rPr>
            </w:pPr>
            <w:r w:rsidRPr="00262A6B">
              <w:rPr>
                <w:rFonts w:ascii="Arial" w:hAnsi="Arial" w:cs="Arial"/>
                <w:sz w:val="22"/>
                <w:szCs w:val="22"/>
              </w:rPr>
              <w:t>3820 E</w:t>
            </w:r>
            <w:r w:rsidR="00DF2D2E">
              <w:rPr>
                <w:rFonts w:ascii="Arial" w:hAnsi="Arial" w:cs="Arial"/>
                <w:sz w:val="22"/>
                <w:szCs w:val="22"/>
              </w:rPr>
              <w:t>ast</w:t>
            </w:r>
            <w:r w:rsidRPr="00262A6B">
              <w:rPr>
                <w:rFonts w:ascii="Arial" w:hAnsi="Arial" w:cs="Arial"/>
                <w:sz w:val="22"/>
                <w:szCs w:val="22"/>
              </w:rPr>
              <w:t xml:space="preserve"> Serr Road</w:t>
            </w:r>
          </w:p>
          <w:p w14:paraId="789B5768" w14:textId="20A5BC21" w:rsidR="00AF4326" w:rsidRPr="00290754" w:rsidRDefault="00262A6B">
            <w:pPr>
              <w:rPr>
                <w:rFonts w:ascii="Arial" w:hAnsi="Arial" w:cs="Arial"/>
                <w:sz w:val="22"/>
                <w:szCs w:val="22"/>
              </w:rPr>
            </w:pPr>
            <w:r w:rsidRPr="00262A6B">
              <w:rPr>
                <w:rFonts w:ascii="Arial" w:hAnsi="Arial" w:cs="Arial"/>
                <w:sz w:val="22"/>
                <w:szCs w:val="22"/>
              </w:rPr>
              <w:t>Corunna</w:t>
            </w:r>
            <w:r w:rsidR="00AF4326" w:rsidRPr="00290754">
              <w:rPr>
                <w:rFonts w:ascii="Arial" w:hAnsi="Arial" w:cs="Arial"/>
                <w:sz w:val="22"/>
                <w:szCs w:val="22"/>
              </w:rPr>
              <w:t>, Michigan</w:t>
            </w:r>
            <w:r w:rsidR="001159B4">
              <w:rPr>
                <w:rFonts w:ascii="Arial" w:hAnsi="Arial" w:cs="Arial"/>
                <w:sz w:val="22"/>
                <w:szCs w:val="22"/>
              </w:rPr>
              <w:t xml:space="preserve"> </w:t>
            </w:r>
            <w:r w:rsidRPr="00262A6B">
              <w:rPr>
                <w:rFonts w:ascii="Arial" w:hAnsi="Arial" w:cs="Arial"/>
                <w:sz w:val="22"/>
                <w:szCs w:val="22"/>
              </w:rPr>
              <w:t>48817</w:t>
            </w:r>
            <w:r w:rsidR="00AF4326" w:rsidRPr="00290754">
              <w:rPr>
                <w:rFonts w:ascii="Arial" w:hAnsi="Arial" w:cs="Arial"/>
                <w:sz w:val="22"/>
                <w:szCs w:val="22"/>
              </w:rPr>
              <w:t xml:space="preserve"> </w:t>
            </w:r>
          </w:p>
        </w:tc>
      </w:tr>
      <w:tr w:rsidR="00AF4326" w:rsidRPr="00290754" w14:paraId="4B41A195" w14:textId="77777777" w:rsidTr="00DF2D2E">
        <w:trPr>
          <w:trHeight w:val="273"/>
        </w:trPr>
        <w:tc>
          <w:tcPr>
            <w:tcW w:w="5040" w:type="dxa"/>
          </w:tcPr>
          <w:p w14:paraId="79C0298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C051D4B" w14:textId="03D1EF6C" w:rsidR="00AF4326" w:rsidRPr="00290754" w:rsidRDefault="00262A6B">
            <w:pPr>
              <w:rPr>
                <w:rFonts w:ascii="Arial" w:hAnsi="Arial" w:cs="Arial"/>
                <w:sz w:val="22"/>
                <w:szCs w:val="22"/>
              </w:rPr>
            </w:pPr>
            <w:r w:rsidRPr="00262A6B">
              <w:rPr>
                <w:rFonts w:ascii="Arial" w:hAnsi="Arial" w:cs="Arial"/>
                <w:sz w:val="22"/>
                <w:szCs w:val="22"/>
              </w:rPr>
              <w:t>A6497</w:t>
            </w:r>
          </w:p>
        </w:tc>
      </w:tr>
      <w:tr w:rsidR="00AF4326" w:rsidRPr="00290754" w14:paraId="4F9ED016" w14:textId="77777777" w:rsidTr="00DF2D2E">
        <w:tc>
          <w:tcPr>
            <w:tcW w:w="5040" w:type="dxa"/>
          </w:tcPr>
          <w:p w14:paraId="2FE0BB1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B75C1F6" w14:textId="4371E9A7" w:rsidR="00AF4326" w:rsidRPr="00290754" w:rsidRDefault="00262A6B">
            <w:pPr>
              <w:rPr>
                <w:rFonts w:ascii="Arial" w:hAnsi="Arial" w:cs="Arial"/>
                <w:sz w:val="22"/>
                <w:szCs w:val="22"/>
              </w:rPr>
            </w:pPr>
            <w:r w:rsidRPr="00262A6B">
              <w:rPr>
                <w:rFonts w:ascii="Arial" w:hAnsi="Arial" w:cs="Arial"/>
                <w:sz w:val="22"/>
                <w:szCs w:val="22"/>
              </w:rPr>
              <w:t>327120</w:t>
            </w:r>
          </w:p>
        </w:tc>
      </w:tr>
      <w:tr w:rsidR="00AF4326" w:rsidRPr="00290754" w14:paraId="285A8D7C" w14:textId="77777777" w:rsidTr="00DF2D2E">
        <w:tc>
          <w:tcPr>
            <w:tcW w:w="5040" w:type="dxa"/>
          </w:tcPr>
          <w:p w14:paraId="1AA1AE0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79E8B80" w14:textId="18442648" w:rsidR="00AF4326" w:rsidRPr="00290754" w:rsidRDefault="00262A6B">
            <w:pPr>
              <w:rPr>
                <w:rFonts w:ascii="Arial" w:hAnsi="Arial" w:cs="Arial"/>
                <w:sz w:val="22"/>
                <w:szCs w:val="22"/>
              </w:rPr>
            </w:pPr>
            <w:r w:rsidRPr="00262A6B">
              <w:rPr>
                <w:rFonts w:ascii="Arial" w:hAnsi="Arial" w:cs="Arial"/>
                <w:sz w:val="22"/>
                <w:szCs w:val="22"/>
              </w:rPr>
              <w:t>1</w:t>
            </w:r>
          </w:p>
        </w:tc>
      </w:tr>
      <w:tr w:rsidR="00647809" w:rsidRPr="00290754" w14:paraId="08D488EE" w14:textId="77777777" w:rsidTr="00DF2D2E">
        <w:tc>
          <w:tcPr>
            <w:tcW w:w="5040" w:type="dxa"/>
          </w:tcPr>
          <w:p w14:paraId="34F29BA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A4AF637" w14:textId="4DFFE546" w:rsidR="00647809" w:rsidRDefault="00262A6B">
            <w:pPr>
              <w:rPr>
                <w:rFonts w:ascii="Arial" w:hAnsi="Arial" w:cs="Arial"/>
                <w:sz w:val="22"/>
                <w:szCs w:val="22"/>
              </w:rPr>
            </w:pPr>
            <w:r w:rsidRPr="00262A6B">
              <w:rPr>
                <w:rFonts w:ascii="Arial" w:hAnsi="Arial" w:cs="Arial"/>
                <w:sz w:val="22"/>
                <w:szCs w:val="22"/>
              </w:rPr>
              <w:t>Renewal</w:t>
            </w:r>
          </w:p>
        </w:tc>
      </w:tr>
      <w:tr w:rsidR="00AF4326" w:rsidRPr="00290754" w14:paraId="3B797C68" w14:textId="77777777" w:rsidTr="00DF2D2E">
        <w:tc>
          <w:tcPr>
            <w:tcW w:w="5040" w:type="dxa"/>
          </w:tcPr>
          <w:p w14:paraId="5C95C9F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97292DF" w14:textId="3851EE72" w:rsidR="00AF4326" w:rsidRPr="00290754" w:rsidRDefault="001E35CF">
            <w:pPr>
              <w:rPr>
                <w:rFonts w:ascii="Arial" w:hAnsi="Arial" w:cs="Arial"/>
                <w:sz w:val="22"/>
                <w:szCs w:val="22"/>
              </w:rPr>
            </w:pPr>
            <w:r>
              <w:rPr>
                <w:rFonts w:ascii="Arial" w:hAnsi="Arial" w:cs="Arial"/>
                <w:sz w:val="22"/>
                <w:szCs w:val="22"/>
              </w:rPr>
              <w:t>202000066</w:t>
            </w:r>
          </w:p>
        </w:tc>
      </w:tr>
      <w:tr w:rsidR="00AF4326" w:rsidRPr="00290754" w14:paraId="76A33539" w14:textId="77777777" w:rsidTr="00DF2D2E">
        <w:tc>
          <w:tcPr>
            <w:tcW w:w="5040" w:type="dxa"/>
          </w:tcPr>
          <w:p w14:paraId="3EA6845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52EC56F" w14:textId="39F31BB6" w:rsidR="00AF4326" w:rsidRPr="00290754" w:rsidRDefault="00262A6B">
            <w:pPr>
              <w:rPr>
                <w:rFonts w:ascii="Arial" w:hAnsi="Arial" w:cs="Arial"/>
                <w:sz w:val="22"/>
                <w:szCs w:val="22"/>
              </w:rPr>
            </w:pPr>
            <w:r w:rsidRPr="00262A6B">
              <w:rPr>
                <w:rFonts w:ascii="Arial" w:hAnsi="Arial" w:cs="Arial"/>
                <w:sz w:val="22"/>
                <w:szCs w:val="22"/>
              </w:rPr>
              <w:t>Jerry Greger</w:t>
            </w:r>
            <w:r w:rsidR="00CF37B7">
              <w:rPr>
                <w:rFonts w:ascii="Arial" w:hAnsi="Arial" w:cs="Arial"/>
                <w:sz w:val="22"/>
                <w:szCs w:val="22"/>
              </w:rPr>
              <w:t xml:space="preserve">, </w:t>
            </w:r>
            <w:r w:rsidRPr="00262A6B">
              <w:rPr>
                <w:rFonts w:ascii="Arial" w:hAnsi="Arial" w:cs="Arial"/>
                <w:sz w:val="22"/>
                <w:szCs w:val="22"/>
              </w:rPr>
              <w:t>Plant Manager</w:t>
            </w:r>
          </w:p>
          <w:p w14:paraId="3E58FB08" w14:textId="55B5B33B" w:rsidR="00AF4326" w:rsidRPr="00290754" w:rsidRDefault="00262A6B">
            <w:pPr>
              <w:rPr>
                <w:rFonts w:ascii="Arial" w:hAnsi="Arial" w:cs="Arial"/>
                <w:sz w:val="22"/>
                <w:szCs w:val="22"/>
              </w:rPr>
            </w:pPr>
            <w:r w:rsidRPr="00262A6B">
              <w:rPr>
                <w:rFonts w:ascii="Arial" w:hAnsi="Arial" w:cs="Arial"/>
                <w:sz w:val="22"/>
                <w:szCs w:val="22"/>
              </w:rPr>
              <w:t>989-734-3444</w:t>
            </w:r>
          </w:p>
        </w:tc>
      </w:tr>
      <w:tr w:rsidR="00EF4F3C" w:rsidRPr="00290754" w14:paraId="15A2074B" w14:textId="77777777" w:rsidTr="00DF2D2E">
        <w:tc>
          <w:tcPr>
            <w:tcW w:w="5040" w:type="dxa"/>
          </w:tcPr>
          <w:p w14:paraId="6E3DCB4F" w14:textId="6C5082B5" w:rsidR="00EF4F3C" w:rsidRPr="00290754" w:rsidRDefault="00EF4F3C">
            <w:pPr>
              <w:rPr>
                <w:rFonts w:ascii="Arial" w:hAnsi="Arial" w:cs="Arial"/>
                <w:sz w:val="22"/>
                <w:szCs w:val="22"/>
              </w:rPr>
            </w:pPr>
            <w:r w:rsidRPr="00290754">
              <w:rPr>
                <w:rFonts w:ascii="Arial" w:hAnsi="Arial" w:cs="Arial"/>
                <w:sz w:val="22"/>
                <w:szCs w:val="22"/>
              </w:rPr>
              <w:t>AQD Contact</w:t>
            </w:r>
            <w:r w:rsidR="00DF2D2E">
              <w:rPr>
                <w:rFonts w:ascii="Arial" w:hAnsi="Arial" w:cs="Arial"/>
                <w:sz w:val="22"/>
                <w:szCs w:val="22"/>
              </w:rPr>
              <w:t>: District Inspector:</w:t>
            </w:r>
          </w:p>
        </w:tc>
        <w:tc>
          <w:tcPr>
            <w:tcW w:w="5220" w:type="dxa"/>
          </w:tcPr>
          <w:p w14:paraId="53AD7C6D" w14:textId="2785019D" w:rsidR="00EF4F3C" w:rsidRPr="00EF4F3C" w:rsidRDefault="00EF4F3C">
            <w:pPr>
              <w:rPr>
                <w:rFonts w:ascii="Arial" w:hAnsi="Arial" w:cs="Arial"/>
                <w:sz w:val="22"/>
                <w:szCs w:val="22"/>
              </w:rPr>
            </w:pPr>
            <w:r w:rsidRPr="00EF4F3C">
              <w:rPr>
                <w:rFonts w:ascii="Arial" w:hAnsi="Arial" w:cs="Arial"/>
                <w:sz w:val="22"/>
                <w:szCs w:val="22"/>
              </w:rPr>
              <w:t>Michelle Luplow, Environmental Quality Analyst</w:t>
            </w:r>
          </w:p>
          <w:p w14:paraId="418B3CA3" w14:textId="30CE5E8D" w:rsidR="00EF4F3C" w:rsidRPr="00EF4F3C" w:rsidRDefault="00EF4F3C">
            <w:pPr>
              <w:rPr>
                <w:rFonts w:ascii="Arial" w:hAnsi="Arial" w:cs="Arial"/>
                <w:sz w:val="22"/>
                <w:szCs w:val="22"/>
              </w:rPr>
            </w:pPr>
            <w:r w:rsidRPr="00EF4F3C">
              <w:rPr>
                <w:rFonts w:ascii="Arial" w:hAnsi="Arial" w:cs="Arial"/>
                <w:sz w:val="22"/>
                <w:szCs w:val="22"/>
              </w:rPr>
              <w:t>517-294-9294</w:t>
            </w:r>
          </w:p>
        </w:tc>
      </w:tr>
      <w:tr w:rsidR="00EF4F3C" w:rsidRPr="00290754" w14:paraId="5195B5DC" w14:textId="77777777" w:rsidTr="00DF2D2E">
        <w:tc>
          <w:tcPr>
            <w:tcW w:w="5040" w:type="dxa"/>
          </w:tcPr>
          <w:p w14:paraId="6FBB1A62" w14:textId="0E7D2CF5" w:rsidR="00EF4F3C" w:rsidRPr="00290754" w:rsidRDefault="00DF2D2E">
            <w:pPr>
              <w:rPr>
                <w:rFonts w:ascii="Arial" w:hAnsi="Arial" w:cs="Arial"/>
                <w:sz w:val="22"/>
                <w:szCs w:val="22"/>
              </w:rPr>
            </w:pPr>
            <w:r>
              <w:rPr>
                <w:rFonts w:ascii="Arial" w:hAnsi="Arial" w:cs="Arial"/>
                <w:sz w:val="22"/>
                <w:szCs w:val="22"/>
              </w:rPr>
              <w:t xml:space="preserve">AQD Contact: ROP </w:t>
            </w:r>
            <w:r w:rsidR="000E7AED">
              <w:rPr>
                <w:rFonts w:ascii="Arial" w:hAnsi="Arial" w:cs="Arial"/>
                <w:sz w:val="22"/>
                <w:szCs w:val="22"/>
              </w:rPr>
              <w:t>Writer</w:t>
            </w:r>
            <w:r>
              <w:rPr>
                <w:rFonts w:ascii="Arial" w:hAnsi="Arial" w:cs="Arial"/>
                <w:sz w:val="22"/>
                <w:szCs w:val="22"/>
              </w:rPr>
              <w:t>:</w:t>
            </w:r>
          </w:p>
        </w:tc>
        <w:tc>
          <w:tcPr>
            <w:tcW w:w="5220" w:type="dxa"/>
          </w:tcPr>
          <w:p w14:paraId="49555CA9" w14:textId="77777777" w:rsidR="00EF4F3C" w:rsidRPr="00EF4F3C" w:rsidRDefault="00EF4F3C">
            <w:pPr>
              <w:rPr>
                <w:rFonts w:ascii="Arial" w:hAnsi="Arial" w:cs="Arial"/>
                <w:sz w:val="22"/>
                <w:szCs w:val="22"/>
              </w:rPr>
            </w:pPr>
            <w:r w:rsidRPr="00EF4F3C">
              <w:rPr>
                <w:rFonts w:ascii="Arial" w:hAnsi="Arial" w:cs="Arial"/>
                <w:sz w:val="22"/>
                <w:szCs w:val="22"/>
              </w:rPr>
              <w:t>Matt Karl, Environmental Quality Analyst</w:t>
            </w:r>
          </w:p>
          <w:p w14:paraId="77F01D01" w14:textId="21A837ED" w:rsidR="00EF4F3C" w:rsidRPr="00EF4F3C" w:rsidRDefault="00EF4F3C">
            <w:pPr>
              <w:rPr>
                <w:rFonts w:ascii="Arial" w:hAnsi="Arial" w:cs="Arial"/>
                <w:sz w:val="22"/>
                <w:szCs w:val="22"/>
              </w:rPr>
            </w:pPr>
            <w:r w:rsidRPr="00EF4F3C">
              <w:rPr>
                <w:rFonts w:ascii="Arial" w:hAnsi="Arial" w:cs="Arial"/>
                <w:sz w:val="22"/>
                <w:szCs w:val="22"/>
              </w:rPr>
              <w:t>517-282-2126</w:t>
            </w:r>
          </w:p>
        </w:tc>
      </w:tr>
      <w:tr w:rsidR="00AF4326" w:rsidRPr="00290754" w14:paraId="37F75B0A" w14:textId="77777777" w:rsidTr="00DF2D2E">
        <w:tc>
          <w:tcPr>
            <w:tcW w:w="5040" w:type="dxa"/>
          </w:tcPr>
          <w:p w14:paraId="03FE861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669E808" w14:textId="63945150" w:rsidR="00AF4326" w:rsidRPr="00290754" w:rsidRDefault="00262A6B">
            <w:pPr>
              <w:rPr>
                <w:rFonts w:ascii="Arial" w:hAnsi="Arial" w:cs="Arial"/>
                <w:sz w:val="22"/>
                <w:szCs w:val="22"/>
              </w:rPr>
            </w:pPr>
            <w:r w:rsidRPr="00262A6B">
              <w:rPr>
                <w:rFonts w:ascii="Arial" w:hAnsi="Arial" w:cs="Arial"/>
                <w:sz w:val="22"/>
                <w:szCs w:val="22"/>
              </w:rPr>
              <w:t>April 14, 2020</w:t>
            </w:r>
          </w:p>
        </w:tc>
      </w:tr>
      <w:tr w:rsidR="00AF4326" w:rsidRPr="00290754" w14:paraId="0AAE6C5E" w14:textId="77777777" w:rsidTr="00DF2D2E">
        <w:trPr>
          <w:trHeight w:val="165"/>
        </w:trPr>
        <w:tc>
          <w:tcPr>
            <w:tcW w:w="5040" w:type="dxa"/>
          </w:tcPr>
          <w:p w14:paraId="276C6A3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532D8A9" w14:textId="427946D1" w:rsidR="00AF4326" w:rsidRPr="00290754" w:rsidRDefault="00262A6B">
            <w:pPr>
              <w:rPr>
                <w:rFonts w:ascii="Arial" w:hAnsi="Arial" w:cs="Arial"/>
                <w:sz w:val="22"/>
                <w:szCs w:val="22"/>
              </w:rPr>
            </w:pPr>
            <w:r w:rsidRPr="00262A6B">
              <w:rPr>
                <w:rFonts w:ascii="Arial" w:hAnsi="Arial" w:cs="Arial"/>
                <w:sz w:val="22"/>
                <w:szCs w:val="22"/>
              </w:rPr>
              <w:t xml:space="preserve">April </w:t>
            </w:r>
            <w:r w:rsidR="00DF2D2E">
              <w:rPr>
                <w:rFonts w:ascii="Arial" w:hAnsi="Arial" w:cs="Arial"/>
                <w:sz w:val="22"/>
                <w:szCs w:val="22"/>
              </w:rPr>
              <w:t>1</w:t>
            </w:r>
            <w:r w:rsidRPr="00262A6B">
              <w:rPr>
                <w:rFonts w:ascii="Arial" w:hAnsi="Arial" w:cs="Arial"/>
                <w:sz w:val="22"/>
                <w:szCs w:val="22"/>
              </w:rPr>
              <w:t>4, 2020</w:t>
            </w:r>
          </w:p>
        </w:tc>
      </w:tr>
      <w:tr w:rsidR="00AF4326" w:rsidRPr="00290754" w14:paraId="35DF8BE0" w14:textId="77777777" w:rsidTr="00DF2D2E">
        <w:trPr>
          <w:trHeight w:val="165"/>
        </w:trPr>
        <w:tc>
          <w:tcPr>
            <w:tcW w:w="5040" w:type="dxa"/>
          </w:tcPr>
          <w:p w14:paraId="608002A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9F1A1F9" w14:textId="377B20B2" w:rsidR="00AF4326" w:rsidRPr="00290754" w:rsidRDefault="00262A6B">
            <w:pPr>
              <w:rPr>
                <w:rFonts w:ascii="Arial" w:hAnsi="Arial" w:cs="Arial"/>
                <w:sz w:val="22"/>
                <w:szCs w:val="22"/>
              </w:rPr>
            </w:pPr>
            <w:r w:rsidRPr="00262A6B">
              <w:rPr>
                <w:rFonts w:ascii="Arial" w:hAnsi="Arial" w:cs="Arial"/>
                <w:sz w:val="22"/>
                <w:szCs w:val="22"/>
              </w:rPr>
              <w:t>Yes</w:t>
            </w:r>
          </w:p>
        </w:tc>
      </w:tr>
      <w:tr w:rsidR="00AF4326" w:rsidRPr="00290754" w14:paraId="5AC835DF" w14:textId="77777777" w:rsidTr="00DF2D2E">
        <w:trPr>
          <w:trHeight w:val="165"/>
        </w:trPr>
        <w:tc>
          <w:tcPr>
            <w:tcW w:w="5040" w:type="dxa"/>
          </w:tcPr>
          <w:p w14:paraId="5C05CF9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5FA9F90" w14:textId="19FBA112" w:rsidR="00AF4326" w:rsidRPr="00290754" w:rsidRDefault="00C82E70">
            <w:pPr>
              <w:rPr>
                <w:rFonts w:ascii="Arial" w:hAnsi="Arial" w:cs="Arial"/>
                <w:sz w:val="22"/>
                <w:szCs w:val="22"/>
              </w:rPr>
            </w:pPr>
            <w:r>
              <w:rPr>
                <w:rFonts w:ascii="Arial" w:hAnsi="Arial" w:cs="Arial"/>
                <w:sz w:val="22"/>
                <w:szCs w:val="22"/>
              </w:rPr>
              <w:t>April 4, 2022</w:t>
            </w:r>
          </w:p>
        </w:tc>
      </w:tr>
      <w:tr w:rsidR="00AF4326" w:rsidRPr="00290754" w14:paraId="29696623" w14:textId="77777777" w:rsidTr="00DF2D2E">
        <w:tc>
          <w:tcPr>
            <w:tcW w:w="5040" w:type="dxa"/>
          </w:tcPr>
          <w:p w14:paraId="4DC78EB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BB9FE9A" w14:textId="31E98BC5" w:rsidR="00AF4326" w:rsidRPr="00290754" w:rsidRDefault="00C82E70">
            <w:pPr>
              <w:rPr>
                <w:rFonts w:ascii="Arial" w:hAnsi="Arial" w:cs="Arial"/>
                <w:sz w:val="22"/>
                <w:szCs w:val="22"/>
              </w:rPr>
            </w:pPr>
            <w:r>
              <w:rPr>
                <w:rFonts w:ascii="Arial" w:hAnsi="Arial" w:cs="Arial"/>
                <w:sz w:val="22"/>
                <w:szCs w:val="22"/>
              </w:rPr>
              <w:t>May 4, 2022</w:t>
            </w:r>
          </w:p>
        </w:tc>
      </w:tr>
    </w:tbl>
    <w:p w14:paraId="4B8020DC" w14:textId="77777777" w:rsidR="00AF4326" w:rsidRPr="00CB60BD" w:rsidRDefault="00AF4326">
      <w:pPr>
        <w:rPr>
          <w:rFonts w:ascii="Arial" w:hAnsi="Arial" w:cs="Arial"/>
          <w:sz w:val="22"/>
          <w:szCs w:val="22"/>
        </w:rPr>
      </w:pPr>
    </w:p>
    <w:p w14:paraId="0D797117"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06F438AE" w14:textId="77777777" w:rsidR="00AF4326" w:rsidRPr="00290754" w:rsidRDefault="00AF4326">
      <w:pPr>
        <w:rPr>
          <w:rFonts w:ascii="Arial" w:hAnsi="Arial" w:cs="Arial"/>
          <w:sz w:val="22"/>
          <w:szCs w:val="22"/>
        </w:rPr>
      </w:pPr>
    </w:p>
    <w:p w14:paraId="52CCB75E" w14:textId="77777777" w:rsidR="00262A6B" w:rsidRPr="004F15A2" w:rsidRDefault="00262A6B" w:rsidP="00262A6B">
      <w:pPr>
        <w:jc w:val="both"/>
        <w:rPr>
          <w:rFonts w:ascii="Arial" w:hAnsi="Arial" w:cs="Arial"/>
          <w:sz w:val="22"/>
          <w:szCs w:val="22"/>
        </w:rPr>
      </w:pPr>
      <w:r w:rsidRPr="004F15A2">
        <w:rPr>
          <w:rFonts w:ascii="Arial" w:hAnsi="Arial" w:cs="Arial"/>
          <w:sz w:val="22"/>
          <w:szCs w:val="22"/>
        </w:rPr>
        <w:t xml:space="preserve">Summary: </w:t>
      </w:r>
    </w:p>
    <w:p w14:paraId="12A36EA9" w14:textId="4A8431EC" w:rsidR="00262A6B" w:rsidRPr="004F15A2" w:rsidRDefault="00262A6B" w:rsidP="00262A6B">
      <w:pPr>
        <w:jc w:val="both"/>
        <w:rPr>
          <w:rFonts w:ascii="Arial" w:hAnsi="Arial" w:cs="Arial"/>
          <w:sz w:val="22"/>
          <w:szCs w:val="22"/>
        </w:rPr>
      </w:pPr>
    </w:p>
    <w:p w14:paraId="4C7C0E9D" w14:textId="0FF6CF76" w:rsidR="008F61DC" w:rsidRPr="004F15A2" w:rsidRDefault="008F61DC" w:rsidP="00262A6B">
      <w:pPr>
        <w:jc w:val="both"/>
        <w:rPr>
          <w:rFonts w:ascii="Arial" w:hAnsi="Arial" w:cs="Arial"/>
          <w:sz w:val="22"/>
          <w:szCs w:val="22"/>
        </w:rPr>
      </w:pPr>
      <w:r w:rsidRPr="004F15A2">
        <w:rPr>
          <w:rFonts w:ascii="Arial" w:hAnsi="Arial" w:cs="Arial"/>
          <w:sz w:val="22"/>
          <w:szCs w:val="22"/>
        </w:rPr>
        <w:t xml:space="preserve">Meridian Brick's Michigan Plant is located at 3820 Serr Road, Corunna, Michigan in Shiawassee County. </w:t>
      </w:r>
      <w:r w:rsidR="00832626">
        <w:rPr>
          <w:rFonts w:ascii="Arial" w:hAnsi="Arial" w:cs="Arial"/>
          <w:sz w:val="22"/>
          <w:szCs w:val="22"/>
        </w:rPr>
        <w:t xml:space="preserve"> </w:t>
      </w:r>
      <w:r w:rsidR="00AC4235" w:rsidRPr="004F15A2">
        <w:rPr>
          <w:rFonts w:ascii="Arial" w:hAnsi="Arial" w:cs="Arial"/>
          <w:sz w:val="22"/>
          <w:szCs w:val="22"/>
        </w:rPr>
        <w:t xml:space="preserve">The brick plant buildings are located south of Serr Road. </w:t>
      </w:r>
      <w:r w:rsidR="00832626">
        <w:rPr>
          <w:rFonts w:ascii="Arial" w:hAnsi="Arial" w:cs="Arial"/>
          <w:sz w:val="22"/>
          <w:szCs w:val="22"/>
        </w:rPr>
        <w:t xml:space="preserve"> </w:t>
      </w:r>
      <w:r w:rsidR="00AC4235" w:rsidRPr="004F15A2">
        <w:rPr>
          <w:rFonts w:ascii="Arial" w:hAnsi="Arial" w:cs="Arial"/>
          <w:sz w:val="22"/>
          <w:szCs w:val="22"/>
        </w:rPr>
        <w:t xml:space="preserve">The shale mine is located across the street, north of Serr Road. </w:t>
      </w:r>
      <w:r w:rsidR="00832626">
        <w:rPr>
          <w:rFonts w:ascii="Arial" w:hAnsi="Arial" w:cs="Arial"/>
          <w:sz w:val="22"/>
          <w:szCs w:val="22"/>
        </w:rPr>
        <w:t xml:space="preserve"> </w:t>
      </w:r>
      <w:r w:rsidR="00AC4235" w:rsidRPr="004F15A2">
        <w:rPr>
          <w:rFonts w:ascii="Arial" w:hAnsi="Arial" w:cs="Arial"/>
          <w:sz w:val="22"/>
          <w:szCs w:val="22"/>
        </w:rPr>
        <w:t>The Shiawassee River runs from northwest to southeast</w:t>
      </w:r>
      <w:r w:rsidR="00B65CBF" w:rsidRPr="004F15A2">
        <w:rPr>
          <w:rFonts w:ascii="Arial" w:hAnsi="Arial" w:cs="Arial"/>
          <w:sz w:val="22"/>
          <w:szCs w:val="22"/>
        </w:rPr>
        <w:t xml:space="preserve"> to the west and south of the brick plant buildings</w:t>
      </w:r>
      <w:r w:rsidR="00AC4235" w:rsidRPr="004F15A2">
        <w:rPr>
          <w:rFonts w:ascii="Arial" w:hAnsi="Arial" w:cs="Arial"/>
          <w:sz w:val="22"/>
          <w:szCs w:val="22"/>
        </w:rPr>
        <w:t xml:space="preserve">. </w:t>
      </w:r>
      <w:r w:rsidR="00832626">
        <w:rPr>
          <w:rFonts w:ascii="Arial" w:hAnsi="Arial" w:cs="Arial"/>
          <w:sz w:val="22"/>
          <w:szCs w:val="22"/>
        </w:rPr>
        <w:t xml:space="preserve"> </w:t>
      </w:r>
      <w:r w:rsidR="00C35AAB" w:rsidRPr="004F15A2">
        <w:rPr>
          <w:rFonts w:ascii="Arial" w:hAnsi="Arial" w:cs="Arial"/>
          <w:sz w:val="22"/>
          <w:szCs w:val="22"/>
        </w:rPr>
        <w:t xml:space="preserve">The </w:t>
      </w:r>
      <w:r w:rsidR="00CE3DFD" w:rsidRPr="004F15A2">
        <w:rPr>
          <w:rFonts w:ascii="Arial" w:hAnsi="Arial" w:cs="Arial"/>
          <w:sz w:val="22"/>
          <w:szCs w:val="22"/>
        </w:rPr>
        <w:t>Shiawassee R</w:t>
      </w:r>
      <w:r w:rsidR="00C35AAB" w:rsidRPr="004F15A2">
        <w:rPr>
          <w:rFonts w:ascii="Arial" w:hAnsi="Arial" w:cs="Arial"/>
          <w:sz w:val="22"/>
          <w:szCs w:val="22"/>
        </w:rPr>
        <w:t xml:space="preserve">iver is within </w:t>
      </w:r>
      <w:r w:rsidR="004F15A2" w:rsidRPr="004F15A2">
        <w:rPr>
          <w:rFonts w:ascii="Arial" w:hAnsi="Arial" w:cs="Arial"/>
          <w:sz w:val="22"/>
          <w:szCs w:val="22"/>
        </w:rPr>
        <w:t>~</w:t>
      </w:r>
      <w:r w:rsidR="00C35AAB" w:rsidRPr="004F15A2">
        <w:rPr>
          <w:rFonts w:ascii="Arial" w:hAnsi="Arial" w:cs="Arial"/>
          <w:sz w:val="22"/>
          <w:szCs w:val="22"/>
        </w:rPr>
        <w:t xml:space="preserve">300 meters of the westernmost </w:t>
      </w:r>
      <w:r w:rsidR="00CE3DFD" w:rsidRPr="004F15A2">
        <w:rPr>
          <w:rFonts w:ascii="Arial" w:hAnsi="Arial" w:cs="Arial"/>
          <w:sz w:val="22"/>
          <w:szCs w:val="22"/>
        </w:rPr>
        <w:t xml:space="preserve">brick </w:t>
      </w:r>
      <w:r w:rsidR="00C35AAB" w:rsidRPr="004F15A2">
        <w:rPr>
          <w:rFonts w:ascii="Arial" w:hAnsi="Arial" w:cs="Arial"/>
          <w:sz w:val="22"/>
          <w:szCs w:val="22"/>
        </w:rPr>
        <w:t xml:space="preserve">plant buildings and within </w:t>
      </w:r>
      <w:r w:rsidR="004F15A2" w:rsidRPr="004F15A2">
        <w:rPr>
          <w:rFonts w:ascii="Arial" w:hAnsi="Arial" w:cs="Arial"/>
          <w:sz w:val="22"/>
          <w:szCs w:val="22"/>
        </w:rPr>
        <w:t>~</w:t>
      </w:r>
      <w:r w:rsidR="00C35AAB" w:rsidRPr="004F15A2">
        <w:rPr>
          <w:rFonts w:ascii="Arial" w:hAnsi="Arial" w:cs="Arial"/>
          <w:sz w:val="22"/>
          <w:szCs w:val="22"/>
        </w:rPr>
        <w:t xml:space="preserve">150 meters of the southernmost </w:t>
      </w:r>
      <w:r w:rsidR="00CE3DFD" w:rsidRPr="004F15A2">
        <w:rPr>
          <w:rFonts w:ascii="Arial" w:hAnsi="Arial" w:cs="Arial"/>
          <w:sz w:val="22"/>
          <w:szCs w:val="22"/>
        </w:rPr>
        <w:t xml:space="preserve">brick </w:t>
      </w:r>
      <w:r w:rsidR="00C35AAB" w:rsidRPr="004F15A2">
        <w:rPr>
          <w:rFonts w:ascii="Arial" w:hAnsi="Arial" w:cs="Arial"/>
          <w:sz w:val="22"/>
          <w:szCs w:val="22"/>
        </w:rPr>
        <w:t>plant buildings.</w:t>
      </w:r>
      <w:r w:rsidR="00832626">
        <w:rPr>
          <w:rFonts w:ascii="Arial" w:hAnsi="Arial" w:cs="Arial"/>
          <w:sz w:val="22"/>
          <w:szCs w:val="22"/>
        </w:rPr>
        <w:t xml:space="preserve"> </w:t>
      </w:r>
      <w:r w:rsidR="00C35AAB" w:rsidRPr="004F15A2">
        <w:rPr>
          <w:rFonts w:ascii="Arial" w:hAnsi="Arial" w:cs="Arial"/>
          <w:sz w:val="22"/>
          <w:szCs w:val="22"/>
        </w:rPr>
        <w:t xml:space="preserve"> The nearest residences are </w:t>
      </w:r>
      <w:r w:rsidR="004F15A2" w:rsidRPr="004F15A2">
        <w:rPr>
          <w:rFonts w:ascii="Arial" w:hAnsi="Arial" w:cs="Arial"/>
          <w:sz w:val="22"/>
          <w:szCs w:val="22"/>
        </w:rPr>
        <w:t>~</w:t>
      </w:r>
      <w:r w:rsidR="00C35AAB" w:rsidRPr="004F15A2">
        <w:rPr>
          <w:rFonts w:ascii="Arial" w:hAnsi="Arial" w:cs="Arial"/>
          <w:sz w:val="22"/>
          <w:szCs w:val="22"/>
        </w:rPr>
        <w:t>4</w:t>
      </w:r>
      <w:r w:rsidR="00CE3DFD" w:rsidRPr="004F15A2">
        <w:rPr>
          <w:rFonts w:ascii="Arial" w:hAnsi="Arial" w:cs="Arial"/>
          <w:sz w:val="22"/>
          <w:szCs w:val="22"/>
        </w:rPr>
        <w:t>2</w:t>
      </w:r>
      <w:r w:rsidR="00C35AAB" w:rsidRPr="004F15A2">
        <w:rPr>
          <w:rFonts w:ascii="Arial" w:hAnsi="Arial" w:cs="Arial"/>
          <w:sz w:val="22"/>
          <w:szCs w:val="22"/>
        </w:rPr>
        <w:t>0 meters to the south across the Shiawassee River</w:t>
      </w:r>
      <w:r w:rsidR="00785AEC" w:rsidRPr="004F15A2">
        <w:rPr>
          <w:rFonts w:ascii="Arial" w:hAnsi="Arial" w:cs="Arial"/>
          <w:sz w:val="22"/>
          <w:szCs w:val="22"/>
        </w:rPr>
        <w:t xml:space="preserve"> on East King Street</w:t>
      </w:r>
      <w:r w:rsidR="00C35AAB" w:rsidRPr="004F15A2">
        <w:rPr>
          <w:rFonts w:ascii="Arial" w:hAnsi="Arial" w:cs="Arial"/>
          <w:sz w:val="22"/>
          <w:szCs w:val="22"/>
        </w:rPr>
        <w:t xml:space="preserve">. </w:t>
      </w:r>
      <w:r w:rsidR="00832626">
        <w:rPr>
          <w:rFonts w:ascii="Arial" w:hAnsi="Arial" w:cs="Arial"/>
          <w:sz w:val="22"/>
          <w:szCs w:val="22"/>
        </w:rPr>
        <w:t xml:space="preserve"> </w:t>
      </w:r>
      <w:r w:rsidR="00CE3DFD" w:rsidRPr="004F15A2">
        <w:rPr>
          <w:rFonts w:ascii="Arial" w:hAnsi="Arial" w:cs="Arial"/>
          <w:sz w:val="22"/>
          <w:szCs w:val="22"/>
        </w:rPr>
        <w:t>There are additional residences</w:t>
      </w:r>
      <w:r w:rsidR="0016574C">
        <w:rPr>
          <w:rFonts w:ascii="Arial" w:hAnsi="Arial" w:cs="Arial"/>
          <w:sz w:val="22"/>
          <w:szCs w:val="22"/>
        </w:rPr>
        <w:t xml:space="preserve"> </w:t>
      </w:r>
      <w:r w:rsidR="00785AEC" w:rsidRPr="004F15A2">
        <w:rPr>
          <w:rFonts w:ascii="Arial" w:hAnsi="Arial" w:cs="Arial"/>
          <w:sz w:val="22"/>
          <w:szCs w:val="22"/>
        </w:rPr>
        <w:t>~</w:t>
      </w:r>
      <w:r w:rsidR="00CE3DFD" w:rsidRPr="004F15A2">
        <w:rPr>
          <w:rFonts w:ascii="Arial" w:hAnsi="Arial" w:cs="Arial"/>
          <w:sz w:val="22"/>
          <w:szCs w:val="22"/>
        </w:rPr>
        <w:t>865 meters to the northeast</w:t>
      </w:r>
      <w:r w:rsidR="0016574C">
        <w:rPr>
          <w:rFonts w:ascii="Arial" w:hAnsi="Arial" w:cs="Arial"/>
          <w:sz w:val="22"/>
          <w:szCs w:val="22"/>
        </w:rPr>
        <w:t xml:space="preserve"> and</w:t>
      </w:r>
      <w:r w:rsidR="00CE3DFD" w:rsidRPr="004F15A2">
        <w:rPr>
          <w:rFonts w:ascii="Arial" w:hAnsi="Arial" w:cs="Arial"/>
          <w:sz w:val="22"/>
          <w:szCs w:val="22"/>
        </w:rPr>
        <w:t xml:space="preserve"> </w:t>
      </w:r>
      <w:r w:rsidR="00785AEC" w:rsidRPr="004F15A2">
        <w:rPr>
          <w:rFonts w:ascii="Arial" w:hAnsi="Arial" w:cs="Arial"/>
          <w:sz w:val="22"/>
          <w:szCs w:val="22"/>
        </w:rPr>
        <w:t>~</w:t>
      </w:r>
      <w:r w:rsidR="00CE3DFD" w:rsidRPr="004F15A2">
        <w:rPr>
          <w:rFonts w:ascii="Arial" w:hAnsi="Arial" w:cs="Arial"/>
          <w:sz w:val="22"/>
          <w:szCs w:val="22"/>
        </w:rPr>
        <w:t>875 meters to the northwest</w:t>
      </w:r>
      <w:r w:rsidR="00785AEC" w:rsidRPr="004F15A2">
        <w:rPr>
          <w:rFonts w:ascii="Arial" w:hAnsi="Arial" w:cs="Arial"/>
          <w:sz w:val="22"/>
          <w:szCs w:val="22"/>
        </w:rPr>
        <w:t xml:space="preserve"> along Serr Road. </w:t>
      </w:r>
      <w:r w:rsidR="00832626">
        <w:rPr>
          <w:rFonts w:ascii="Arial" w:hAnsi="Arial" w:cs="Arial"/>
          <w:sz w:val="22"/>
          <w:szCs w:val="22"/>
        </w:rPr>
        <w:t xml:space="preserve"> </w:t>
      </w:r>
      <w:r w:rsidR="00785AEC" w:rsidRPr="004F15A2">
        <w:rPr>
          <w:rFonts w:ascii="Arial" w:hAnsi="Arial" w:cs="Arial"/>
          <w:sz w:val="22"/>
          <w:szCs w:val="22"/>
        </w:rPr>
        <w:t>There are residences ~1,000 meters to the east</w:t>
      </w:r>
      <w:r w:rsidR="00CE3DFD" w:rsidRPr="004F15A2">
        <w:rPr>
          <w:rFonts w:ascii="Arial" w:hAnsi="Arial" w:cs="Arial"/>
          <w:sz w:val="22"/>
          <w:szCs w:val="22"/>
        </w:rPr>
        <w:t xml:space="preserve"> of the brick plant buildings</w:t>
      </w:r>
      <w:r w:rsidR="00785AEC" w:rsidRPr="004F15A2">
        <w:rPr>
          <w:rFonts w:ascii="Arial" w:hAnsi="Arial" w:cs="Arial"/>
          <w:sz w:val="22"/>
          <w:szCs w:val="22"/>
        </w:rPr>
        <w:t xml:space="preserve"> along South Kerby Road.</w:t>
      </w:r>
      <w:r w:rsidR="00CE3DFD" w:rsidRPr="004F15A2">
        <w:rPr>
          <w:rFonts w:ascii="Arial" w:hAnsi="Arial" w:cs="Arial"/>
          <w:sz w:val="22"/>
          <w:szCs w:val="22"/>
        </w:rPr>
        <w:t xml:space="preserve"> </w:t>
      </w:r>
      <w:r w:rsidR="00832626">
        <w:rPr>
          <w:rFonts w:ascii="Arial" w:hAnsi="Arial" w:cs="Arial"/>
          <w:sz w:val="22"/>
          <w:szCs w:val="22"/>
        </w:rPr>
        <w:t xml:space="preserve"> </w:t>
      </w:r>
      <w:r w:rsidR="00B65CBF" w:rsidRPr="004F15A2">
        <w:rPr>
          <w:rFonts w:ascii="Arial" w:hAnsi="Arial" w:cs="Arial"/>
          <w:sz w:val="22"/>
          <w:szCs w:val="22"/>
        </w:rPr>
        <w:t xml:space="preserve">Corunna High School is approximately a mile </w:t>
      </w:r>
      <w:r w:rsidR="004F15A2" w:rsidRPr="004F15A2">
        <w:rPr>
          <w:rFonts w:ascii="Arial" w:hAnsi="Arial" w:cs="Arial"/>
          <w:sz w:val="22"/>
          <w:szCs w:val="22"/>
        </w:rPr>
        <w:t xml:space="preserve">(~1609 meters) </w:t>
      </w:r>
      <w:r w:rsidR="00B65CBF" w:rsidRPr="004F15A2">
        <w:rPr>
          <w:rFonts w:ascii="Arial" w:hAnsi="Arial" w:cs="Arial"/>
          <w:sz w:val="22"/>
          <w:szCs w:val="22"/>
        </w:rPr>
        <w:t xml:space="preserve">to the west of the brick plant buildings.  </w:t>
      </w:r>
    </w:p>
    <w:p w14:paraId="0E861FF2" w14:textId="77777777" w:rsidR="008F61DC" w:rsidRPr="004F15A2" w:rsidRDefault="008F61DC" w:rsidP="00262A6B">
      <w:pPr>
        <w:jc w:val="both"/>
        <w:rPr>
          <w:rFonts w:ascii="Arial" w:hAnsi="Arial" w:cs="Arial"/>
          <w:sz w:val="22"/>
          <w:szCs w:val="22"/>
        </w:rPr>
      </w:pPr>
    </w:p>
    <w:p w14:paraId="22D9173F" w14:textId="239E02F7" w:rsidR="00262A6B" w:rsidRPr="004F15A2" w:rsidRDefault="00262A6B" w:rsidP="00262A6B">
      <w:pPr>
        <w:jc w:val="both"/>
        <w:rPr>
          <w:rFonts w:ascii="Arial" w:hAnsi="Arial" w:cs="Arial"/>
          <w:sz w:val="22"/>
          <w:szCs w:val="22"/>
        </w:rPr>
      </w:pPr>
      <w:r w:rsidRPr="004F15A2">
        <w:rPr>
          <w:rFonts w:ascii="Arial" w:hAnsi="Arial" w:cs="Arial"/>
          <w:sz w:val="22"/>
          <w:szCs w:val="22"/>
        </w:rPr>
        <w:t xml:space="preserve">Meridian Brick's Michigan Plant mines shale to manufacture bricks for building construction. </w:t>
      </w:r>
      <w:r w:rsidR="00832626">
        <w:rPr>
          <w:rFonts w:ascii="Arial" w:hAnsi="Arial" w:cs="Arial"/>
          <w:sz w:val="22"/>
          <w:szCs w:val="22"/>
        </w:rPr>
        <w:t xml:space="preserve"> </w:t>
      </w:r>
      <w:r w:rsidRPr="004F15A2">
        <w:rPr>
          <w:rFonts w:ascii="Arial" w:hAnsi="Arial" w:cs="Arial"/>
          <w:sz w:val="22"/>
          <w:szCs w:val="22"/>
        </w:rPr>
        <w:t>The bricks are manufactured through use of the following equipment: (1) shale mining equipment and crushing, grinding, and screening equipment; (2) pug mills and mixers; (3) extruders and cutting machines; (4) two brick tunnel kilns; (5) two brick d</w:t>
      </w:r>
      <w:r w:rsidR="001C1687" w:rsidRPr="004F15A2">
        <w:rPr>
          <w:rFonts w:ascii="Arial" w:hAnsi="Arial" w:cs="Arial"/>
          <w:sz w:val="22"/>
          <w:szCs w:val="22"/>
        </w:rPr>
        <w:t>r</w:t>
      </w:r>
      <w:r w:rsidRPr="004F15A2">
        <w:rPr>
          <w:rFonts w:ascii="Arial" w:hAnsi="Arial" w:cs="Arial"/>
          <w:sz w:val="22"/>
          <w:szCs w:val="22"/>
        </w:rPr>
        <w:t xml:space="preserve">ying tunnels. </w:t>
      </w:r>
    </w:p>
    <w:p w14:paraId="7D5D9B28" w14:textId="77777777" w:rsidR="00262A6B" w:rsidRPr="00262A6B" w:rsidRDefault="00262A6B" w:rsidP="00262A6B">
      <w:pPr>
        <w:jc w:val="both"/>
        <w:rPr>
          <w:rFonts w:ascii="Arial" w:hAnsi="Arial" w:cs="Arial"/>
          <w:sz w:val="22"/>
          <w:szCs w:val="22"/>
        </w:rPr>
      </w:pPr>
    </w:p>
    <w:p w14:paraId="0B16547B" w14:textId="77777777" w:rsidR="00262A6B" w:rsidRPr="00262A6B" w:rsidRDefault="00262A6B" w:rsidP="00262A6B">
      <w:pPr>
        <w:jc w:val="both"/>
        <w:rPr>
          <w:rFonts w:ascii="Arial" w:hAnsi="Arial" w:cs="Arial"/>
          <w:sz w:val="22"/>
          <w:szCs w:val="22"/>
        </w:rPr>
      </w:pPr>
      <w:r w:rsidRPr="00262A6B">
        <w:rPr>
          <w:rFonts w:ascii="Arial" w:hAnsi="Arial" w:cs="Arial"/>
          <w:sz w:val="22"/>
          <w:szCs w:val="22"/>
        </w:rPr>
        <w:t xml:space="preserve">Production Process: </w:t>
      </w:r>
    </w:p>
    <w:p w14:paraId="72B3AB67" w14:textId="77777777" w:rsidR="00262A6B" w:rsidRPr="00262A6B" w:rsidRDefault="00262A6B" w:rsidP="00262A6B">
      <w:pPr>
        <w:jc w:val="both"/>
        <w:rPr>
          <w:rFonts w:ascii="Arial" w:hAnsi="Arial" w:cs="Arial"/>
          <w:sz w:val="22"/>
          <w:szCs w:val="22"/>
        </w:rPr>
      </w:pPr>
    </w:p>
    <w:p w14:paraId="71C37B83" w14:textId="7E781AA4" w:rsidR="00262A6B" w:rsidRPr="00262A6B" w:rsidRDefault="00262A6B" w:rsidP="00262A6B">
      <w:pPr>
        <w:jc w:val="both"/>
        <w:rPr>
          <w:rFonts w:ascii="Arial" w:hAnsi="Arial" w:cs="Arial"/>
          <w:sz w:val="22"/>
          <w:szCs w:val="22"/>
        </w:rPr>
      </w:pPr>
      <w:r w:rsidRPr="00262A6B">
        <w:rPr>
          <w:rFonts w:ascii="Arial" w:hAnsi="Arial" w:cs="Arial"/>
          <w:sz w:val="22"/>
          <w:szCs w:val="22"/>
        </w:rPr>
        <w:t xml:space="preserve">The shale is mined from an open pit that is located onsite and is transported by dump truck to a </w:t>
      </w:r>
      <w:r w:rsidR="001B5B85" w:rsidRPr="00262A6B">
        <w:rPr>
          <w:rFonts w:ascii="Arial" w:hAnsi="Arial" w:cs="Arial"/>
          <w:sz w:val="22"/>
          <w:szCs w:val="22"/>
        </w:rPr>
        <w:t>stockpile</w:t>
      </w:r>
      <w:r w:rsidRPr="00262A6B">
        <w:rPr>
          <w:rFonts w:ascii="Arial" w:hAnsi="Arial" w:cs="Arial"/>
          <w:sz w:val="22"/>
          <w:szCs w:val="22"/>
        </w:rPr>
        <w:t xml:space="preserve">. </w:t>
      </w:r>
      <w:r w:rsidR="00832626">
        <w:rPr>
          <w:rFonts w:ascii="Arial" w:hAnsi="Arial" w:cs="Arial"/>
          <w:sz w:val="22"/>
          <w:szCs w:val="22"/>
        </w:rPr>
        <w:t xml:space="preserve"> </w:t>
      </w:r>
      <w:r w:rsidRPr="00262A6B">
        <w:rPr>
          <w:rFonts w:ascii="Arial" w:hAnsi="Arial" w:cs="Arial"/>
          <w:sz w:val="22"/>
          <w:szCs w:val="22"/>
        </w:rPr>
        <w:t xml:space="preserve">The material is removed from the </w:t>
      </w:r>
      <w:r w:rsidR="001B5B85" w:rsidRPr="00262A6B">
        <w:rPr>
          <w:rFonts w:ascii="Arial" w:hAnsi="Arial" w:cs="Arial"/>
          <w:sz w:val="22"/>
          <w:szCs w:val="22"/>
        </w:rPr>
        <w:t>stockpile</w:t>
      </w:r>
      <w:r w:rsidRPr="00262A6B">
        <w:rPr>
          <w:rFonts w:ascii="Arial" w:hAnsi="Arial" w:cs="Arial"/>
          <w:sz w:val="22"/>
          <w:szCs w:val="22"/>
        </w:rPr>
        <w:t xml:space="preserve"> by a </w:t>
      </w:r>
      <w:r w:rsidR="001B5B85" w:rsidRPr="00262A6B">
        <w:rPr>
          <w:rFonts w:ascii="Arial" w:hAnsi="Arial" w:cs="Arial"/>
          <w:sz w:val="22"/>
          <w:szCs w:val="22"/>
        </w:rPr>
        <w:t>front-end</w:t>
      </w:r>
      <w:r w:rsidRPr="00262A6B">
        <w:rPr>
          <w:rFonts w:ascii="Arial" w:hAnsi="Arial" w:cs="Arial"/>
          <w:sz w:val="22"/>
          <w:szCs w:val="22"/>
        </w:rPr>
        <w:t xml:space="preserve"> loader and transported to a primary crusher where the material is crushed to an acceptable size for the grinding plant.</w:t>
      </w:r>
      <w:r w:rsidR="00832626">
        <w:rPr>
          <w:rFonts w:ascii="Arial" w:hAnsi="Arial" w:cs="Arial"/>
          <w:sz w:val="22"/>
          <w:szCs w:val="22"/>
        </w:rPr>
        <w:t xml:space="preserve"> </w:t>
      </w:r>
      <w:r w:rsidRPr="00262A6B">
        <w:rPr>
          <w:rFonts w:ascii="Arial" w:hAnsi="Arial" w:cs="Arial"/>
          <w:sz w:val="22"/>
          <w:szCs w:val="22"/>
        </w:rPr>
        <w:t xml:space="preserve"> The material size is then further reduced with grinders to an acceptable mesh size for the pug mixers and extruders.</w:t>
      </w:r>
    </w:p>
    <w:p w14:paraId="73663C69" w14:textId="77777777" w:rsidR="00262A6B" w:rsidRPr="00262A6B" w:rsidRDefault="00262A6B" w:rsidP="00262A6B">
      <w:pPr>
        <w:jc w:val="both"/>
        <w:rPr>
          <w:rFonts w:ascii="Arial" w:hAnsi="Arial" w:cs="Arial"/>
          <w:sz w:val="22"/>
          <w:szCs w:val="22"/>
        </w:rPr>
      </w:pPr>
    </w:p>
    <w:p w14:paraId="342870AC" w14:textId="677466D2" w:rsidR="00262A6B" w:rsidRPr="00262A6B" w:rsidRDefault="00262A6B" w:rsidP="00262A6B">
      <w:pPr>
        <w:jc w:val="both"/>
        <w:rPr>
          <w:rFonts w:ascii="Arial" w:hAnsi="Arial" w:cs="Arial"/>
          <w:sz w:val="22"/>
          <w:szCs w:val="22"/>
        </w:rPr>
      </w:pPr>
      <w:r w:rsidRPr="00262A6B">
        <w:rPr>
          <w:rFonts w:ascii="Arial" w:hAnsi="Arial" w:cs="Arial"/>
          <w:sz w:val="22"/>
          <w:szCs w:val="22"/>
        </w:rPr>
        <w:t xml:space="preserve">The material is transported via a conveyor belt system to a "stiff mud" forming process where the material is processed in a pug mixer, extruded, and cut. </w:t>
      </w:r>
      <w:r w:rsidR="00832626">
        <w:rPr>
          <w:rFonts w:ascii="Arial" w:hAnsi="Arial" w:cs="Arial"/>
          <w:sz w:val="22"/>
          <w:szCs w:val="22"/>
        </w:rPr>
        <w:t xml:space="preserve"> </w:t>
      </w:r>
      <w:r w:rsidRPr="00262A6B">
        <w:rPr>
          <w:rFonts w:ascii="Arial" w:hAnsi="Arial" w:cs="Arial"/>
          <w:sz w:val="22"/>
          <w:szCs w:val="22"/>
        </w:rPr>
        <w:t>At this point, coloring "</w:t>
      </w:r>
      <w:r w:rsidR="001B5B85" w:rsidRPr="00262A6B">
        <w:rPr>
          <w:rFonts w:ascii="Arial" w:hAnsi="Arial" w:cs="Arial"/>
          <w:sz w:val="22"/>
          <w:szCs w:val="22"/>
        </w:rPr>
        <w:t>sprinkles</w:t>
      </w:r>
      <w:r w:rsidRPr="00262A6B">
        <w:rPr>
          <w:rFonts w:ascii="Arial" w:hAnsi="Arial" w:cs="Arial"/>
          <w:sz w:val="22"/>
          <w:szCs w:val="22"/>
        </w:rPr>
        <w:t xml:space="preserve">" may be added to the face of the brick, depending on the desired color. </w:t>
      </w:r>
      <w:r w:rsidR="00832626">
        <w:rPr>
          <w:rFonts w:ascii="Arial" w:hAnsi="Arial" w:cs="Arial"/>
          <w:sz w:val="22"/>
          <w:szCs w:val="22"/>
        </w:rPr>
        <w:t xml:space="preserve"> </w:t>
      </w:r>
      <w:r w:rsidRPr="00262A6B">
        <w:rPr>
          <w:rFonts w:ascii="Arial" w:hAnsi="Arial" w:cs="Arial"/>
          <w:sz w:val="22"/>
          <w:szCs w:val="22"/>
        </w:rPr>
        <w:t xml:space="preserve">The bricks are then loaded into kiln cars and fed into a dryer to drive out the water that was added during the curing processing to create a plasticity in the clay. </w:t>
      </w:r>
      <w:r w:rsidR="00832626">
        <w:rPr>
          <w:rFonts w:ascii="Arial" w:hAnsi="Arial" w:cs="Arial"/>
          <w:sz w:val="22"/>
          <w:szCs w:val="22"/>
        </w:rPr>
        <w:t xml:space="preserve"> </w:t>
      </w:r>
      <w:r w:rsidRPr="00262A6B">
        <w:rPr>
          <w:rFonts w:ascii="Arial" w:hAnsi="Arial" w:cs="Arial"/>
          <w:sz w:val="22"/>
          <w:szCs w:val="22"/>
        </w:rPr>
        <w:t>The dried bricks are then fed into two tunnel kilns for firing (where the "chemical water," hydrous-alumino-silicate, is removed).</w:t>
      </w:r>
      <w:r w:rsidR="00832626">
        <w:rPr>
          <w:rFonts w:ascii="Arial" w:hAnsi="Arial" w:cs="Arial"/>
          <w:sz w:val="22"/>
          <w:szCs w:val="22"/>
        </w:rPr>
        <w:t xml:space="preserve"> </w:t>
      </w:r>
      <w:r w:rsidRPr="00262A6B">
        <w:rPr>
          <w:rFonts w:ascii="Arial" w:hAnsi="Arial" w:cs="Arial"/>
          <w:sz w:val="22"/>
          <w:szCs w:val="22"/>
        </w:rPr>
        <w:t xml:space="preserve"> Finished bricks are then packaged and shipped. </w:t>
      </w:r>
    </w:p>
    <w:p w14:paraId="0E7738F3" w14:textId="77777777" w:rsidR="00262A6B" w:rsidRPr="00262A6B" w:rsidRDefault="00262A6B" w:rsidP="00262A6B">
      <w:pPr>
        <w:jc w:val="both"/>
        <w:rPr>
          <w:rFonts w:ascii="Arial" w:hAnsi="Arial" w:cs="Arial"/>
          <w:sz w:val="22"/>
          <w:szCs w:val="22"/>
        </w:rPr>
      </w:pPr>
    </w:p>
    <w:p w14:paraId="0ED07A2D" w14:textId="23C02A58" w:rsidR="00262A6B" w:rsidRPr="00262A6B" w:rsidRDefault="00262A6B" w:rsidP="00262A6B">
      <w:pPr>
        <w:jc w:val="both"/>
        <w:rPr>
          <w:rFonts w:ascii="Arial" w:hAnsi="Arial" w:cs="Arial"/>
          <w:sz w:val="22"/>
          <w:szCs w:val="22"/>
        </w:rPr>
      </w:pPr>
      <w:r w:rsidRPr="00262A6B">
        <w:rPr>
          <w:rFonts w:ascii="Arial" w:hAnsi="Arial" w:cs="Arial"/>
          <w:sz w:val="22"/>
          <w:szCs w:val="22"/>
        </w:rPr>
        <w:t xml:space="preserve">Most air emissions are a result of the tunnel kiln operation. </w:t>
      </w:r>
      <w:r w:rsidR="00F555A2">
        <w:rPr>
          <w:rFonts w:ascii="Arial" w:hAnsi="Arial" w:cs="Arial"/>
          <w:sz w:val="22"/>
          <w:szCs w:val="22"/>
        </w:rPr>
        <w:t xml:space="preserve"> </w:t>
      </w:r>
      <w:r w:rsidRPr="00262A6B">
        <w:rPr>
          <w:rFonts w:ascii="Arial" w:hAnsi="Arial" w:cs="Arial"/>
          <w:sz w:val="22"/>
          <w:szCs w:val="22"/>
        </w:rPr>
        <w:t xml:space="preserve">Sulfur in the shale is released as sulfur dioxide when the bricks are fired in the kilns. </w:t>
      </w:r>
      <w:r w:rsidR="00F555A2">
        <w:rPr>
          <w:rFonts w:ascii="Arial" w:hAnsi="Arial" w:cs="Arial"/>
          <w:sz w:val="22"/>
          <w:szCs w:val="22"/>
        </w:rPr>
        <w:t xml:space="preserve"> </w:t>
      </w:r>
      <w:r w:rsidRPr="00262A6B">
        <w:rPr>
          <w:rFonts w:ascii="Arial" w:hAnsi="Arial" w:cs="Arial"/>
          <w:sz w:val="22"/>
          <w:szCs w:val="22"/>
        </w:rPr>
        <w:t xml:space="preserve">The two tunnel kilns are controlled by baghouse collectors with lime injection for sulfur dioxide control. </w:t>
      </w:r>
      <w:r w:rsidR="00F555A2">
        <w:rPr>
          <w:rFonts w:ascii="Arial" w:hAnsi="Arial" w:cs="Arial"/>
          <w:sz w:val="22"/>
          <w:szCs w:val="22"/>
        </w:rPr>
        <w:t xml:space="preserve"> </w:t>
      </w:r>
      <w:r w:rsidR="00B30263">
        <w:rPr>
          <w:rFonts w:ascii="Arial" w:hAnsi="Arial" w:cs="Arial"/>
          <w:sz w:val="22"/>
          <w:szCs w:val="22"/>
        </w:rPr>
        <w:t xml:space="preserve">Currently, only one of the two tunnel kilns is operational. </w:t>
      </w:r>
    </w:p>
    <w:p w14:paraId="6EEBD727" w14:textId="488B9F2C" w:rsidR="00262A6B" w:rsidRDefault="00262A6B" w:rsidP="00262A6B">
      <w:pPr>
        <w:jc w:val="both"/>
        <w:rPr>
          <w:rFonts w:ascii="Arial" w:hAnsi="Arial" w:cs="Arial"/>
          <w:sz w:val="22"/>
          <w:szCs w:val="22"/>
        </w:rPr>
      </w:pPr>
    </w:p>
    <w:p w14:paraId="3C8B56BF" w14:textId="2ED88A7B" w:rsidR="00E56A1A" w:rsidRDefault="00E56A1A" w:rsidP="00262A6B">
      <w:pPr>
        <w:jc w:val="both"/>
        <w:rPr>
          <w:rFonts w:ascii="Arial" w:hAnsi="Arial" w:cs="Arial"/>
          <w:sz w:val="22"/>
          <w:szCs w:val="22"/>
        </w:rPr>
      </w:pPr>
      <w:r>
        <w:rPr>
          <w:rFonts w:ascii="Arial" w:hAnsi="Arial" w:cs="Arial"/>
          <w:sz w:val="22"/>
          <w:szCs w:val="22"/>
        </w:rPr>
        <w:t xml:space="preserve">The facility </w:t>
      </w:r>
      <w:r w:rsidR="00C155CA">
        <w:rPr>
          <w:rFonts w:ascii="Arial" w:hAnsi="Arial" w:cs="Arial"/>
          <w:sz w:val="22"/>
          <w:szCs w:val="22"/>
        </w:rPr>
        <w:t xml:space="preserve">applied for and received PTI No.170-18 which established </w:t>
      </w:r>
      <w:r w:rsidR="004E3413">
        <w:rPr>
          <w:rFonts w:ascii="Arial" w:hAnsi="Arial" w:cs="Arial"/>
          <w:sz w:val="22"/>
          <w:szCs w:val="22"/>
        </w:rPr>
        <w:t>hazardous air pollutant (</w:t>
      </w:r>
      <w:r w:rsidR="00C155CA">
        <w:rPr>
          <w:rFonts w:ascii="Arial" w:hAnsi="Arial" w:cs="Arial"/>
          <w:sz w:val="22"/>
          <w:szCs w:val="22"/>
        </w:rPr>
        <w:t>HAP</w:t>
      </w:r>
      <w:r w:rsidR="004E3413">
        <w:rPr>
          <w:rFonts w:ascii="Arial" w:hAnsi="Arial" w:cs="Arial"/>
          <w:sz w:val="22"/>
          <w:szCs w:val="22"/>
        </w:rPr>
        <w:t>)</w:t>
      </w:r>
      <w:r w:rsidR="00C155CA">
        <w:rPr>
          <w:rFonts w:ascii="Arial" w:hAnsi="Arial" w:cs="Arial"/>
          <w:sz w:val="22"/>
          <w:szCs w:val="22"/>
        </w:rPr>
        <w:t xml:space="preserve"> opt-out limits and was also for the replacement installation of a new baghouse for the</w:t>
      </w:r>
      <w:r w:rsidR="004E3413">
        <w:rPr>
          <w:rFonts w:ascii="Arial" w:hAnsi="Arial" w:cs="Arial"/>
          <w:sz w:val="22"/>
          <w:szCs w:val="22"/>
        </w:rPr>
        <w:t xml:space="preserve"> plant</w:t>
      </w:r>
      <w:r w:rsidR="00C155CA">
        <w:rPr>
          <w:rFonts w:ascii="Arial" w:hAnsi="Arial" w:cs="Arial"/>
          <w:sz w:val="22"/>
          <w:szCs w:val="22"/>
        </w:rPr>
        <w:t xml:space="preserve"> equipment.  </w:t>
      </w:r>
    </w:p>
    <w:p w14:paraId="7B0DC88E" w14:textId="77777777" w:rsidR="00C155CA" w:rsidRDefault="00C155CA" w:rsidP="00262A6B">
      <w:pPr>
        <w:jc w:val="both"/>
        <w:rPr>
          <w:rFonts w:ascii="Arial" w:hAnsi="Arial" w:cs="Arial"/>
          <w:sz w:val="22"/>
          <w:szCs w:val="22"/>
        </w:rPr>
      </w:pPr>
    </w:p>
    <w:p w14:paraId="622F1CF6" w14:textId="506E6D9F" w:rsidR="00AF4326" w:rsidRPr="00290754" w:rsidRDefault="00E56A1A" w:rsidP="00262A6B">
      <w:pPr>
        <w:jc w:val="both"/>
        <w:rPr>
          <w:rFonts w:ascii="Arial" w:hAnsi="Arial" w:cs="Arial"/>
          <w:sz w:val="22"/>
          <w:szCs w:val="22"/>
        </w:rPr>
      </w:pPr>
      <w:r>
        <w:rPr>
          <w:rFonts w:ascii="Arial" w:hAnsi="Arial" w:cs="Arial"/>
          <w:sz w:val="22"/>
          <w:szCs w:val="22"/>
        </w:rPr>
        <w:t>T</w:t>
      </w:r>
      <w:r w:rsidR="00262A6B" w:rsidRPr="00262A6B">
        <w:rPr>
          <w:rFonts w:ascii="Arial" w:hAnsi="Arial" w:cs="Arial"/>
          <w:sz w:val="22"/>
          <w:szCs w:val="22"/>
        </w:rPr>
        <w:t xml:space="preserve">he </w:t>
      </w:r>
      <w:r w:rsidR="004E3413">
        <w:rPr>
          <w:rFonts w:ascii="Arial" w:hAnsi="Arial" w:cs="Arial"/>
          <w:sz w:val="22"/>
          <w:szCs w:val="22"/>
        </w:rPr>
        <w:t>plant</w:t>
      </w:r>
      <w:r w:rsidR="00C155CA">
        <w:rPr>
          <w:rFonts w:ascii="Arial" w:hAnsi="Arial" w:cs="Arial"/>
          <w:sz w:val="22"/>
          <w:szCs w:val="22"/>
        </w:rPr>
        <w:t xml:space="preserve"> equipment requires control for </w:t>
      </w:r>
      <w:r w:rsidR="00262A6B" w:rsidRPr="00262A6B">
        <w:rPr>
          <w:rFonts w:ascii="Arial" w:hAnsi="Arial" w:cs="Arial"/>
          <w:sz w:val="22"/>
          <w:szCs w:val="22"/>
        </w:rPr>
        <w:t>particulate</w:t>
      </w:r>
      <w:r w:rsidR="00C155CA">
        <w:rPr>
          <w:rFonts w:ascii="Arial" w:hAnsi="Arial" w:cs="Arial"/>
          <w:sz w:val="22"/>
          <w:szCs w:val="22"/>
        </w:rPr>
        <w:t xml:space="preserve"> matter</w:t>
      </w:r>
      <w:r w:rsidR="00262A6B" w:rsidRPr="00262A6B">
        <w:rPr>
          <w:rFonts w:ascii="Arial" w:hAnsi="Arial" w:cs="Arial"/>
          <w:sz w:val="22"/>
          <w:szCs w:val="22"/>
        </w:rPr>
        <w:t xml:space="preserve"> generated from the 30 and 50 pug lines and the mixer and dryer systems (processes related to the shale processing)</w:t>
      </w:r>
      <w:r w:rsidR="00C155CA">
        <w:rPr>
          <w:rFonts w:ascii="Arial" w:hAnsi="Arial" w:cs="Arial"/>
          <w:sz w:val="22"/>
          <w:szCs w:val="22"/>
        </w:rPr>
        <w:t>.</w:t>
      </w:r>
      <w:r w:rsidR="00B30263">
        <w:rPr>
          <w:rFonts w:ascii="Arial" w:hAnsi="Arial" w:cs="Arial"/>
          <w:sz w:val="22"/>
          <w:szCs w:val="22"/>
        </w:rPr>
        <w:t xml:space="preserve"> </w:t>
      </w:r>
      <w:r w:rsidR="00F555A2">
        <w:rPr>
          <w:rFonts w:ascii="Arial" w:hAnsi="Arial" w:cs="Arial"/>
          <w:sz w:val="22"/>
          <w:szCs w:val="22"/>
        </w:rPr>
        <w:t xml:space="preserve"> </w:t>
      </w:r>
      <w:r w:rsidR="00C155CA">
        <w:rPr>
          <w:rFonts w:ascii="Arial" w:hAnsi="Arial" w:cs="Arial"/>
          <w:sz w:val="22"/>
          <w:szCs w:val="22"/>
        </w:rPr>
        <w:t>The</w:t>
      </w:r>
      <w:r w:rsidR="004E3413">
        <w:rPr>
          <w:rFonts w:ascii="Arial" w:hAnsi="Arial" w:cs="Arial"/>
          <w:sz w:val="22"/>
          <w:szCs w:val="22"/>
        </w:rPr>
        <w:t xml:space="preserve"> particulate matter emissions </w:t>
      </w:r>
      <w:r w:rsidR="00B30263">
        <w:rPr>
          <w:rFonts w:ascii="Arial" w:hAnsi="Arial" w:cs="Arial"/>
          <w:sz w:val="22"/>
          <w:szCs w:val="22"/>
        </w:rPr>
        <w:t xml:space="preserve">are controlled by a dust collector </w:t>
      </w:r>
      <w:r w:rsidR="004E3413">
        <w:rPr>
          <w:rFonts w:ascii="Arial" w:hAnsi="Arial" w:cs="Arial"/>
          <w:sz w:val="22"/>
          <w:szCs w:val="22"/>
        </w:rPr>
        <w:t xml:space="preserve">baghouse </w:t>
      </w:r>
      <w:r w:rsidR="00B30263">
        <w:rPr>
          <w:rFonts w:ascii="Arial" w:hAnsi="Arial" w:cs="Arial"/>
          <w:sz w:val="22"/>
          <w:szCs w:val="22"/>
        </w:rPr>
        <w:t xml:space="preserve">with a dry filter. </w:t>
      </w:r>
      <w:r w:rsidR="00F555A2">
        <w:rPr>
          <w:rFonts w:ascii="Arial" w:hAnsi="Arial" w:cs="Arial"/>
          <w:sz w:val="22"/>
          <w:szCs w:val="22"/>
        </w:rPr>
        <w:t xml:space="preserve"> </w:t>
      </w:r>
      <w:r w:rsidR="00B30263">
        <w:rPr>
          <w:rFonts w:ascii="Arial" w:hAnsi="Arial" w:cs="Arial"/>
          <w:sz w:val="22"/>
          <w:szCs w:val="22"/>
        </w:rPr>
        <w:t>The dust collector</w:t>
      </w:r>
      <w:r w:rsidR="004E3413">
        <w:rPr>
          <w:rFonts w:ascii="Arial" w:hAnsi="Arial" w:cs="Arial"/>
          <w:sz w:val="22"/>
          <w:szCs w:val="22"/>
        </w:rPr>
        <w:t xml:space="preserve"> baghouse</w:t>
      </w:r>
      <w:r w:rsidR="00B30263">
        <w:rPr>
          <w:rFonts w:ascii="Arial" w:hAnsi="Arial" w:cs="Arial"/>
          <w:sz w:val="22"/>
          <w:szCs w:val="22"/>
        </w:rPr>
        <w:t xml:space="preserve"> replaces the previous wet cyclone control. </w:t>
      </w:r>
      <w:r w:rsidR="00F555A2">
        <w:rPr>
          <w:rFonts w:ascii="Arial" w:hAnsi="Arial" w:cs="Arial"/>
          <w:sz w:val="22"/>
          <w:szCs w:val="22"/>
        </w:rPr>
        <w:t xml:space="preserve"> </w:t>
      </w:r>
      <w:r w:rsidR="00B30263">
        <w:rPr>
          <w:rFonts w:ascii="Arial" w:hAnsi="Arial" w:cs="Arial"/>
          <w:sz w:val="22"/>
          <w:szCs w:val="22"/>
        </w:rPr>
        <w:t>T</w:t>
      </w:r>
      <w:r w:rsidR="00262A6B" w:rsidRPr="00262A6B">
        <w:rPr>
          <w:rFonts w:ascii="Arial" w:hAnsi="Arial" w:cs="Arial"/>
          <w:sz w:val="22"/>
          <w:szCs w:val="22"/>
        </w:rPr>
        <w:t>he particulate generated from the 90 pug line is controlled by a</w:t>
      </w:r>
      <w:r w:rsidR="004E3413">
        <w:rPr>
          <w:rFonts w:ascii="Arial" w:hAnsi="Arial" w:cs="Arial"/>
          <w:sz w:val="22"/>
          <w:szCs w:val="22"/>
        </w:rPr>
        <w:t>nother</w:t>
      </w:r>
      <w:r w:rsidR="00262A6B" w:rsidRPr="00262A6B">
        <w:rPr>
          <w:rFonts w:ascii="Arial" w:hAnsi="Arial" w:cs="Arial"/>
          <w:sz w:val="22"/>
          <w:szCs w:val="22"/>
        </w:rPr>
        <w:t xml:space="preserve"> baghouse.</w:t>
      </w:r>
    </w:p>
    <w:p w14:paraId="4476FA95" w14:textId="68A348E3" w:rsidR="00C82E70" w:rsidRDefault="00C82E70">
      <w:pPr>
        <w:rPr>
          <w:rFonts w:ascii="Arial" w:hAnsi="Arial" w:cs="Arial"/>
          <w:sz w:val="22"/>
          <w:szCs w:val="22"/>
        </w:rPr>
      </w:pPr>
      <w:r>
        <w:rPr>
          <w:rFonts w:ascii="Arial" w:hAnsi="Arial" w:cs="Arial"/>
          <w:sz w:val="22"/>
          <w:szCs w:val="22"/>
        </w:rPr>
        <w:br w:type="page"/>
      </w:r>
    </w:p>
    <w:p w14:paraId="5B3015D0" w14:textId="77777777" w:rsidR="00AF4326" w:rsidRPr="00290754" w:rsidRDefault="00AF4326">
      <w:pPr>
        <w:rPr>
          <w:rFonts w:ascii="Arial" w:hAnsi="Arial" w:cs="Arial"/>
          <w:sz w:val="22"/>
          <w:szCs w:val="22"/>
        </w:rPr>
      </w:pPr>
    </w:p>
    <w:p w14:paraId="23781194" w14:textId="6DB901F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B5B85" w:rsidRPr="001B5B85">
        <w:rPr>
          <w:rFonts w:ascii="Arial" w:hAnsi="Arial" w:cs="Arial"/>
          <w:b/>
          <w:sz w:val="22"/>
          <w:szCs w:val="22"/>
        </w:rPr>
        <w:t>2020</w:t>
      </w:r>
      <w:r w:rsidR="00AF4326" w:rsidRPr="00290754">
        <w:rPr>
          <w:rFonts w:ascii="Arial" w:hAnsi="Arial" w:cs="Arial"/>
          <w:sz w:val="22"/>
          <w:szCs w:val="22"/>
        </w:rPr>
        <w:t>.</w:t>
      </w:r>
    </w:p>
    <w:p w14:paraId="6D002932" w14:textId="77777777" w:rsidR="00AF4326" w:rsidRPr="00290754" w:rsidRDefault="00AF4326">
      <w:pPr>
        <w:rPr>
          <w:rFonts w:ascii="Arial" w:hAnsi="Arial" w:cs="Arial"/>
          <w:sz w:val="22"/>
          <w:szCs w:val="22"/>
        </w:rPr>
      </w:pPr>
    </w:p>
    <w:p w14:paraId="53B1D2E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7F49B18"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089"/>
        <w:gridCol w:w="5171"/>
      </w:tblGrid>
      <w:tr w:rsidR="00F734C6" w:rsidRPr="00290754" w14:paraId="3A68EBC3" w14:textId="77777777" w:rsidTr="00C82E70">
        <w:trPr>
          <w:tblHeader/>
        </w:trPr>
        <w:tc>
          <w:tcPr>
            <w:tcW w:w="5089" w:type="dxa"/>
            <w:shd w:val="pct10" w:color="auto" w:fill="auto"/>
          </w:tcPr>
          <w:p w14:paraId="2DEEC3E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71" w:type="dxa"/>
            <w:shd w:val="pct10" w:color="auto" w:fill="auto"/>
          </w:tcPr>
          <w:p w14:paraId="3BDD789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C1E447D" w14:textId="77777777" w:rsidTr="00C82E70">
        <w:tc>
          <w:tcPr>
            <w:tcW w:w="5089" w:type="dxa"/>
          </w:tcPr>
          <w:p w14:paraId="662971A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71" w:type="dxa"/>
          </w:tcPr>
          <w:p w14:paraId="5EFAF1E2" w14:textId="44A5ADE3" w:rsidR="00F734C6" w:rsidRPr="00290754" w:rsidRDefault="00993DE0" w:rsidP="00E63937">
            <w:pPr>
              <w:jc w:val="center"/>
              <w:rPr>
                <w:rFonts w:ascii="Arial" w:hAnsi="Arial" w:cs="Arial"/>
                <w:sz w:val="22"/>
                <w:szCs w:val="22"/>
              </w:rPr>
            </w:pPr>
            <w:r w:rsidRPr="00993DE0">
              <w:rPr>
                <w:rFonts w:ascii="Arial" w:hAnsi="Arial" w:cs="Arial"/>
                <w:sz w:val="22"/>
                <w:szCs w:val="22"/>
              </w:rPr>
              <w:t>43.80</w:t>
            </w:r>
          </w:p>
        </w:tc>
      </w:tr>
      <w:tr w:rsidR="00F734C6" w:rsidRPr="00290754" w14:paraId="5379FB17" w14:textId="77777777" w:rsidTr="00C82E70">
        <w:tc>
          <w:tcPr>
            <w:tcW w:w="5089" w:type="dxa"/>
          </w:tcPr>
          <w:p w14:paraId="1036640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71" w:type="dxa"/>
          </w:tcPr>
          <w:p w14:paraId="11A71FC1" w14:textId="11970BB4" w:rsidR="00F734C6" w:rsidRPr="0042481A" w:rsidRDefault="00993DE0" w:rsidP="00E63937">
            <w:pPr>
              <w:jc w:val="center"/>
              <w:rPr>
                <w:rFonts w:ascii="Arial" w:hAnsi="Arial" w:cs="Arial"/>
                <w:sz w:val="22"/>
                <w:szCs w:val="22"/>
                <w:vertAlign w:val="superscript"/>
              </w:rPr>
            </w:pPr>
            <w:r w:rsidRPr="00993DE0">
              <w:rPr>
                <w:rFonts w:ascii="Arial" w:hAnsi="Arial" w:cs="Arial"/>
                <w:sz w:val="22"/>
                <w:szCs w:val="22"/>
              </w:rPr>
              <w:t>5.90 x 10</w:t>
            </w:r>
            <w:r w:rsidR="0042481A">
              <w:rPr>
                <w:rFonts w:ascii="Arial" w:hAnsi="Arial" w:cs="Arial"/>
                <w:sz w:val="22"/>
                <w:szCs w:val="22"/>
                <w:vertAlign w:val="superscript"/>
              </w:rPr>
              <w:t>-4</w:t>
            </w:r>
          </w:p>
        </w:tc>
      </w:tr>
      <w:tr w:rsidR="00F734C6" w:rsidRPr="00290754" w14:paraId="3D8412DB" w14:textId="77777777" w:rsidTr="00C82E70">
        <w:tc>
          <w:tcPr>
            <w:tcW w:w="5089" w:type="dxa"/>
          </w:tcPr>
          <w:p w14:paraId="09A2823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71" w:type="dxa"/>
          </w:tcPr>
          <w:p w14:paraId="3A6B32AE" w14:textId="34805095" w:rsidR="0042481A" w:rsidRPr="00290754" w:rsidRDefault="0042481A" w:rsidP="0042481A">
            <w:pPr>
              <w:jc w:val="center"/>
              <w:rPr>
                <w:rFonts w:ascii="Arial" w:hAnsi="Arial" w:cs="Arial"/>
                <w:sz w:val="22"/>
                <w:szCs w:val="22"/>
              </w:rPr>
            </w:pPr>
            <w:r>
              <w:rPr>
                <w:rFonts w:ascii="Arial" w:hAnsi="Arial" w:cs="Arial"/>
                <w:sz w:val="22"/>
                <w:szCs w:val="22"/>
              </w:rPr>
              <w:t>12.78</w:t>
            </w:r>
          </w:p>
        </w:tc>
      </w:tr>
      <w:tr w:rsidR="00F734C6" w:rsidRPr="00290754" w14:paraId="1EC94B80" w14:textId="77777777" w:rsidTr="00C82E70">
        <w:tc>
          <w:tcPr>
            <w:tcW w:w="5089" w:type="dxa"/>
          </w:tcPr>
          <w:p w14:paraId="0ED426A4" w14:textId="3195DD12"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202045">
              <w:rPr>
                <w:rFonts w:ascii="Arial" w:hAnsi="Arial" w:cs="Arial"/>
                <w:sz w:val="22"/>
                <w:szCs w:val="22"/>
              </w:rPr>
              <w:t>(</w:t>
            </w:r>
            <w:r w:rsidRPr="00290754">
              <w:rPr>
                <w:rFonts w:ascii="Arial" w:hAnsi="Arial" w:cs="Arial"/>
                <w:sz w:val="22"/>
                <w:szCs w:val="22"/>
              </w:rPr>
              <w:t>PM)</w:t>
            </w:r>
          </w:p>
        </w:tc>
        <w:tc>
          <w:tcPr>
            <w:tcW w:w="5171" w:type="dxa"/>
          </w:tcPr>
          <w:p w14:paraId="7BDB1533" w14:textId="630ADC18" w:rsidR="00F734C6" w:rsidRPr="00290754" w:rsidRDefault="008D382A" w:rsidP="00E63937">
            <w:pPr>
              <w:jc w:val="center"/>
              <w:rPr>
                <w:rFonts w:ascii="Arial" w:hAnsi="Arial" w:cs="Arial"/>
                <w:sz w:val="22"/>
                <w:szCs w:val="22"/>
              </w:rPr>
            </w:pPr>
            <w:r>
              <w:rPr>
                <w:rFonts w:ascii="Arial" w:hAnsi="Arial" w:cs="Arial"/>
                <w:sz w:val="22"/>
                <w:szCs w:val="22"/>
              </w:rPr>
              <w:t>22.09</w:t>
            </w:r>
          </w:p>
        </w:tc>
      </w:tr>
      <w:tr w:rsidR="00F734C6" w:rsidRPr="00290754" w14:paraId="69AACFDD" w14:textId="77777777" w:rsidTr="00C82E70">
        <w:tc>
          <w:tcPr>
            <w:tcW w:w="5089" w:type="dxa"/>
          </w:tcPr>
          <w:p w14:paraId="2B623EA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71" w:type="dxa"/>
          </w:tcPr>
          <w:p w14:paraId="730A3547" w14:textId="51AA7BCC" w:rsidR="00F734C6" w:rsidRPr="00290754" w:rsidRDefault="007F2752" w:rsidP="00E63937">
            <w:pPr>
              <w:jc w:val="center"/>
              <w:rPr>
                <w:rFonts w:ascii="Arial" w:hAnsi="Arial" w:cs="Arial"/>
                <w:sz w:val="22"/>
                <w:szCs w:val="22"/>
              </w:rPr>
            </w:pPr>
            <w:r>
              <w:rPr>
                <w:rFonts w:ascii="Arial" w:hAnsi="Arial" w:cs="Arial"/>
                <w:sz w:val="22"/>
                <w:szCs w:val="22"/>
              </w:rPr>
              <w:t>125.74</w:t>
            </w:r>
          </w:p>
        </w:tc>
      </w:tr>
      <w:tr w:rsidR="00F734C6" w:rsidRPr="00290754" w14:paraId="67CDFD4A" w14:textId="77777777" w:rsidTr="00C82E70">
        <w:tc>
          <w:tcPr>
            <w:tcW w:w="5089" w:type="dxa"/>
          </w:tcPr>
          <w:p w14:paraId="58F540D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71" w:type="dxa"/>
          </w:tcPr>
          <w:p w14:paraId="53C5D6CB" w14:textId="5BFAC690" w:rsidR="00F734C6" w:rsidRPr="00290754" w:rsidRDefault="007F2752" w:rsidP="00E63937">
            <w:pPr>
              <w:jc w:val="center"/>
              <w:rPr>
                <w:rFonts w:ascii="Arial" w:hAnsi="Arial" w:cs="Arial"/>
                <w:sz w:val="22"/>
                <w:szCs w:val="22"/>
              </w:rPr>
            </w:pPr>
            <w:r>
              <w:rPr>
                <w:rFonts w:ascii="Arial" w:hAnsi="Arial" w:cs="Arial"/>
                <w:sz w:val="22"/>
                <w:szCs w:val="22"/>
              </w:rPr>
              <w:t>1.08</w:t>
            </w:r>
          </w:p>
        </w:tc>
      </w:tr>
    </w:tbl>
    <w:p w14:paraId="63EFEB29" w14:textId="77777777" w:rsidR="00F734C6" w:rsidRPr="00CB60BD" w:rsidRDefault="00F734C6" w:rsidP="00F734C6">
      <w:pPr>
        <w:rPr>
          <w:rFonts w:ascii="Arial" w:hAnsi="Arial" w:cs="Arial"/>
          <w:sz w:val="22"/>
          <w:szCs w:val="22"/>
        </w:rPr>
      </w:pPr>
    </w:p>
    <w:p w14:paraId="061D7ABC" w14:textId="3C46765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93DE0" w:rsidRPr="00993DE0">
        <w:rPr>
          <w:rFonts w:ascii="Arial" w:hAnsi="Arial" w:cs="Arial"/>
          <w:sz w:val="22"/>
          <w:szCs w:val="22"/>
        </w:rPr>
        <w:t>2020</w:t>
      </w:r>
      <w:r w:rsidRPr="00F734C6">
        <w:rPr>
          <w:rFonts w:ascii="Arial" w:hAnsi="Arial" w:cs="Arial"/>
          <w:sz w:val="22"/>
          <w:szCs w:val="22"/>
        </w:rPr>
        <w:t xml:space="preserve"> by </w:t>
      </w:r>
      <w:r w:rsidR="00993DE0" w:rsidRPr="00993DE0">
        <w:rPr>
          <w:rFonts w:ascii="Arial" w:hAnsi="Arial" w:cs="Arial"/>
          <w:sz w:val="22"/>
          <w:szCs w:val="22"/>
        </w:rPr>
        <w:t>the facility</w:t>
      </w:r>
      <w:r w:rsidRPr="00F734C6">
        <w:rPr>
          <w:rFonts w:ascii="Arial" w:hAnsi="Arial" w:cs="Arial"/>
          <w:sz w:val="22"/>
          <w:szCs w:val="22"/>
        </w:rPr>
        <w:t>:</w:t>
      </w:r>
    </w:p>
    <w:p w14:paraId="33FA34E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9AA0CFC" w14:textId="77777777" w:rsidTr="00757FEB">
        <w:tc>
          <w:tcPr>
            <w:tcW w:w="5130" w:type="dxa"/>
            <w:shd w:val="clear" w:color="auto" w:fill="D9D9D9"/>
          </w:tcPr>
          <w:p w14:paraId="20CD052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44C2EB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9851F00" w14:textId="77777777" w:rsidTr="00757FEB">
        <w:tc>
          <w:tcPr>
            <w:tcW w:w="5130" w:type="dxa"/>
            <w:shd w:val="clear" w:color="auto" w:fill="FFFFFF"/>
          </w:tcPr>
          <w:p w14:paraId="7BC0F0FE" w14:textId="505F7083" w:rsidR="00F734C6" w:rsidRPr="00F734C6" w:rsidRDefault="00993DE0" w:rsidP="00E63937">
            <w:pPr>
              <w:rPr>
                <w:rFonts w:ascii="Arial" w:hAnsi="Arial" w:cs="Arial"/>
                <w:sz w:val="22"/>
                <w:szCs w:val="22"/>
              </w:rPr>
            </w:pPr>
            <w:r w:rsidRPr="00993DE0">
              <w:rPr>
                <w:rFonts w:ascii="Arial" w:hAnsi="Arial" w:cs="Arial"/>
                <w:sz w:val="22"/>
                <w:szCs w:val="22"/>
              </w:rPr>
              <w:t>Hydrogen Chloride (HCl)</w:t>
            </w:r>
          </w:p>
        </w:tc>
        <w:tc>
          <w:tcPr>
            <w:tcW w:w="5130" w:type="dxa"/>
            <w:shd w:val="clear" w:color="auto" w:fill="FFFFFF"/>
          </w:tcPr>
          <w:p w14:paraId="33EA2B1F" w14:textId="70E0E017" w:rsidR="00F734C6" w:rsidRPr="00F555A2" w:rsidRDefault="007C7D91" w:rsidP="00E63937">
            <w:pPr>
              <w:jc w:val="center"/>
              <w:rPr>
                <w:rFonts w:ascii="Arial" w:hAnsi="Arial" w:cs="Arial"/>
                <w:bCs/>
                <w:sz w:val="22"/>
                <w:szCs w:val="22"/>
              </w:rPr>
            </w:pPr>
            <w:r w:rsidRPr="00F555A2">
              <w:rPr>
                <w:rFonts w:ascii="Arial" w:hAnsi="Arial" w:cs="Arial"/>
                <w:bCs/>
                <w:sz w:val="22"/>
                <w:szCs w:val="22"/>
              </w:rPr>
              <w:t>1.45</w:t>
            </w:r>
          </w:p>
        </w:tc>
      </w:tr>
      <w:tr w:rsidR="00F734C6" w:rsidRPr="00F734C6" w14:paraId="244CE48B" w14:textId="77777777" w:rsidTr="00757FEB">
        <w:tc>
          <w:tcPr>
            <w:tcW w:w="5130" w:type="dxa"/>
            <w:shd w:val="clear" w:color="auto" w:fill="FFFFFF"/>
          </w:tcPr>
          <w:p w14:paraId="43031B91" w14:textId="40EEDCC5" w:rsidR="00F734C6" w:rsidRPr="00F734C6" w:rsidRDefault="00993DE0" w:rsidP="00E63937">
            <w:pPr>
              <w:rPr>
                <w:rFonts w:ascii="Arial" w:hAnsi="Arial" w:cs="Arial"/>
                <w:sz w:val="22"/>
                <w:szCs w:val="22"/>
              </w:rPr>
            </w:pPr>
            <w:r w:rsidRPr="00993DE0">
              <w:rPr>
                <w:rFonts w:ascii="Arial" w:hAnsi="Arial" w:cs="Arial"/>
                <w:sz w:val="22"/>
                <w:szCs w:val="22"/>
              </w:rPr>
              <w:t>Hydrogen Fluoride (HF)</w:t>
            </w:r>
          </w:p>
        </w:tc>
        <w:tc>
          <w:tcPr>
            <w:tcW w:w="5130" w:type="dxa"/>
            <w:shd w:val="clear" w:color="auto" w:fill="FFFFFF"/>
          </w:tcPr>
          <w:p w14:paraId="694557F9" w14:textId="1B204F2E" w:rsidR="00F734C6" w:rsidRPr="00F555A2" w:rsidRDefault="007C7D91" w:rsidP="00E63937">
            <w:pPr>
              <w:jc w:val="center"/>
              <w:rPr>
                <w:rFonts w:ascii="Arial" w:hAnsi="Arial" w:cs="Arial"/>
                <w:bCs/>
                <w:sz w:val="22"/>
                <w:szCs w:val="22"/>
              </w:rPr>
            </w:pPr>
            <w:r w:rsidRPr="00F555A2">
              <w:rPr>
                <w:rFonts w:ascii="Arial" w:hAnsi="Arial" w:cs="Arial"/>
                <w:bCs/>
                <w:sz w:val="22"/>
                <w:szCs w:val="22"/>
              </w:rPr>
              <w:t>0.26</w:t>
            </w:r>
          </w:p>
        </w:tc>
      </w:tr>
      <w:tr w:rsidR="00F734C6" w:rsidRPr="00F734C6" w14:paraId="32B06FB6" w14:textId="77777777" w:rsidTr="00757FEB">
        <w:tc>
          <w:tcPr>
            <w:tcW w:w="5130" w:type="dxa"/>
            <w:tcBorders>
              <w:top w:val="single" w:sz="6" w:space="0" w:color="auto"/>
              <w:bottom w:val="double" w:sz="4" w:space="0" w:color="auto"/>
            </w:tcBorders>
            <w:shd w:val="clear" w:color="auto" w:fill="FFFFFF"/>
          </w:tcPr>
          <w:p w14:paraId="732B5691"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0A4F0A2" w14:textId="2A0BC800" w:rsidR="00F734C6" w:rsidRPr="00F734C6" w:rsidRDefault="007C7D91" w:rsidP="00E63937">
            <w:pPr>
              <w:jc w:val="center"/>
              <w:rPr>
                <w:rFonts w:ascii="Arial" w:hAnsi="Arial" w:cs="Arial"/>
                <w:b/>
                <w:sz w:val="22"/>
                <w:szCs w:val="22"/>
              </w:rPr>
            </w:pPr>
            <w:r w:rsidRPr="007C7D91">
              <w:rPr>
                <w:rFonts w:ascii="Arial" w:hAnsi="Arial" w:cs="Arial"/>
                <w:b/>
                <w:sz w:val="22"/>
                <w:szCs w:val="22"/>
              </w:rPr>
              <w:t>1.72</w:t>
            </w:r>
          </w:p>
        </w:tc>
      </w:tr>
    </w:tbl>
    <w:p w14:paraId="35BA726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CC4D395" w14:textId="77777777" w:rsidR="000F73C3" w:rsidRDefault="000F73C3" w:rsidP="00167B85">
      <w:pPr>
        <w:jc w:val="both"/>
        <w:rPr>
          <w:rFonts w:ascii="Arial" w:hAnsi="Arial" w:cs="Arial"/>
          <w:sz w:val="22"/>
          <w:szCs w:val="22"/>
        </w:rPr>
      </w:pPr>
    </w:p>
    <w:p w14:paraId="35F5CB0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179B0F8" w14:textId="77777777" w:rsidR="00AF4326" w:rsidRPr="00290754" w:rsidRDefault="00AF4326">
      <w:pPr>
        <w:rPr>
          <w:rFonts w:ascii="Arial" w:hAnsi="Arial" w:cs="Arial"/>
          <w:sz w:val="22"/>
          <w:szCs w:val="22"/>
        </w:rPr>
      </w:pPr>
    </w:p>
    <w:p w14:paraId="2486D823"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641E7979" w14:textId="77777777" w:rsidR="00AF4326" w:rsidRPr="005A6987" w:rsidRDefault="00AF4326" w:rsidP="00167B85">
      <w:pPr>
        <w:jc w:val="both"/>
        <w:rPr>
          <w:rFonts w:ascii="Arial" w:hAnsi="Arial" w:cs="Arial"/>
          <w:sz w:val="22"/>
          <w:szCs w:val="22"/>
        </w:rPr>
      </w:pPr>
    </w:p>
    <w:p w14:paraId="0027111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5C77C0A" w14:textId="77777777" w:rsidR="000F73C3" w:rsidRDefault="000F73C3" w:rsidP="000F73C3">
      <w:pPr>
        <w:jc w:val="both"/>
        <w:outlineLvl w:val="0"/>
        <w:rPr>
          <w:rFonts w:ascii="Arial" w:hAnsi="Arial" w:cs="Arial"/>
          <w:sz w:val="22"/>
          <w:szCs w:val="22"/>
        </w:rPr>
      </w:pPr>
    </w:p>
    <w:p w14:paraId="58AE655D" w14:textId="4935AF2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7C7D91" w:rsidRPr="007C7D91">
        <w:rPr>
          <w:rFonts w:ascii="Arial" w:hAnsi="Arial" w:cs="Arial"/>
          <w:sz w:val="22"/>
          <w:szCs w:val="22"/>
        </w:rPr>
        <w:t>Shiawassee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5737874" w14:textId="77777777" w:rsidR="005768C3" w:rsidRPr="00610D52" w:rsidRDefault="005768C3" w:rsidP="000F73C3">
      <w:pPr>
        <w:jc w:val="both"/>
        <w:rPr>
          <w:rFonts w:ascii="Arial" w:hAnsi="Arial" w:cs="Arial"/>
          <w:sz w:val="22"/>
          <w:szCs w:val="22"/>
        </w:rPr>
      </w:pPr>
    </w:p>
    <w:p w14:paraId="6D70868D" w14:textId="353BA0DF" w:rsidR="00CB43FA" w:rsidRPr="008A0FF1" w:rsidRDefault="000F73C3" w:rsidP="007D3B5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406CD">
        <w:rPr>
          <w:rFonts w:ascii="Arial" w:hAnsi="Arial" w:cs="Arial"/>
          <w:sz w:val="22"/>
          <w:szCs w:val="22"/>
        </w:rPr>
        <w:t xml:space="preserve"> t</w:t>
      </w:r>
      <w:r w:rsidRPr="00167B85">
        <w:rPr>
          <w:rFonts w:ascii="Arial" w:hAnsi="Arial" w:cs="Arial"/>
          <w:sz w:val="22"/>
          <w:szCs w:val="22"/>
        </w:rPr>
        <w:t xml:space="preserve">he potential to emit </w:t>
      </w:r>
      <w:bookmarkStart w:id="15" w:name="Pollutant_dropdown2"/>
      <w:r w:rsidR="00F734C6">
        <w:rPr>
          <w:rFonts w:ascii="Arial" w:hAnsi="Arial" w:cs="Arial"/>
          <w:sz w:val="22"/>
          <w:szCs w:val="22"/>
        </w:rPr>
        <w:t xml:space="preserve">of </w:t>
      </w:r>
      <w:bookmarkEnd w:id="15"/>
      <w:r w:rsidR="007C7D91" w:rsidRPr="007C7D91">
        <w:rPr>
          <w:rFonts w:ascii="Arial" w:hAnsi="Arial" w:cs="Arial"/>
          <w:sz w:val="22"/>
          <w:szCs w:val="22"/>
        </w:rPr>
        <w:t>sulfur dioxide</w:t>
      </w:r>
      <w:r w:rsidR="009406CD">
        <w:rPr>
          <w:rFonts w:ascii="Arial" w:hAnsi="Arial" w:cs="Arial"/>
          <w:sz w:val="22"/>
          <w:szCs w:val="22"/>
        </w:rPr>
        <w:t xml:space="preserve"> (SO</w:t>
      </w:r>
      <w:r w:rsidR="009406CD" w:rsidRPr="009406CD">
        <w:rPr>
          <w:rFonts w:ascii="Arial" w:hAnsi="Arial" w:cs="Arial"/>
          <w:sz w:val="22"/>
          <w:szCs w:val="22"/>
          <w:vertAlign w:val="subscript"/>
        </w:rPr>
        <w:t>2</w:t>
      </w:r>
      <w:r w:rsidR="009406CD">
        <w:rPr>
          <w:rFonts w:ascii="Arial" w:hAnsi="Arial" w:cs="Arial"/>
          <w:sz w:val="22"/>
          <w:szCs w:val="22"/>
        </w:rPr>
        <w:t>)</w:t>
      </w:r>
      <w:r w:rsidRPr="00167B85">
        <w:rPr>
          <w:rFonts w:ascii="Arial" w:hAnsi="Arial" w:cs="Arial"/>
          <w:sz w:val="22"/>
          <w:szCs w:val="22"/>
        </w:rPr>
        <w:t xml:space="preserve"> </w:t>
      </w:r>
      <w:r w:rsidR="00196B29">
        <w:rPr>
          <w:rFonts w:ascii="Arial" w:hAnsi="Arial" w:cs="Arial"/>
          <w:sz w:val="22"/>
          <w:szCs w:val="22"/>
        </w:rPr>
        <w:t xml:space="preserve">and Particulate Matter (PM)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7D3B50">
        <w:rPr>
          <w:rFonts w:ascii="Arial" w:hAnsi="Arial" w:cs="Arial"/>
          <w:sz w:val="22"/>
          <w:szCs w:val="22"/>
        </w:rPr>
        <w:t xml:space="preserve">. </w:t>
      </w:r>
    </w:p>
    <w:p w14:paraId="4D638337" w14:textId="77777777" w:rsidR="00CB43FA" w:rsidRPr="008A0FF1" w:rsidRDefault="00CB43FA" w:rsidP="000F73C3">
      <w:pPr>
        <w:jc w:val="both"/>
        <w:rPr>
          <w:rFonts w:ascii="Arial" w:hAnsi="Arial" w:cs="Arial"/>
          <w:sz w:val="22"/>
          <w:szCs w:val="22"/>
        </w:rPr>
      </w:pPr>
    </w:p>
    <w:p w14:paraId="7DADA0BB"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08FC1847" w14:textId="77777777" w:rsidR="001D7607" w:rsidRDefault="001D7607" w:rsidP="000F73C3">
      <w:pPr>
        <w:jc w:val="both"/>
        <w:rPr>
          <w:rFonts w:ascii="Arial" w:hAnsi="Arial" w:cs="Arial"/>
          <w:sz w:val="22"/>
          <w:szCs w:val="22"/>
        </w:rPr>
      </w:pPr>
    </w:p>
    <w:p w14:paraId="7CBB2F28" w14:textId="10CCFB29" w:rsidR="000F73C3" w:rsidRPr="002C52A0" w:rsidRDefault="002C52A0" w:rsidP="000F73C3">
      <w:pPr>
        <w:jc w:val="both"/>
        <w:rPr>
          <w:rFonts w:ascii="Arial" w:hAnsi="Arial" w:cs="Arial"/>
          <w:sz w:val="22"/>
          <w:szCs w:val="22"/>
        </w:rPr>
      </w:pPr>
      <w:r>
        <w:rPr>
          <w:rFonts w:ascii="Arial" w:hAnsi="Arial" w:cs="Arial"/>
          <w:sz w:val="22"/>
          <w:szCs w:val="22"/>
        </w:rPr>
        <w:t>FGKILNS</w:t>
      </w:r>
      <w:r w:rsidR="000F73C3">
        <w:rPr>
          <w:rFonts w:ascii="Arial" w:hAnsi="Arial" w:cs="Arial"/>
          <w:sz w:val="22"/>
          <w:szCs w:val="22"/>
        </w:rPr>
        <w:t xml:space="preserve"> at the stationary source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w:t>
      </w:r>
      <w:r>
        <w:rPr>
          <w:rFonts w:ascii="Arial" w:hAnsi="Arial" w:cs="Arial"/>
          <w:sz w:val="22"/>
          <w:szCs w:val="22"/>
        </w:rPr>
        <w:t xml:space="preserve">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B30263" w:rsidRPr="00B30263">
        <w:rPr>
          <w:rFonts w:ascii="Arial" w:hAnsi="Arial" w:cs="Arial"/>
          <w:sz w:val="22"/>
          <w:szCs w:val="22"/>
        </w:rPr>
        <w:t>sulfur dioxide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B30263" w:rsidRPr="00B30263">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w:t>
      </w:r>
      <w:r>
        <w:rPr>
          <w:rFonts w:ascii="Arial" w:hAnsi="Arial" w:cs="Arial"/>
          <w:color w:val="0000FF"/>
          <w:sz w:val="22"/>
          <w:szCs w:val="22"/>
        </w:rPr>
        <w:t xml:space="preserve"> </w:t>
      </w:r>
      <w:r w:rsidR="00B60C54">
        <w:rPr>
          <w:rFonts w:ascii="Arial" w:hAnsi="Arial" w:cs="Arial"/>
          <w:color w:val="0000FF"/>
          <w:sz w:val="22"/>
          <w:szCs w:val="22"/>
        </w:rPr>
        <w:t xml:space="preserve"> </w:t>
      </w:r>
      <w:r>
        <w:rPr>
          <w:rFonts w:ascii="Arial" w:hAnsi="Arial" w:cs="Arial"/>
          <w:sz w:val="22"/>
          <w:szCs w:val="22"/>
        </w:rPr>
        <w:t xml:space="preserve">As a result of PSD, the facility installed baghouse collectors with lime injection in 1994 to meet Best Available Control Technology (BACT) requirements. New Gore-tex brand bags used in the baghouse collectors have also reduced particulate matter emissions. </w:t>
      </w:r>
    </w:p>
    <w:p w14:paraId="340D1AA7" w14:textId="77777777" w:rsidR="005768C3" w:rsidRPr="00337750" w:rsidRDefault="005768C3" w:rsidP="000F73C3">
      <w:pPr>
        <w:jc w:val="both"/>
        <w:rPr>
          <w:rFonts w:ascii="Arial" w:hAnsi="Arial" w:cs="Arial"/>
          <w:sz w:val="22"/>
          <w:szCs w:val="22"/>
        </w:rPr>
      </w:pPr>
    </w:p>
    <w:p w14:paraId="18744EE4" w14:textId="6E180149" w:rsidR="000F73C3" w:rsidRDefault="00B45FCC" w:rsidP="000F73C3">
      <w:pPr>
        <w:jc w:val="both"/>
        <w:outlineLvl w:val="0"/>
        <w:rPr>
          <w:rFonts w:ascii="Arial" w:hAnsi="Arial" w:cs="Arial"/>
          <w:sz w:val="22"/>
          <w:szCs w:val="22"/>
        </w:rPr>
      </w:pPr>
      <w:r>
        <w:rPr>
          <w:rFonts w:ascii="Arial" w:hAnsi="Arial" w:cs="Arial"/>
          <w:sz w:val="22"/>
          <w:szCs w:val="22"/>
        </w:rPr>
        <w:t>EUCRUSHING, EUTRUCKTRAFFIC and EUSTORAGE</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Nonmetallic Mineral Processing Plants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OOO</w:t>
      </w:r>
      <w:r w:rsidR="000F73C3" w:rsidRPr="00290754">
        <w:rPr>
          <w:rFonts w:ascii="Arial" w:hAnsi="Arial" w:cs="Arial"/>
          <w:sz w:val="22"/>
          <w:szCs w:val="22"/>
        </w:rPr>
        <w:t>.</w:t>
      </w:r>
    </w:p>
    <w:p w14:paraId="3EDB343C" w14:textId="7A6FC78C" w:rsidR="00B45FCC" w:rsidRDefault="00B45FCC" w:rsidP="000F73C3">
      <w:pPr>
        <w:jc w:val="both"/>
        <w:outlineLvl w:val="0"/>
        <w:rPr>
          <w:rFonts w:ascii="Arial" w:hAnsi="Arial" w:cs="Arial"/>
          <w:sz w:val="22"/>
          <w:szCs w:val="22"/>
        </w:rPr>
      </w:pPr>
    </w:p>
    <w:p w14:paraId="5ED7C96C" w14:textId="61BBBCB3" w:rsidR="00981097" w:rsidRDefault="00981097" w:rsidP="00981097">
      <w:pPr>
        <w:jc w:val="both"/>
        <w:rPr>
          <w:rFonts w:ascii="Arial" w:hAnsi="Arial" w:cs="Arial"/>
          <w:sz w:val="22"/>
          <w:szCs w:val="22"/>
        </w:rPr>
      </w:pPr>
      <w:r w:rsidRPr="00C763F3">
        <w:rPr>
          <w:rFonts w:ascii="Arial" w:hAnsi="Arial" w:cs="Arial"/>
          <w:sz w:val="22"/>
          <w:szCs w:val="22"/>
        </w:rPr>
        <w:lastRenderedPageBreak/>
        <w:t>The owner/operator of</w:t>
      </w:r>
      <w:r>
        <w:rPr>
          <w:rFonts w:ascii="Arial" w:hAnsi="Arial" w:cs="Arial"/>
          <w:sz w:val="22"/>
          <w:szCs w:val="22"/>
        </w:rPr>
        <w:t xml:space="preserve"> Meridian Brick’s Michigan Plant</w:t>
      </w:r>
      <w:r w:rsidRPr="00621F23">
        <w:rPr>
          <w:rFonts w:ascii="Arial" w:hAnsi="Arial" w:cs="Arial"/>
          <w:sz w:val="22"/>
          <w:szCs w:val="22"/>
        </w:rPr>
        <w:t xml:space="preserve"> </w:t>
      </w:r>
      <w:r w:rsidRPr="00C75D4F">
        <w:rPr>
          <w:rFonts w:ascii="Arial" w:hAnsi="Arial" w:cs="Arial"/>
          <w:sz w:val="22"/>
          <w:szCs w:val="22"/>
        </w:rPr>
        <w:t xml:space="preserve">has requested removal of the provisions of </w:t>
      </w:r>
      <w:r w:rsidRPr="00793CBC">
        <w:rPr>
          <w:rFonts w:ascii="Arial" w:hAnsi="Arial" w:cs="Arial"/>
          <w:sz w:val="22"/>
          <w:szCs w:val="22"/>
        </w:rPr>
        <w:t>the</w:t>
      </w:r>
      <w:r w:rsidRPr="00290754">
        <w:rPr>
          <w:rFonts w:ascii="Arial" w:hAnsi="Arial" w:cs="Arial"/>
          <w:sz w:val="22"/>
          <w:szCs w:val="22"/>
        </w:rPr>
        <w:t xml:space="preserv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Brick and Structural Clay Products</w:t>
      </w:r>
      <w:r w:rsidRPr="00290754">
        <w:rPr>
          <w:rFonts w:ascii="Arial" w:hAnsi="Arial" w:cs="Arial"/>
          <w:sz w:val="22"/>
          <w:szCs w:val="22"/>
        </w:rPr>
        <w:t xml:space="preserve"> </w:t>
      </w:r>
      <w:r>
        <w:rPr>
          <w:rFonts w:ascii="Arial" w:hAnsi="Arial" w:cs="Arial"/>
          <w:sz w:val="22"/>
          <w:szCs w:val="22"/>
        </w:rPr>
        <w:t xml:space="preserve">Manufacturing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JJJJJ with this ROP renewal</w:t>
      </w:r>
      <w:r w:rsidRPr="00290754">
        <w:rPr>
          <w:rFonts w:ascii="Arial" w:hAnsi="Arial" w:cs="Arial"/>
          <w:sz w:val="22"/>
          <w:szCs w:val="22"/>
        </w:rPr>
        <w:t>.</w:t>
      </w:r>
      <w:r>
        <w:rPr>
          <w:rFonts w:ascii="Arial" w:hAnsi="Arial" w:cs="Arial"/>
          <w:sz w:val="22"/>
          <w:szCs w:val="22"/>
        </w:rPr>
        <w:t xml:space="preserve">  The stationary source accepted a legally enforceable permit condition limiting </w:t>
      </w:r>
      <w:r w:rsidRPr="00762A17">
        <w:rPr>
          <w:rFonts w:ascii="Arial" w:hAnsi="Arial" w:cs="Arial"/>
          <w:sz w:val="22"/>
          <w:szCs w:val="22"/>
        </w:rPr>
        <w:t>the potential to emit</w:t>
      </w:r>
      <w:r>
        <w:rPr>
          <w:rFonts w:ascii="Arial" w:hAnsi="Arial" w:cs="Arial"/>
          <w:sz w:val="22"/>
          <w:szCs w:val="22"/>
        </w:rPr>
        <w:t xml:space="preserve"> of HAPs to below major source thresholds.  </w:t>
      </w:r>
      <w:bookmarkStart w:id="16" w:name="_Hlk88658738"/>
      <w:r>
        <w:rPr>
          <w:rFonts w:ascii="Arial" w:hAnsi="Arial" w:cs="Arial"/>
          <w:sz w:val="22"/>
          <w:szCs w:val="22"/>
        </w:rPr>
        <w:t xml:space="preserve">The AQD </w:t>
      </w:r>
      <w:r w:rsidR="000D2DDD">
        <w:rPr>
          <w:rFonts w:ascii="Arial" w:hAnsi="Arial" w:cs="Arial"/>
          <w:sz w:val="22"/>
          <w:szCs w:val="22"/>
        </w:rPr>
        <w:t>has removed the provisions of 40 CFR Part 63, Subpart JJJJJ during this ROP renewal</w:t>
      </w:r>
      <w:r>
        <w:rPr>
          <w:rFonts w:ascii="Arial" w:hAnsi="Arial" w:cs="Arial"/>
          <w:sz w:val="22"/>
          <w:szCs w:val="22"/>
        </w:rPr>
        <w:t>.</w:t>
      </w:r>
      <w:bookmarkEnd w:id="16"/>
    </w:p>
    <w:p w14:paraId="4A0C8F07" w14:textId="77777777" w:rsidR="00981097" w:rsidRPr="00880972" w:rsidRDefault="00981097" w:rsidP="000F73C3">
      <w:pPr>
        <w:jc w:val="both"/>
        <w:rPr>
          <w:rFonts w:ascii="Arial" w:hAnsi="Arial" w:cs="Arial"/>
          <w:sz w:val="22"/>
          <w:szCs w:val="22"/>
        </w:rPr>
      </w:pPr>
    </w:p>
    <w:p w14:paraId="3857273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288FD2C" w14:textId="77777777" w:rsidR="000F73C3" w:rsidRDefault="000F73C3" w:rsidP="000F73C3">
      <w:pPr>
        <w:jc w:val="both"/>
        <w:rPr>
          <w:rFonts w:ascii="Arial" w:hAnsi="Arial" w:cs="Arial"/>
          <w:sz w:val="22"/>
          <w:szCs w:val="22"/>
        </w:rPr>
      </w:pPr>
    </w:p>
    <w:p w14:paraId="51EB78B5" w14:textId="62C174B5" w:rsidR="00D9587D" w:rsidRPr="0037164F" w:rsidRDefault="005D47A9" w:rsidP="00E17DAD">
      <w:pPr>
        <w:jc w:val="both"/>
        <w:rPr>
          <w:rFonts w:ascii="Arial" w:hAnsi="Arial" w:cs="Arial"/>
          <w:sz w:val="22"/>
          <w:szCs w:val="22"/>
        </w:rPr>
      </w:pPr>
      <w:bookmarkStart w:id="17" w:name="_Hlk89078913"/>
      <w:r>
        <w:rPr>
          <w:rFonts w:ascii="Arial" w:hAnsi="Arial" w:cs="Arial"/>
          <w:sz w:val="22"/>
          <w:szCs w:val="22"/>
        </w:rPr>
        <w:t>EUPUG-90 and FGPLANT1</w:t>
      </w:r>
      <w:r w:rsidR="00D9587D">
        <w:rPr>
          <w:rFonts w:ascii="Arial" w:hAnsi="Arial" w:cs="Arial"/>
          <w:sz w:val="22"/>
          <w:szCs w:val="22"/>
        </w:rPr>
        <w:t xml:space="preserve"> do not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w:t>
      </w:r>
      <w:r w:rsidR="000B2A4E">
        <w:rPr>
          <w:rFonts w:ascii="Arial" w:hAnsi="Arial" w:cs="Arial"/>
          <w:sz w:val="22"/>
          <w:szCs w:val="22"/>
        </w:rPr>
        <w:t xml:space="preserve">(CAM) </w:t>
      </w:r>
      <w:r w:rsidR="00D9587D">
        <w:rPr>
          <w:rFonts w:ascii="Arial" w:hAnsi="Arial" w:cs="Arial"/>
          <w:sz w:val="22"/>
          <w:szCs w:val="22"/>
        </w:rPr>
        <w:t xml:space="preserve">rule pursuant to 40 CFR Part 64, because the units do not have potential pre-control emissions over the major source thresholds. </w:t>
      </w:r>
      <w:r w:rsidR="0037164F">
        <w:rPr>
          <w:rFonts w:ascii="Arial" w:hAnsi="Arial" w:cs="Arial"/>
          <w:sz w:val="22"/>
          <w:szCs w:val="22"/>
        </w:rPr>
        <w:t xml:space="preserve"> </w:t>
      </w:r>
      <w:r>
        <w:rPr>
          <w:rFonts w:ascii="Arial" w:hAnsi="Arial" w:cs="Arial"/>
          <w:sz w:val="22"/>
          <w:szCs w:val="22"/>
        </w:rPr>
        <w:t>EUPUG-90 has PM emissions controlled by a baghouse.</w:t>
      </w:r>
      <w:r w:rsidR="0037164F">
        <w:rPr>
          <w:rFonts w:ascii="Arial" w:hAnsi="Arial" w:cs="Arial"/>
          <w:sz w:val="22"/>
          <w:szCs w:val="22"/>
        </w:rPr>
        <w:t xml:space="preserve"> </w:t>
      </w:r>
      <w:r>
        <w:rPr>
          <w:rFonts w:ascii="Arial" w:hAnsi="Arial" w:cs="Arial"/>
          <w:sz w:val="22"/>
          <w:szCs w:val="22"/>
        </w:rPr>
        <w:t xml:space="preserve"> </w:t>
      </w:r>
      <w:r w:rsidRPr="005D47A9">
        <w:rPr>
          <w:rFonts w:ascii="Arial" w:hAnsi="Arial" w:cs="Arial"/>
          <w:sz w:val="22"/>
          <w:szCs w:val="22"/>
        </w:rPr>
        <w:t>A stack test was performed in 1994 to determine the pre-control device emission rate to assess PTE, which was well below major source threshold of 100 TPY at 10.9 TPY.</w:t>
      </w:r>
      <w:r>
        <w:rPr>
          <w:rFonts w:ascii="Arial" w:hAnsi="Arial" w:cs="Arial"/>
          <w:sz w:val="22"/>
          <w:szCs w:val="22"/>
        </w:rPr>
        <w:t xml:space="preserve"> </w:t>
      </w:r>
      <w:r w:rsidR="0037164F">
        <w:rPr>
          <w:rFonts w:ascii="Arial" w:hAnsi="Arial" w:cs="Arial"/>
          <w:sz w:val="22"/>
          <w:szCs w:val="22"/>
        </w:rPr>
        <w:t xml:space="preserve"> </w:t>
      </w:r>
      <w:r>
        <w:rPr>
          <w:rFonts w:ascii="Arial" w:hAnsi="Arial" w:cs="Arial"/>
          <w:sz w:val="22"/>
          <w:szCs w:val="22"/>
        </w:rPr>
        <w:t xml:space="preserve">FGPLANT1 has PM emissions controlled by a dust collector. </w:t>
      </w:r>
      <w:r w:rsidR="0037164F">
        <w:rPr>
          <w:rFonts w:ascii="Arial" w:hAnsi="Arial" w:cs="Arial"/>
          <w:sz w:val="22"/>
          <w:szCs w:val="22"/>
        </w:rPr>
        <w:t xml:space="preserve"> </w:t>
      </w:r>
      <w:r w:rsidRPr="005D47A9">
        <w:rPr>
          <w:rFonts w:ascii="Arial" w:hAnsi="Arial" w:cs="Arial"/>
          <w:sz w:val="22"/>
          <w:szCs w:val="22"/>
        </w:rPr>
        <w:t xml:space="preserve">A stack test was performed in 1994 to determine the pre-control device emission rate to assess PTE, which was well below major source threshold of 100 TPY at </w:t>
      </w:r>
      <w:r>
        <w:rPr>
          <w:rFonts w:ascii="Arial" w:hAnsi="Arial" w:cs="Arial"/>
          <w:sz w:val="22"/>
          <w:szCs w:val="22"/>
        </w:rPr>
        <w:t>24</w:t>
      </w:r>
      <w:r w:rsidRPr="005D47A9">
        <w:rPr>
          <w:rFonts w:ascii="Arial" w:hAnsi="Arial" w:cs="Arial"/>
          <w:sz w:val="22"/>
          <w:szCs w:val="22"/>
        </w:rPr>
        <w:t xml:space="preserve"> TPY</w:t>
      </w:r>
      <w:r w:rsidRPr="0037164F">
        <w:rPr>
          <w:rFonts w:ascii="Arial" w:hAnsi="Arial" w:cs="Arial"/>
          <w:sz w:val="22"/>
          <w:szCs w:val="22"/>
        </w:rPr>
        <w:t xml:space="preserve">. </w:t>
      </w:r>
      <w:bookmarkEnd w:id="17"/>
    </w:p>
    <w:p w14:paraId="51828AEC" w14:textId="77777777" w:rsidR="00D9587D" w:rsidRDefault="00D9587D" w:rsidP="00D9587D">
      <w:pPr>
        <w:jc w:val="both"/>
        <w:rPr>
          <w:rFonts w:ascii="Arial" w:hAnsi="Arial" w:cs="Arial"/>
          <w:sz w:val="22"/>
          <w:szCs w:val="22"/>
        </w:rPr>
      </w:pPr>
    </w:p>
    <w:p w14:paraId="702D8861"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DD5D87E"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97"/>
        <w:gridCol w:w="1530"/>
        <w:gridCol w:w="1440"/>
        <w:gridCol w:w="2430"/>
        <w:gridCol w:w="1170"/>
        <w:gridCol w:w="990"/>
      </w:tblGrid>
      <w:tr w:rsidR="00D9587D" w14:paraId="2826CD8D" w14:textId="77777777" w:rsidTr="0037164F">
        <w:trPr>
          <w:tblHeader/>
        </w:trPr>
        <w:tc>
          <w:tcPr>
            <w:tcW w:w="1260" w:type="dxa"/>
            <w:shd w:val="clear" w:color="auto" w:fill="D9D9D9"/>
          </w:tcPr>
          <w:p w14:paraId="39E5E718" w14:textId="19C5F9A1" w:rsidR="00386EFD" w:rsidRPr="0037164F" w:rsidRDefault="00D9587D" w:rsidP="007F3C6F">
            <w:pPr>
              <w:rPr>
                <w:rFonts w:ascii="Arial" w:eastAsia="Calibri" w:hAnsi="Arial" w:cs="Arial"/>
                <w:b/>
              </w:rPr>
            </w:pPr>
            <w:r w:rsidRPr="0037164F">
              <w:rPr>
                <w:rFonts w:ascii="Arial" w:eastAsia="Calibri" w:hAnsi="Arial" w:cs="Arial"/>
                <w:b/>
              </w:rPr>
              <w:t>Emission Unit/</w:t>
            </w:r>
          </w:p>
          <w:p w14:paraId="2FDF18F0" w14:textId="6E1F17EE" w:rsidR="00D9587D" w:rsidRPr="0037164F" w:rsidRDefault="00D9587D" w:rsidP="007F3C6F">
            <w:pPr>
              <w:rPr>
                <w:rFonts w:ascii="Arial" w:eastAsia="Calibri" w:hAnsi="Arial" w:cs="Arial"/>
                <w:b/>
              </w:rPr>
            </w:pPr>
            <w:r w:rsidRPr="0037164F">
              <w:rPr>
                <w:rFonts w:ascii="Arial" w:eastAsia="Calibri" w:hAnsi="Arial" w:cs="Arial"/>
                <w:b/>
              </w:rPr>
              <w:t>Flexible group ID</w:t>
            </w:r>
          </w:p>
        </w:tc>
        <w:tc>
          <w:tcPr>
            <w:tcW w:w="1497" w:type="dxa"/>
            <w:shd w:val="clear" w:color="auto" w:fill="D9D9D9"/>
          </w:tcPr>
          <w:p w14:paraId="1CCC8DC0" w14:textId="77777777" w:rsidR="00D9587D" w:rsidRPr="0037164F" w:rsidRDefault="00D9587D" w:rsidP="007F3C6F">
            <w:pPr>
              <w:rPr>
                <w:rFonts w:ascii="Arial" w:eastAsia="Calibri" w:hAnsi="Arial" w:cs="Arial"/>
                <w:b/>
              </w:rPr>
            </w:pPr>
            <w:r w:rsidRPr="0037164F">
              <w:rPr>
                <w:rFonts w:ascii="Arial" w:eastAsia="Calibri" w:hAnsi="Arial" w:cs="Arial"/>
                <w:b/>
              </w:rPr>
              <w:t>Pollutant/ Emission Limit</w:t>
            </w:r>
          </w:p>
        </w:tc>
        <w:tc>
          <w:tcPr>
            <w:tcW w:w="1530" w:type="dxa"/>
            <w:shd w:val="clear" w:color="auto" w:fill="D9D9D9"/>
          </w:tcPr>
          <w:p w14:paraId="6E66BB11" w14:textId="77777777" w:rsidR="00D9587D" w:rsidRPr="0037164F" w:rsidRDefault="00D9587D" w:rsidP="007F3C6F">
            <w:pPr>
              <w:rPr>
                <w:rFonts w:ascii="Arial" w:eastAsia="Calibri" w:hAnsi="Arial" w:cs="Arial"/>
                <w:b/>
              </w:rPr>
            </w:pPr>
            <w:r w:rsidRPr="0037164F">
              <w:rPr>
                <w:rFonts w:ascii="Arial" w:eastAsia="Calibri" w:hAnsi="Arial" w:cs="Arial"/>
                <w:b/>
              </w:rPr>
              <w:t>UAR(s)</w:t>
            </w:r>
          </w:p>
        </w:tc>
        <w:tc>
          <w:tcPr>
            <w:tcW w:w="1440" w:type="dxa"/>
            <w:shd w:val="clear" w:color="auto" w:fill="D9D9D9"/>
          </w:tcPr>
          <w:p w14:paraId="76235D7B" w14:textId="77777777" w:rsidR="00D9587D" w:rsidRPr="0037164F" w:rsidRDefault="00D9587D" w:rsidP="007F3C6F">
            <w:pPr>
              <w:rPr>
                <w:rFonts w:ascii="Arial" w:eastAsia="Calibri" w:hAnsi="Arial" w:cs="Arial"/>
                <w:b/>
              </w:rPr>
            </w:pPr>
            <w:r w:rsidRPr="0037164F">
              <w:rPr>
                <w:rFonts w:ascii="Arial" w:eastAsia="Calibri" w:hAnsi="Arial" w:cs="Arial"/>
                <w:b/>
              </w:rPr>
              <w:t>Control Equipment</w:t>
            </w:r>
          </w:p>
        </w:tc>
        <w:tc>
          <w:tcPr>
            <w:tcW w:w="2430" w:type="dxa"/>
            <w:shd w:val="clear" w:color="auto" w:fill="D9D9D9"/>
          </w:tcPr>
          <w:p w14:paraId="45C61D83" w14:textId="77777777" w:rsidR="00D9587D" w:rsidRPr="0037164F" w:rsidRDefault="00D9587D" w:rsidP="007F3C6F">
            <w:pPr>
              <w:rPr>
                <w:rFonts w:ascii="Arial" w:eastAsia="Calibri" w:hAnsi="Arial" w:cs="Arial"/>
                <w:b/>
              </w:rPr>
            </w:pPr>
            <w:r w:rsidRPr="0037164F">
              <w:rPr>
                <w:rFonts w:ascii="Arial" w:eastAsia="Calibri" w:hAnsi="Arial" w:cs="Arial"/>
                <w:b/>
              </w:rPr>
              <w:t>Monitoring (Include Monitoring Range)</w:t>
            </w:r>
          </w:p>
        </w:tc>
        <w:tc>
          <w:tcPr>
            <w:tcW w:w="1170" w:type="dxa"/>
            <w:shd w:val="clear" w:color="auto" w:fill="D9D9D9"/>
          </w:tcPr>
          <w:p w14:paraId="5C66FEBC" w14:textId="65EAC435" w:rsidR="00D9587D" w:rsidRPr="0037164F" w:rsidRDefault="0009302A" w:rsidP="007F3C6F">
            <w:pPr>
              <w:rPr>
                <w:rFonts w:ascii="Arial" w:eastAsia="Calibri" w:hAnsi="Arial" w:cs="Arial"/>
                <w:b/>
              </w:rPr>
            </w:pPr>
            <w:r w:rsidRPr="0037164F">
              <w:rPr>
                <w:rFonts w:ascii="Arial" w:eastAsia="Calibri" w:hAnsi="Arial" w:cs="Arial"/>
                <w:b/>
              </w:rPr>
              <w:t>E</w:t>
            </w:r>
            <w:r w:rsidR="00D9587D" w:rsidRPr="0037164F">
              <w:rPr>
                <w:rFonts w:ascii="Arial" w:eastAsia="Calibri" w:hAnsi="Arial" w:cs="Arial"/>
                <w:b/>
              </w:rPr>
              <w:t>U/</w:t>
            </w:r>
            <w:r w:rsidRPr="0037164F">
              <w:rPr>
                <w:rFonts w:ascii="Arial" w:eastAsia="Calibri" w:hAnsi="Arial" w:cs="Arial"/>
                <w:b/>
              </w:rPr>
              <w:t>F</w:t>
            </w:r>
            <w:r w:rsidR="00D9587D" w:rsidRPr="0037164F">
              <w:rPr>
                <w:rFonts w:ascii="Arial" w:eastAsia="Calibri" w:hAnsi="Arial" w:cs="Arial"/>
                <w:b/>
              </w:rPr>
              <w:t>G for CAM</w:t>
            </w:r>
          </w:p>
        </w:tc>
        <w:tc>
          <w:tcPr>
            <w:tcW w:w="990" w:type="dxa"/>
            <w:shd w:val="clear" w:color="auto" w:fill="D9D9D9"/>
          </w:tcPr>
          <w:p w14:paraId="76474B75" w14:textId="77777777" w:rsidR="00D9587D" w:rsidRPr="0037164F" w:rsidRDefault="00C82F1E" w:rsidP="007F3C6F">
            <w:pPr>
              <w:rPr>
                <w:rFonts w:ascii="Arial" w:eastAsia="Calibri" w:hAnsi="Arial" w:cs="Arial"/>
                <w:b/>
              </w:rPr>
            </w:pPr>
            <w:r w:rsidRPr="0037164F">
              <w:rPr>
                <w:rFonts w:ascii="Arial" w:eastAsia="Calibri" w:hAnsi="Arial" w:cs="Arial"/>
                <w:b/>
              </w:rPr>
              <w:t>PAM? *</w:t>
            </w:r>
          </w:p>
        </w:tc>
      </w:tr>
      <w:tr w:rsidR="00D9587D" w14:paraId="7DD266D0" w14:textId="77777777" w:rsidTr="0037164F">
        <w:tc>
          <w:tcPr>
            <w:tcW w:w="1260" w:type="dxa"/>
            <w:shd w:val="clear" w:color="auto" w:fill="auto"/>
          </w:tcPr>
          <w:p w14:paraId="73A87269" w14:textId="79BC6512" w:rsidR="00D9587D" w:rsidRPr="0037164F" w:rsidRDefault="00E17DAD" w:rsidP="007F3C6F">
            <w:pPr>
              <w:rPr>
                <w:rFonts w:ascii="Arial" w:eastAsia="Calibri" w:hAnsi="Arial" w:cs="Arial"/>
              </w:rPr>
            </w:pPr>
            <w:r w:rsidRPr="0037164F">
              <w:rPr>
                <w:rFonts w:ascii="Arial" w:eastAsia="Calibri" w:hAnsi="Arial" w:cs="Arial"/>
              </w:rPr>
              <w:t>FGKILNS</w:t>
            </w:r>
          </w:p>
        </w:tc>
        <w:tc>
          <w:tcPr>
            <w:tcW w:w="1497" w:type="dxa"/>
            <w:shd w:val="clear" w:color="auto" w:fill="auto"/>
          </w:tcPr>
          <w:p w14:paraId="203A1E55" w14:textId="3C210F41" w:rsidR="00D9587D" w:rsidRPr="0037164F" w:rsidRDefault="00E17DAD" w:rsidP="007F3C6F">
            <w:pPr>
              <w:rPr>
                <w:rFonts w:ascii="Arial" w:eastAsia="Calibri" w:hAnsi="Arial" w:cs="Arial"/>
              </w:rPr>
            </w:pPr>
            <w:r w:rsidRPr="0037164F">
              <w:rPr>
                <w:rFonts w:ascii="Arial" w:eastAsia="Calibri" w:hAnsi="Arial" w:cs="Arial"/>
              </w:rPr>
              <w:t>SO</w:t>
            </w:r>
            <w:r w:rsidRPr="0037164F">
              <w:rPr>
                <w:rFonts w:ascii="Arial" w:eastAsia="Calibri" w:hAnsi="Arial" w:cs="Arial"/>
                <w:vertAlign w:val="subscript"/>
              </w:rPr>
              <w:t>2</w:t>
            </w:r>
            <w:r w:rsidRPr="0037164F">
              <w:rPr>
                <w:rFonts w:ascii="Arial" w:eastAsia="Calibri" w:hAnsi="Arial" w:cs="Arial"/>
              </w:rPr>
              <w:t>/ 241 lbs. per hour (both kilns combined)</w:t>
            </w:r>
          </w:p>
        </w:tc>
        <w:tc>
          <w:tcPr>
            <w:tcW w:w="1530" w:type="dxa"/>
            <w:shd w:val="clear" w:color="auto" w:fill="auto"/>
          </w:tcPr>
          <w:p w14:paraId="70AA63D7" w14:textId="5E47D7F9" w:rsidR="00D9587D" w:rsidRPr="0037164F" w:rsidRDefault="00E17DAD" w:rsidP="007F3C6F">
            <w:pPr>
              <w:rPr>
                <w:rFonts w:ascii="Arial" w:eastAsia="Calibri" w:hAnsi="Arial" w:cs="Arial"/>
              </w:rPr>
            </w:pPr>
            <w:r w:rsidRPr="0037164F">
              <w:rPr>
                <w:rFonts w:ascii="Arial" w:eastAsia="Calibri" w:hAnsi="Arial" w:cs="Arial"/>
              </w:rPr>
              <w:t>40 CFR 52.21</w:t>
            </w:r>
          </w:p>
        </w:tc>
        <w:tc>
          <w:tcPr>
            <w:tcW w:w="1440" w:type="dxa"/>
            <w:shd w:val="clear" w:color="auto" w:fill="auto"/>
          </w:tcPr>
          <w:p w14:paraId="53C51B73" w14:textId="6685CC7B" w:rsidR="00D9587D" w:rsidRPr="0037164F" w:rsidRDefault="0009302A" w:rsidP="007F3C6F">
            <w:pPr>
              <w:rPr>
                <w:rFonts w:ascii="Arial" w:eastAsia="Calibri" w:hAnsi="Arial" w:cs="Arial"/>
              </w:rPr>
            </w:pPr>
            <w:r w:rsidRPr="0037164F">
              <w:rPr>
                <w:rFonts w:ascii="Arial" w:eastAsia="Calibri" w:hAnsi="Arial" w:cs="Arial"/>
              </w:rPr>
              <w:t>Baghouse</w:t>
            </w:r>
            <w:r w:rsidR="006841A1" w:rsidRPr="0037164F">
              <w:rPr>
                <w:rFonts w:ascii="Arial" w:eastAsia="Calibri" w:hAnsi="Arial" w:cs="Arial"/>
              </w:rPr>
              <w:t xml:space="preserve"> and dry lime injection</w:t>
            </w:r>
          </w:p>
        </w:tc>
        <w:tc>
          <w:tcPr>
            <w:tcW w:w="2430" w:type="dxa"/>
            <w:shd w:val="clear" w:color="auto" w:fill="auto"/>
          </w:tcPr>
          <w:p w14:paraId="2925A15F" w14:textId="2A2E4874" w:rsidR="00D9587D" w:rsidRPr="0037164F" w:rsidRDefault="0009302A" w:rsidP="0009302A">
            <w:pPr>
              <w:pStyle w:val="ListParagraph"/>
              <w:numPr>
                <w:ilvl w:val="0"/>
                <w:numId w:val="13"/>
              </w:numPr>
              <w:ind w:left="162" w:hanging="180"/>
              <w:rPr>
                <w:rFonts w:ascii="Arial" w:eastAsia="Calibri" w:hAnsi="Arial" w:cs="Arial"/>
              </w:rPr>
            </w:pPr>
            <w:r w:rsidRPr="0037164F">
              <w:rPr>
                <w:rFonts w:ascii="Arial" w:eastAsia="Calibri" w:hAnsi="Arial" w:cs="Arial"/>
              </w:rPr>
              <w:t>Baghouse pressure drop: 2-6” H</w:t>
            </w:r>
            <w:r w:rsidRPr="0037164F">
              <w:rPr>
                <w:rFonts w:ascii="Arial" w:eastAsia="Calibri" w:hAnsi="Arial" w:cs="Arial"/>
                <w:vertAlign w:val="subscript"/>
              </w:rPr>
              <w:t>2</w:t>
            </w:r>
            <w:r w:rsidRPr="0037164F">
              <w:rPr>
                <w:rFonts w:ascii="Arial" w:eastAsia="Calibri" w:hAnsi="Arial" w:cs="Arial"/>
              </w:rPr>
              <w:t>O</w:t>
            </w:r>
          </w:p>
          <w:p w14:paraId="21010029" w14:textId="2AB5479A" w:rsidR="0009302A" w:rsidRPr="0037164F" w:rsidRDefault="0009302A" w:rsidP="0009302A">
            <w:pPr>
              <w:pStyle w:val="ListParagraph"/>
              <w:numPr>
                <w:ilvl w:val="0"/>
                <w:numId w:val="13"/>
              </w:numPr>
              <w:ind w:left="162" w:hanging="162"/>
              <w:rPr>
                <w:rFonts w:ascii="Arial" w:eastAsia="Calibri" w:hAnsi="Arial" w:cs="Arial"/>
              </w:rPr>
            </w:pPr>
            <w:r w:rsidRPr="0037164F">
              <w:rPr>
                <w:rFonts w:ascii="Arial" w:eastAsia="Calibri" w:hAnsi="Arial" w:cs="Arial"/>
              </w:rPr>
              <w:t>Baghouse temp. maintained 15°F below bag degradation temperature (&lt;485°F)</w:t>
            </w:r>
          </w:p>
          <w:p w14:paraId="4BBAFDCB" w14:textId="57EEA59B" w:rsidR="0009302A" w:rsidRPr="0037164F" w:rsidRDefault="005A3642" w:rsidP="005A3642">
            <w:pPr>
              <w:pStyle w:val="ListParagraph"/>
              <w:numPr>
                <w:ilvl w:val="0"/>
                <w:numId w:val="13"/>
              </w:numPr>
              <w:ind w:left="162" w:hanging="162"/>
              <w:rPr>
                <w:rFonts w:ascii="Arial" w:eastAsia="Calibri" w:hAnsi="Arial" w:cs="Arial"/>
              </w:rPr>
            </w:pPr>
            <w:r w:rsidRPr="0037164F">
              <w:rPr>
                <w:rFonts w:ascii="Arial" w:hAnsi="Arial" w:cs="Arial"/>
              </w:rPr>
              <w:t>lb/hr lime feed rate determined by collecting lime from the feed every 2 hours. Lime is collected for 30 seconds, weighed, and the data extrapolated to get a lb/hr rate. The appropriate lime feed rate for controlling SO</w:t>
            </w:r>
            <w:r w:rsidRPr="0037164F">
              <w:rPr>
                <w:rFonts w:ascii="Arial" w:hAnsi="Arial" w:cs="Arial"/>
                <w:vertAlign w:val="subscript"/>
              </w:rPr>
              <w:t>2</w:t>
            </w:r>
            <w:r w:rsidRPr="0037164F">
              <w:rPr>
                <w:rFonts w:ascii="Arial" w:hAnsi="Arial" w:cs="Arial"/>
              </w:rPr>
              <w:t xml:space="preserve"> emissions is determined based on brick sulfur content, as described in Appendix 7 of the ROP</w:t>
            </w:r>
          </w:p>
        </w:tc>
        <w:tc>
          <w:tcPr>
            <w:tcW w:w="1170" w:type="dxa"/>
          </w:tcPr>
          <w:p w14:paraId="5FA7279D" w14:textId="488BF254" w:rsidR="00D9587D" w:rsidRPr="0037164F" w:rsidRDefault="006841A1" w:rsidP="007F3C6F">
            <w:pPr>
              <w:rPr>
                <w:rFonts w:ascii="Arial" w:eastAsia="Calibri" w:hAnsi="Arial" w:cs="Arial"/>
              </w:rPr>
            </w:pPr>
            <w:r w:rsidRPr="0037164F">
              <w:rPr>
                <w:rFonts w:ascii="Arial" w:eastAsia="Calibri" w:hAnsi="Arial" w:cs="Arial"/>
              </w:rPr>
              <w:t>FGKILNS</w:t>
            </w:r>
          </w:p>
        </w:tc>
        <w:tc>
          <w:tcPr>
            <w:tcW w:w="990" w:type="dxa"/>
            <w:shd w:val="clear" w:color="auto" w:fill="auto"/>
          </w:tcPr>
          <w:p w14:paraId="2AA7AE31" w14:textId="3DC2A2A6" w:rsidR="00D9587D" w:rsidRPr="0037164F" w:rsidRDefault="000B2A4E" w:rsidP="007F3C6F">
            <w:pPr>
              <w:rPr>
                <w:rFonts w:ascii="Arial" w:eastAsia="Calibri" w:hAnsi="Arial" w:cs="Arial"/>
              </w:rPr>
            </w:pPr>
            <w:r w:rsidRPr="0037164F">
              <w:rPr>
                <w:rFonts w:ascii="Arial" w:eastAsia="Calibri" w:hAnsi="Arial" w:cs="Arial"/>
              </w:rPr>
              <w:t>No</w:t>
            </w:r>
          </w:p>
        </w:tc>
      </w:tr>
      <w:tr w:rsidR="00D9587D" w14:paraId="69EB32F1" w14:textId="77777777" w:rsidTr="002B2C2C">
        <w:tc>
          <w:tcPr>
            <w:tcW w:w="1260" w:type="dxa"/>
            <w:tcBorders>
              <w:bottom w:val="single" w:sz="4" w:space="0" w:color="auto"/>
            </w:tcBorders>
            <w:shd w:val="clear" w:color="auto" w:fill="auto"/>
          </w:tcPr>
          <w:p w14:paraId="0BBF31AD" w14:textId="68FA01CC" w:rsidR="00D9587D" w:rsidRPr="0037164F" w:rsidRDefault="006841A1" w:rsidP="007F3C6F">
            <w:pPr>
              <w:rPr>
                <w:rFonts w:ascii="Arial" w:eastAsia="Calibri" w:hAnsi="Arial" w:cs="Arial"/>
              </w:rPr>
            </w:pPr>
            <w:r w:rsidRPr="0037164F">
              <w:rPr>
                <w:rFonts w:ascii="Arial" w:eastAsia="Calibri" w:hAnsi="Arial" w:cs="Arial"/>
              </w:rPr>
              <w:t>FGKILNS</w:t>
            </w:r>
          </w:p>
        </w:tc>
        <w:tc>
          <w:tcPr>
            <w:tcW w:w="1497" w:type="dxa"/>
            <w:tcBorders>
              <w:bottom w:val="single" w:sz="4" w:space="0" w:color="auto"/>
            </w:tcBorders>
            <w:shd w:val="clear" w:color="auto" w:fill="auto"/>
          </w:tcPr>
          <w:p w14:paraId="40E173EB" w14:textId="53250D91" w:rsidR="00D9587D" w:rsidRPr="0037164F" w:rsidRDefault="006841A1" w:rsidP="007F3C6F">
            <w:pPr>
              <w:rPr>
                <w:rFonts w:ascii="Arial" w:eastAsia="Calibri" w:hAnsi="Arial" w:cs="Arial"/>
              </w:rPr>
            </w:pPr>
            <w:r w:rsidRPr="0037164F">
              <w:rPr>
                <w:rFonts w:ascii="Arial" w:eastAsia="Calibri" w:hAnsi="Arial" w:cs="Arial"/>
              </w:rPr>
              <w:t>SO</w:t>
            </w:r>
            <w:r w:rsidRPr="0037164F">
              <w:rPr>
                <w:rFonts w:ascii="Arial" w:eastAsia="Calibri" w:hAnsi="Arial" w:cs="Arial"/>
                <w:vertAlign w:val="subscript"/>
              </w:rPr>
              <w:t>2</w:t>
            </w:r>
            <w:r w:rsidRPr="0037164F">
              <w:rPr>
                <w:rFonts w:ascii="Arial" w:eastAsia="Calibri" w:hAnsi="Arial" w:cs="Arial"/>
              </w:rPr>
              <w:t>/ 650 tons per calendar year (both kilns combined)</w:t>
            </w:r>
          </w:p>
        </w:tc>
        <w:tc>
          <w:tcPr>
            <w:tcW w:w="1530" w:type="dxa"/>
            <w:tcBorders>
              <w:bottom w:val="single" w:sz="4" w:space="0" w:color="auto"/>
            </w:tcBorders>
            <w:shd w:val="clear" w:color="auto" w:fill="auto"/>
          </w:tcPr>
          <w:p w14:paraId="2428CF72" w14:textId="1061CEC0" w:rsidR="00D9587D" w:rsidRPr="0037164F" w:rsidRDefault="006841A1" w:rsidP="007F3C6F">
            <w:pPr>
              <w:rPr>
                <w:rFonts w:ascii="Arial" w:eastAsia="Calibri" w:hAnsi="Arial" w:cs="Arial"/>
              </w:rPr>
            </w:pPr>
            <w:r w:rsidRPr="0037164F">
              <w:rPr>
                <w:rFonts w:ascii="Arial" w:eastAsia="Calibri" w:hAnsi="Arial" w:cs="Arial"/>
              </w:rPr>
              <w:t>40 CFR 52.21</w:t>
            </w:r>
          </w:p>
        </w:tc>
        <w:tc>
          <w:tcPr>
            <w:tcW w:w="1440" w:type="dxa"/>
            <w:tcBorders>
              <w:bottom w:val="single" w:sz="4" w:space="0" w:color="auto"/>
            </w:tcBorders>
            <w:shd w:val="clear" w:color="auto" w:fill="auto"/>
          </w:tcPr>
          <w:p w14:paraId="4CAB106B" w14:textId="37F17DDE" w:rsidR="00D9587D" w:rsidRPr="0037164F" w:rsidRDefault="0009302A" w:rsidP="007F3C6F">
            <w:pPr>
              <w:rPr>
                <w:rFonts w:ascii="Arial" w:eastAsia="Calibri" w:hAnsi="Arial" w:cs="Arial"/>
              </w:rPr>
            </w:pPr>
            <w:r w:rsidRPr="0037164F">
              <w:rPr>
                <w:rFonts w:ascii="Arial" w:eastAsia="Calibri" w:hAnsi="Arial" w:cs="Arial"/>
              </w:rPr>
              <w:t>Baghouse and dry lime injection</w:t>
            </w:r>
          </w:p>
        </w:tc>
        <w:tc>
          <w:tcPr>
            <w:tcW w:w="2430" w:type="dxa"/>
            <w:tcBorders>
              <w:bottom w:val="single" w:sz="4" w:space="0" w:color="auto"/>
            </w:tcBorders>
            <w:shd w:val="clear" w:color="auto" w:fill="auto"/>
          </w:tcPr>
          <w:p w14:paraId="5B73F2F3" w14:textId="77777777" w:rsidR="00951001" w:rsidRPr="0037164F" w:rsidRDefault="00951001" w:rsidP="00951001">
            <w:pPr>
              <w:pStyle w:val="ListParagraph"/>
              <w:numPr>
                <w:ilvl w:val="0"/>
                <w:numId w:val="13"/>
              </w:numPr>
              <w:ind w:left="162" w:hanging="180"/>
              <w:rPr>
                <w:rFonts w:ascii="Arial" w:eastAsia="Calibri" w:hAnsi="Arial" w:cs="Arial"/>
              </w:rPr>
            </w:pPr>
            <w:r w:rsidRPr="0037164F">
              <w:rPr>
                <w:rFonts w:ascii="Arial" w:eastAsia="Calibri" w:hAnsi="Arial" w:cs="Arial"/>
              </w:rPr>
              <w:t>Baghouse pressure drop: 2-6” H</w:t>
            </w:r>
            <w:r w:rsidRPr="0037164F">
              <w:rPr>
                <w:rFonts w:ascii="Arial" w:eastAsia="Calibri" w:hAnsi="Arial" w:cs="Arial"/>
                <w:vertAlign w:val="subscript"/>
              </w:rPr>
              <w:t>2</w:t>
            </w:r>
            <w:r w:rsidRPr="0037164F">
              <w:rPr>
                <w:rFonts w:ascii="Arial" w:eastAsia="Calibri" w:hAnsi="Arial" w:cs="Arial"/>
              </w:rPr>
              <w:t>O</w:t>
            </w:r>
          </w:p>
          <w:p w14:paraId="0A3C3936" w14:textId="0C382040" w:rsidR="00951001" w:rsidRPr="0037164F" w:rsidRDefault="00951001" w:rsidP="00951001">
            <w:pPr>
              <w:pStyle w:val="ListParagraph"/>
              <w:numPr>
                <w:ilvl w:val="0"/>
                <w:numId w:val="13"/>
              </w:numPr>
              <w:ind w:left="162" w:hanging="162"/>
              <w:rPr>
                <w:rFonts w:ascii="Arial" w:eastAsia="Calibri" w:hAnsi="Arial" w:cs="Arial"/>
              </w:rPr>
            </w:pPr>
            <w:r w:rsidRPr="0037164F">
              <w:rPr>
                <w:rFonts w:ascii="Arial" w:eastAsia="Calibri" w:hAnsi="Arial" w:cs="Arial"/>
              </w:rPr>
              <w:t>Baghouse temp. maintained 15°F below bag degradation temperature (&lt;485°F)</w:t>
            </w:r>
          </w:p>
          <w:p w14:paraId="59A1C810" w14:textId="5EE8FA5F" w:rsidR="00D9587D" w:rsidRPr="0037164F" w:rsidRDefault="005A3642" w:rsidP="00951001">
            <w:pPr>
              <w:pStyle w:val="ListParagraph"/>
              <w:numPr>
                <w:ilvl w:val="0"/>
                <w:numId w:val="13"/>
              </w:numPr>
              <w:ind w:left="162" w:hanging="162"/>
              <w:rPr>
                <w:rFonts w:ascii="Arial" w:eastAsia="Calibri" w:hAnsi="Arial" w:cs="Arial"/>
              </w:rPr>
            </w:pPr>
            <w:r w:rsidRPr="0037164F">
              <w:rPr>
                <w:rFonts w:ascii="Arial" w:hAnsi="Arial" w:cs="Arial"/>
              </w:rPr>
              <w:t xml:space="preserve">lb/hr lime feed rate determined by collecting lime from the feed every 2 hours. Lime is collected for 30 </w:t>
            </w:r>
            <w:r w:rsidRPr="0037164F">
              <w:rPr>
                <w:rFonts w:ascii="Arial" w:hAnsi="Arial" w:cs="Arial"/>
              </w:rPr>
              <w:lastRenderedPageBreak/>
              <w:t>seconds, weighed, and the data extrapolated to get a lb/hr rate. The appropriate lime feed rate for controlling SO</w:t>
            </w:r>
            <w:r w:rsidRPr="0037164F">
              <w:rPr>
                <w:rFonts w:ascii="Arial" w:hAnsi="Arial" w:cs="Arial"/>
                <w:vertAlign w:val="subscript"/>
              </w:rPr>
              <w:t>2</w:t>
            </w:r>
            <w:r w:rsidRPr="0037164F">
              <w:rPr>
                <w:rFonts w:ascii="Arial" w:hAnsi="Arial" w:cs="Arial"/>
              </w:rPr>
              <w:t xml:space="preserve"> emissions is determined based on brick sulfur content, as described in Appendix 7 of the ROP</w:t>
            </w:r>
          </w:p>
        </w:tc>
        <w:tc>
          <w:tcPr>
            <w:tcW w:w="1170" w:type="dxa"/>
            <w:tcBorders>
              <w:bottom w:val="single" w:sz="4" w:space="0" w:color="auto"/>
            </w:tcBorders>
          </w:tcPr>
          <w:p w14:paraId="2E84FCEF" w14:textId="11214032" w:rsidR="00D9587D" w:rsidRPr="0037164F" w:rsidRDefault="006841A1" w:rsidP="007F3C6F">
            <w:pPr>
              <w:rPr>
                <w:rFonts w:ascii="Arial" w:eastAsia="Calibri" w:hAnsi="Arial" w:cs="Arial"/>
              </w:rPr>
            </w:pPr>
            <w:r w:rsidRPr="0037164F">
              <w:rPr>
                <w:rFonts w:ascii="Arial" w:eastAsia="Calibri" w:hAnsi="Arial" w:cs="Arial"/>
              </w:rPr>
              <w:lastRenderedPageBreak/>
              <w:t>FGKILNS</w:t>
            </w:r>
          </w:p>
        </w:tc>
        <w:tc>
          <w:tcPr>
            <w:tcW w:w="990" w:type="dxa"/>
            <w:tcBorders>
              <w:bottom w:val="single" w:sz="4" w:space="0" w:color="auto"/>
            </w:tcBorders>
            <w:shd w:val="clear" w:color="auto" w:fill="auto"/>
          </w:tcPr>
          <w:p w14:paraId="3EE81E9D" w14:textId="04115E91" w:rsidR="00D9587D" w:rsidRPr="0037164F" w:rsidRDefault="000B2A4E" w:rsidP="007F3C6F">
            <w:pPr>
              <w:rPr>
                <w:rFonts w:ascii="Arial" w:eastAsia="Calibri" w:hAnsi="Arial" w:cs="Arial"/>
              </w:rPr>
            </w:pPr>
            <w:r w:rsidRPr="0037164F">
              <w:rPr>
                <w:rFonts w:ascii="Arial" w:eastAsia="Calibri" w:hAnsi="Arial" w:cs="Arial"/>
              </w:rPr>
              <w:t>No</w:t>
            </w:r>
          </w:p>
        </w:tc>
      </w:tr>
      <w:tr w:rsidR="00D9587D" w14:paraId="4A8ED3FC" w14:textId="77777777" w:rsidTr="002B2C2C">
        <w:tc>
          <w:tcPr>
            <w:tcW w:w="1260" w:type="dxa"/>
            <w:tcBorders>
              <w:top w:val="single" w:sz="4" w:space="0" w:color="auto"/>
              <w:bottom w:val="double" w:sz="4" w:space="0" w:color="auto"/>
            </w:tcBorders>
            <w:shd w:val="clear" w:color="auto" w:fill="auto"/>
          </w:tcPr>
          <w:p w14:paraId="7F0E3372" w14:textId="24C3D3DE" w:rsidR="00D9587D" w:rsidRPr="0037164F" w:rsidRDefault="006841A1" w:rsidP="007F3C6F">
            <w:pPr>
              <w:rPr>
                <w:rFonts w:ascii="Arial" w:eastAsia="Calibri" w:hAnsi="Arial" w:cs="Arial"/>
              </w:rPr>
            </w:pPr>
            <w:r w:rsidRPr="0037164F">
              <w:rPr>
                <w:rFonts w:ascii="Arial" w:eastAsia="Calibri" w:hAnsi="Arial" w:cs="Arial"/>
              </w:rPr>
              <w:t>FGKILNS</w:t>
            </w:r>
          </w:p>
        </w:tc>
        <w:tc>
          <w:tcPr>
            <w:tcW w:w="1497" w:type="dxa"/>
            <w:tcBorders>
              <w:top w:val="single" w:sz="4" w:space="0" w:color="auto"/>
              <w:bottom w:val="double" w:sz="4" w:space="0" w:color="auto"/>
            </w:tcBorders>
            <w:shd w:val="clear" w:color="auto" w:fill="auto"/>
          </w:tcPr>
          <w:p w14:paraId="5ED88BD5" w14:textId="0AA3594B" w:rsidR="00D9587D" w:rsidRPr="0037164F" w:rsidRDefault="006841A1" w:rsidP="007F3C6F">
            <w:pPr>
              <w:rPr>
                <w:rFonts w:ascii="Arial" w:eastAsia="Calibri" w:hAnsi="Arial" w:cs="Arial"/>
              </w:rPr>
            </w:pPr>
            <w:r w:rsidRPr="0037164F">
              <w:rPr>
                <w:rFonts w:ascii="Arial" w:eastAsia="Calibri" w:hAnsi="Arial" w:cs="Arial"/>
              </w:rPr>
              <w:t xml:space="preserve">PM/ 0.10 lbs. per 1,000 lbs. exhaust gases (each kiln) </w:t>
            </w:r>
          </w:p>
        </w:tc>
        <w:tc>
          <w:tcPr>
            <w:tcW w:w="1530" w:type="dxa"/>
            <w:tcBorders>
              <w:top w:val="single" w:sz="4" w:space="0" w:color="auto"/>
              <w:bottom w:val="double" w:sz="4" w:space="0" w:color="auto"/>
            </w:tcBorders>
            <w:shd w:val="clear" w:color="auto" w:fill="auto"/>
          </w:tcPr>
          <w:p w14:paraId="3479481D" w14:textId="5E780BDE" w:rsidR="006841A1" w:rsidRPr="0037164F" w:rsidRDefault="006841A1" w:rsidP="007F3C6F">
            <w:pPr>
              <w:rPr>
                <w:rFonts w:ascii="Arial" w:eastAsia="Calibri" w:hAnsi="Arial" w:cs="Arial"/>
              </w:rPr>
            </w:pPr>
            <w:r w:rsidRPr="0037164F">
              <w:rPr>
                <w:rFonts w:ascii="Arial" w:eastAsia="Calibri" w:hAnsi="Arial" w:cs="Arial"/>
              </w:rPr>
              <w:t>R</w:t>
            </w:r>
            <w:r w:rsidR="002B2C2C">
              <w:rPr>
                <w:rFonts w:ascii="Arial" w:eastAsia="Calibri" w:hAnsi="Arial" w:cs="Arial"/>
              </w:rPr>
              <w:t> </w:t>
            </w:r>
            <w:r w:rsidRPr="0037164F">
              <w:rPr>
                <w:rFonts w:ascii="Arial" w:eastAsia="Calibri" w:hAnsi="Arial" w:cs="Arial"/>
              </w:rPr>
              <w:t>336.1331(1)(c)</w:t>
            </w:r>
          </w:p>
        </w:tc>
        <w:tc>
          <w:tcPr>
            <w:tcW w:w="1440" w:type="dxa"/>
            <w:tcBorders>
              <w:top w:val="single" w:sz="4" w:space="0" w:color="auto"/>
              <w:bottom w:val="double" w:sz="4" w:space="0" w:color="auto"/>
            </w:tcBorders>
            <w:shd w:val="clear" w:color="auto" w:fill="auto"/>
          </w:tcPr>
          <w:p w14:paraId="2BD0634B" w14:textId="7F688EC2" w:rsidR="00D9587D" w:rsidRPr="0037164F" w:rsidRDefault="0009302A" w:rsidP="007F3C6F">
            <w:pPr>
              <w:rPr>
                <w:rFonts w:ascii="Arial" w:eastAsia="Calibri" w:hAnsi="Arial" w:cs="Arial"/>
              </w:rPr>
            </w:pPr>
            <w:r w:rsidRPr="0037164F">
              <w:rPr>
                <w:rFonts w:ascii="Arial" w:eastAsia="Calibri" w:hAnsi="Arial" w:cs="Arial"/>
              </w:rPr>
              <w:t xml:space="preserve">Baghouse </w:t>
            </w:r>
          </w:p>
        </w:tc>
        <w:tc>
          <w:tcPr>
            <w:tcW w:w="2430" w:type="dxa"/>
            <w:tcBorders>
              <w:top w:val="single" w:sz="4" w:space="0" w:color="auto"/>
              <w:bottom w:val="double" w:sz="4" w:space="0" w:color="auto"/>
            </w:tcBorders>
            <w:shd w:val="clear" w:color="auto" w:fill="auto"/>
          </w:tcPr>
          <w:p w14:paraId="204ABF6B" w14:textId="77777777" w:rsidR="00951001" w:rsidRPr="0037164F" w:rsidRDefault="00951001" w:rsidP="00951001">
            <w:pPr>
              <w:pStyle w:val="ListParagraph"/>
              <w:numPr>
                <w:ilvl w:val="0"/>
                <w:numId w:val="13"/>
              </w:numPr>
              <w:ind w:left="162" w:hanging="180"/>
              <w:rPr>
                <w:rFonts w:ascii="Arial" w:eastAsia="Calibri" w:hAnsi="Arial" w:cs="Arial"/>
              </w:rPr>
            </w:pPr>
            <w:r w:rsidRPr="0037164F">
              <w:rPr>
                <w:rFonts w:ascii="Arial" w:eastAsia="Calibri" w:hAnsi="Arial" w:cs="Arial"/>
              </w:rPr>
              <w:t>Baghouse pressure drop: 2-6” H</w:t>
            </w:r>
            <w:r w:rsidRPr="0037164F">
              <w:rPr>
                <w:rFonts w:ascii="Arial" w:eastAsia="Calibri" w:hAnsi="Arial" w:cs="Arial"/>
                <w:vertAlign w:val="subscript"/>
              </w:rPr>
              <w:t>2</w:t>
            </w:r>
            <w:r w:rsidRPr="0037164F">
              <w:rPr>
                <w:rFonts w:ascii="Arial" w:eastAsia="Calibri" w:hAnsi="Arial" w:cs="Arial"/>
              </w:rPr>
              <w:t>O</w:t>
            </w:r>
          </w:p>
          <w:p w14:paraId="747DF727" w14:textId="0C2FBF6A" w:rsidR="00D9587D" w:rsidRPr="0037164F" w:rsidRDefault="00951001" w:rsidP="005B7C1C">
            <w:pPr>
              <w:pStyle w:val="ListParagraph"/>
              <w:numPr>
                <w:ilvl w:val="0"/>
                <w:numId w:val="13"/>
              </w:numPr>
              <w:ind w:left="162" w:hanging="162"/>
              <w:rPr>
                <w:rFonts w:ascii="Arial" w:eastAsia="Calibri" w:hAnsi="Arial" w:cs="Arial"/>
              </w:rPr>
            </w:pPr>
            <w:r w:rsidRPr="0037164F">
              <w:rPr>
                <w:rFonts w:ascii="Arial" w:eastAsia="Calibri" w:hAnsi="Arial" w:cs="Arial"/>
              </w:rPr>
              <w:t>Baghouse temp. maintained 15°F below bag degradation temperature (&lt;485°F)</w:t>
            </w:r>
          </w:p>
        </w:tc>
        <w:tc>
          <w:tcPr>
            <w:tcW w:w="1170" w:type="dxa"/>
            <w:tcBorders>
              <w:top w:val="single" w:sz="4" w:space="0" w:color="auto"/>
              <w:bottom w:val="double" w:sz="4" w:space="0" w:color="auto"/>
            </w:tcBorders>
          </w:tcPr>
          <w:p w14:paraId="1F7F9B3D" w14:textId="2BA71D16" w:rsidR="00D9587D" w:rsidRPr="0037164F" w:rsidRDefault="006841A1" w:rsidP="007F3C6F">
            <w:pPr>
              <w:rPr>
                <w:rFonts w:ascii="Arial" w:eastAsia="Calibri" w:hAnsi="Arial" w:cs="Arial"/>
              </w:rPr>
            </w:pPr>
            <w:r w:rsidRPr="0037164F">
              <w:rPr>
                <w:rFonts w:ascii="Arial" w:eastAsia="Calibri" w:hAnsi="Arial" w:cs="Arial"/>
              </w:rPr>
              <w:t>FGKILNS</w:t>
            </w:r>
          </w:p>
        </w:tc>
        <w:tc>
          <w:tcPr>
            <w:tcW w:w="990" w:type="dxa"/>
            <w:tcBorders>
              <w:top w:val="single" w:sz="4" w:space="0" w:color="auto"/>
              <w:bottom w:val="double" w:sz="4" w:space="0" w:color="auto"/>
            </w:tcBorders>
            <w:shd w:val="clear" w:color="auto" w:fill="auto"/>
          </w:tcPr>
          <w:p w14:paraId="7D73479A" w14:textId="4B7BB193" w:rsidR="00D9587D" w:rsidRPr="0037164F" w:rsidRDefault="000B2A4E" w:rsidP="007F3C6F">
            <w:pPr>
              <w:rPr>
                <w:rFonts w:ascii="Arial" w:eastAsia="Calibri" w:hAnsi="Arial" w:cs="Arial"/>
              </w:rPr>
            </w:pPr>
            <w:r w:rsidRPr="0037164F">
              <w:rPr>
                <w:rFonts w:ascii="Arial" w:eastAsia="Calibri" w:hAnsi="Arial" w:cs="Arial"/>
              </w:rPr>
              <w:t>No</w:t>
            </w:r>
          </w:p>
        </w:tc>
      </w:tr>
    </w:tbl>
    <w:p w14:paraId="254DA2FE" w14:textId="77777777" w:rsidR="00D9587D" w:rsidRPr="004F6C98" w:rsidRDefault="001111DD" w:rsidP="001111DD">
      <w:pPr>
        <w:rPr>
          <w:rFonts w:ascii="Arial" w:hAnsi="Arial" w:cs="Arial"/>
          <w:sz w:val="22"/>
          <w:szCs w:val="22"/>
        </w:rPr>
      </w:pPr>
      <w:r>
        <w:rPr>
          <w:rFonts w:ascii="Arial" w:hAnsi="Arial" w:cs="Arial"/>
          <w:sz w:val="22"/>
          <w:szCs w:val="22"/>
        </w:rPr>
        <w:t>*</w:t>
      </w:r>
      <w:bookmarkStart w:id="18" w:name="_Hlk507653084"/>
      <w:r w:rsidRPr="004F6C98">
        <w:rPr>
          <w:rFonts w:ascii="Arial" w:hAnsi="Arial" w:cs="Arial"/>
          <w:sz w:val="22"/>
          <w:szCs w:val="22"/>
        </w:rPr>
        <w:t>Presumptively Acceptable Monitoring (PAM)</w:t>
      </w:r>
    </w:p>
    <w:bookmarkEnd w:id="18"/>
    <w:p w14:paraId="2E72AE89" w14:textId="77777777" w:rsidR="00D9587D" w:rsidRPr="00D122B6" w:rsidRDefault="00D9587D" w:rsidP="00D9587D">
      <w:pPr>
        <w:rPr>
          <w:rFonts w:ascii="Arial" w:hAnsi="Arial" w:cs="Arial"/>
          <w:sz w:val="22"/>
          <w:szCs w:val="22"/>
        </w:rPr>
      </w:pPr>
    </w:p>
    <w:p w14:paraId="1C3ADAEB" w14:textId="40F27D8F" w:rsidR="00A8189C" w:rsidRDefault="005E288A" w:rsidP="002B2C2C">
      <w:pPr>
        <w:jc w:val="both"/>
        <w:rPr>
          <w:rFonts w:ascii="Arial" w:hAnsi="Arial" w:cs="Arial"/>
          <w:sz w:val="22"/>
          <w:szCs w:val="22"/>
        </w:rPr>
      </w:pPr>
      <w:r>
        <w:rPr>
          <w:rFonts w:ascii="Arial" w:hAnsi="Arial" w:cs="Arial"/>
          <w:sz w:val="22"/>
          <w:szCs w:val="22"/>
        </w:rPr>
        <w:t xml:space="preserve">The CAM Plan contains an introduction that identifies the source, the basics of the production process, the current ROP, identifies why FGKILNS are subject to CAM, and describes the contents of the CAM plan. </w:t>
      </w:r>
      <w:r w:rsidR="002B2C2C">
        <w:rPr>
          <w:rFonts w:ascii="Arial" w:hAnsi="Arial" w:cs="Arial"/>
          <w:sz w:val="22"/>
          <w:szCs w:val="22"/>
        </w:rPr>
        <w:t xml:space="preserve"> </w:t>
      </w:r>
      <w:r w:rsidR="00651564">
        <w:rPr>
          <w:rFonts w:ascii="Arial" w:hAnsi="Arial" w:cs="Arial"/>
          <w:sz w:val="22"/>
          <w:szCs w:val="22"/>
        </w:rPr>
        <w:t xml:space="preserve">The CAM Plan contains a description of the lime-injection baghouse controls. </w:t>
      </w:r>
      <w:r w:rsidR="002B2C2C">
        <w:rPr>
          <w:rFonts w:ascii="Arial" w:hAnsi="Arial" w:cs="Arial"/>
          <w:sz w:val="22"/>
          <w:szCs w:val="22"/>
        </w:rPr>
        <w:t xml:space="preserve"> </w:t>
      </w:r>
      <w:r w:rsidR="00651564">
        <w:rPr>
          <w:rFonts w:ascii="Arial" w:hAnsi="Arial" w:cs="Arial"/>
          <w:sz w:val="22"/>
          <w:szCs w:val="22"/>
        </w:rPr>
        <w:t xml:space="preserve">The CAM Plan describes the 40 CFR </w:t>
      </w:r>
      <w:r w:rsidR="00A8189C">
        <w:rPr>
          <w:rFonts w:ascii="Arial" w:hAnsi="Arial" w:cs="Arial"/>
          <w:sz w:val="22"/>
          <w:szCs w:val="22"/>
        </w:rPr>
        <w:t xml:space="preserve">Part 64 </w:t>
      </w:r>
      <w:r w:rsidR="00651564">
        <w:rPr>
          <w:rFonts w:ascii="Arial" w:hAnsi="Arial" w:cs="Arial"/>
          <w:sz w:val="22"/>
          <w:szCs w:val="22"/>
        </w:rPr>
        <w:t>Requirements as they apply to FGKILNS, including (1) Applicability, (2) Monitoring Design Criteria, (3) Submittal Requirements, (4) Operation of Approved Monitoring, (5) Quality Improvement Plan Requirements and (6) Recordkeeping and Reporting Requirements.</w:t>
      </w:r>
      <w:r w:rsidR="00A8189C">
        <w:rPr>
          <w:rFonts w:ascii="Arial" w:hAnsi="Arial" w:cs="Arial"/>
          <w:sz w:val="22"/>
          <w:szCs w:val="22"/>
        </w:rPr>
        <w:t xml:space="preserve"> </w:t>
      </w:r>
    </w:p>
    <w:p w14:paraId="5F2A37F4" w14:textId="77777777" w:rsidR="00A8189C" w:rsidRDefault="00A8189C" w:rsidP="002B2C2C">
      <w:pPr>
        <w:jc w:val="both"/>
        <w:rPr>
          <w:rFonts w:ascii="Arial" w:hAnsi="Arial" w:cs="Arial"/>
          <w:sz w:val="22"/>
          <w:szCs w:val="22"/>
        </w:rPr>
      </w:pPr>
    </w:p>
    <w:p w14:paraId="0E1BD692" w14:textId="51974C6E" w:rsidR="009108A8" w:rsidRDefault="00A8189C" w:rsidP="002B2C2C">
      <w:pPr>
        <w:jc w:val="both"/>
        <w:rPr>
          <w:rFonts w:ascii="Arial" w:hAnsi="Arial" w:cs="Arial"/>
          <w:sz w:val="22"/>
          <w:szCs w:val="22"/>
        </w:rPr>
      </w:pPr>
      <w:r>
        <w:rPr>
          <w:rFonts w:ascii="Arial" w:hAnsi="Arial" w:cs="Arial"/>
          <w:sz w:val="22"/>
          <w:szCs w:val="22"/>
        </w:rPr>
        <w:t>The facility proposes to show compliance</w:t>
      </w:r>
      <w:r w:rsidR="00257D28">
        <w:rPr>
          <w:rFonts w:ascii="Arial" w:hAnsi="Arial" w:cs="Arial"/>
          <w:sz w:val="22"/>
          <w:szCs w:val="22"/>
        </w:rPr>
        <w:t xml:space="preserve"> with the emission limits</w:t>
      </w:r>
      <w:r>
        <w:rPr>
          <w:rFonts w:ascii="Arial" w:hAnsi="Arial" w:cs="Arial"/>
          <w:sz w:val="22"/>
          <w:szCs w:val="22"/>
        </w:rPr>
        <w:t xml:space="preserve"> by monitoring the following: (1) </w:t>
      </w:r>
      <w:r w:rsidR="002B2C2C">
        <w:rPr>
          <w:rFonts w:ascii="Arial" w:hAnsi="Arial" w:cs="Arial"/>
          <w:sz w:val="22"/>
          <w:szCs w:val="22"/>
        </w:rPr>
        <w:t>d</w:t>
      </w:r>
      <w:r>
        <w:rPr>
          <w:rFonts w:ascii="Arial" w:hAnsi="Arial" w:cs="Arial"/>
          <w:sz w:val="22"/>
          <w:szCs w:val="22"/>
        </w:rPr>
        <w:t>aily kiln operating hours, (2) daily kiln production rate (tons), (</w:t>
      </w:r>
      <w:r w:rsidR="00257D28">
        <w:rPr>
          <w:rFonts w:ascii="Arial" w:hAnsi="Arial" w:cs="Arial"/>
          <w:sz w:val="22"/>
          <w:szCs w:val="22"/>
        </w:rPr>
        <w:t>3</w:t>
      </w:r>
      <w:r>
        <w:rPr>
          <w:rFonts w:ascii="Arial" w:hAnsi="Arial" w:cs="Arial"/>
          <w:sz w:val="22"/>
          <w:szCs w:val="22"/>
        </w:rPr>
        <w:t xml:space="preserve">) green </w:t>
      </w:r>
      <w:r w:rsidR="00257D28">
        <w:rPr>
          <w:rFonts w:ascii="Arial" w:hAnsi="Arial" w:cs="Arial"/>
          <w:sz w:val="22"/>
          <w:szCs w:val="22"/>
        </w:rPr>
        <w:t xml:space="preserve">(dry) </w:t>
      </w:r>
      <w:r>
        <w:rPr>
          <w:rFonts w:ascii="Arial" w:hAnsi="Arial" w:cs="Arial"/>
          <w:sz w:val="22"/>
          <w:szCs w:val="22"/>
        </w:rPr>
        <w:t>and finished</w:t>
      </w:r>
      <w:r w:rsidR="00257D28">
        <w:rPr>
          <w:rFonts w:ascii="Arial" w:hAnsi="Arial" w:cs="Arial"/>
          <w:sz w:val="22"/>
          <w:szCs w:val="22"/>
        </w:rPr>
        <w:t xml:space="preserve"> (fired)</w:t>
      </w:r>
      <w:r>
        <w:rPr>
          <w:rFonts w:ascii="Arial" w:hAnsi="Arial" w:cs="Arial"/>
          <w:sz w:val="22"/>
          <w:szCs w:val="22"/>
        </w:rPr>
        <w:t xml:space="preserve"> brick sulfur content (%)</w:t>
      </w:r>
      <w:r w:rsidR="00257D28">
        <w:rPr>
          <w:rFonts w:ascii="Arial" w:hAnsi="Arial" w:cs="Arial"/>
          <w:sz w:val="22"/>
          <w:szCs w:val="22"/>
        </w:rPr>
        <w:t xml:space="preserve"> and</w:t>
      </w:r>
      <w:r>
        <w:rPr>
          <w:rFonts w:ascii="Arial" w:hAnsi="Arial" w:cs="Arial"/>
          <w:sz w:val="22"/>
          <w:szCs w:val="22"/>
        </w:rPr>
        <w:t xml:space="preserve"> (</w:t>
      </w:r>
      <w:r w:rsidR="00257D28">
        <w:rPr>
          <w:rFonts w:ascii="Arial" w:hAnsi="Arial" w:cs="Arial"/>
          <w:sz w:val="22"/>
          <w:szCs w:val="22"/>
        </w:rPr>
        <w:t>4</w:t>
      </w:r>
      <w:r>
        <w:rPr>
          <w:rFonts w:ascii="Arial" w:hAnsi="Arial" w:cs="Arial"/>
          <w:sz w:val="22"/>
          <w:szCs w:val="22"/>
        </w:rPr>
        <w:t>) monthly SO</w:t>
      </w:r>
      <w:r w:rsidRPr="00EA02E6">
        <w:rPr>
          <w:rFonts w:ascii="Arial" w:hAnsi="Arial" w:cs="Arial"/>
          <w:sz w:val="22"/>
          <w:szCs w:val="22"/>
          <w:vertAlign w:val="subscript"/>
        </w:rPr>
        <w:t>2</w:t>
      </w:r>
      <w:r>
        <w:rPr>
          <w:rFonts w:ascii="Arial" w:hAnsi="Arial" w:cs="Arial"/>
          <w:sz w:val="22"/>
          <w:szCs w:val="22"/>
        </w:rPr>
        <w:t xml:space="preserve"> emission rate calculations (lbs./hr and tons per rolling 12-month period)</w:t>
      </w:r>
      <w:r w:rsidR="00257D28">
        <w:rPr>
          <w:rFonts w:ascii="Arial" w:hAnsi="Arial" w:cs="Arial"/>
          <w:sz w:val="22"/>
          <w:szCs w:val="22"/>
        </w:rPr>
        <w:t xml:space="preserve">. </w:t>
      </w:r>
      <w:r w:rsidR="00651564">
        <w:rPr>
          <w:rFonts w:ascii="Arial" w:hAnsi="Arial" w:cs="Arial"/>
          <w:sz w:val="22"/>
          <w:szCs w:val="22"/>
        </w:rPr>
        <w:t xml:space="preserve"> </w:t>
      </w:r>
    </w:p>
    <w:p w14:paraId="37F823C7" w14:textId="458150ED" w:rsidR="00257D28" w:rsidRDefault="00257D28" w:rsidP="002B2C2C">
      <w:pPr>
        <w:jc w:val="both"/>
        <w:rPr>
          <w:rFonts w:ascii="Arial" w:hAnsi="Arial" w:cs="Arial"/>
          <w:sz w:val="22"/>
          <w:szCs w:val="22"/>
        </w:rPr>
      </w:pPr>
    </w:p>
    <w:p w14:paraId="3504AC3D" w14:textId="345BF313" w:rsidR="00462EF7" w:rsidRDefault="009D4A1A" w:rsidP="002B2C2C">
      <w:pPr>
        <w:jc w:val="both"/>
        <w:rPr>
          <w:rFonts w:ascii="Arial" w:hAnsi="Arial" w:cs="Arial"/>
          <w:sz w:val="22"/>
          <w:szCs w:val="22"/>
        </w:rPr>
      </w:pPr>
      <w:r>
        <w:rPr>
          <w:rFonts w:ascii="Arial" w:hAnsi="Arial" w:cs="Arial"/>
          <w:sz w:val="22"/>
          <w:szCs w:val="22"/>
        </w:rPr>
        <w:t>Appendix 5 of the ROP contains the testing procedure the facility should follow to determine green/dry and finished/fired brick sulfur content.</w:t>
      </w:r>
      <w:r w:rsidR="002B2C2C">
        <w:rPr>
          <w:rFonts w:ascii="Arial" w:hAnsi="Arial" w:cs="Arial"/>
          <w:sz w:val="22"/>
          <w:szCs w:val="22"/>
        </w:rPr>
        <w:t xml:space="preserve"> </w:t>
      </w:r>
      <w:r>
        <w:rPr>
          <w:rFonts w:ascii="Arial" w:hAnsi="Arial" w:cs="Arial"/>
          <w:sz w:val="22"/>
          <w:szCs w:val="22"/>
        </w:rPr>
        <w:t xml:space="preserve"> </w:t>
      </w:r>
      <w:r w:rsidR="00257D28">
        <w:rPr>
          <w:rFonts w:ascii="Arial" w:hAnsi="Arial" w:cs="Arial"/>
          <w:sz w:val="22"/>
          <w:szCs w:val="22"/>
        </w:rPr>
        <w:t>Appendix 7 of the ROP contains the equations to use with the above variables</w:t>
      </w:r>
      <w:r w:rsidR="00462EF7">
        <w:rPr>
          <w:rFonts w:ascii="Arial" w:hAnsi="Arial" w:cs="Arial"/>
          <w:sz w:val="22"/>
          <w:szCs w:val="22"/>
        </w:rPr>
        <w:t xml:space="preserve"> (operating hours, production rate in tons,</w:t>
      </w:r>
      <w:r>
        <w:rPr>
          <w:rFonts w:ascii="Arial" w:hAnsi="Arial" w:cs="Arial"/>
          <w:sz w:val="22"/>
          <w:szCs w:val="22"/>
        </w:rPr>
        <w:t xml:space="preserve"> and</w:t>
      </w:r>
      <w:r w:rsidR="00462EF7">
        <w:rPr>
          <w:rFonts w:ascii="Arial" w:hAnsi="Arial" w:cs="Arial"/>
          <w:sz w:val="22"/>
          <w:szCs w:val="22"/>
        </w:rPr>
        <w:t xml:space="preserve"> </w:t>
      </w:r>
      <w:r>
        <w:rPr>
          <w:rFonts w:ascii="Arial" w:hAnsi="Arial" w:cs="Arial"/>
          <w:sz w:val="22"/>
          <w:szCs w:val="22"/>
        </w:rPr>
        <w:t xml:space="preserve">the </w:t>
      </w:r>
      <w:r w:rsidR="00462EF7">
        <w:rPr>
          <w:rFonts w:ascii="Arial" w:hAnsi="Arial" w:cs="Arial"/>
          <w:sz w:val="22"/>
          <w:szCs w:val="22"/>
        </w:rPr>
        <w:t>sulfur content of green/dry and finished/fired bricks)</w:t>
      </w:r>
      <w:r w:rsidR="00257D28">
        <w:rPr>
          <w:rFonts w:ascii="Arial" w:hAnsi="Arial" w:cs="Arial"/>
          <w:sz w:val="22"/>
          <w:szCs w:val="22"/>
        </w:rPr>
        <w:t xml:space="preserve"> to calculate the SO</w:t>
      </w:r>
      <w:r w:rsidR="00257D28">
        <w:rPr>
          <w:rFonts w:ascii="Arial" w:hAnsi="Arial" w:cs="Arial"/>
          <w:sz w:val="22"/>
          <w:szCs w:val="22"/>
          <w:vertAlign w:val="subscript"/>
        </w:rPr>
        <w:t>2</w:t>
      </w:r>
      <w:r w:rsidR="00257D28">
        <w:rPr>
          <w:rFonts w:ascii="Arial" w:hAnsi="Arial" w:cs="Arial"/>
          <w:sz w:val="22"/>
          <w:szCs w:val="22"/>
        </w:rPr>
        <w:t xml:space="preserve"> emission rate in terms of pounds per hour (lbs./hr) and tons per </w:t>
      </w:r>
      <w:r w:rsidR="00462EF7">
        <w:rPr>
          <w:rFonts w:ascii="Arial" w:hAnsi="Arial" w:cs="Arial"/>
          <w:sz w:val="22"/>
          <w:szCs w:val="22"/>
        </w:rPr>
        <w:t xml:space="preserve">rolling 12-month period. </w:t>
      </w:r>
    </w:p>
    <w:p w14:paraId="0D0A6074" w14:textId="08014D71" w:rsidR="00257D28" w:rsidRPr="00257D28" w:rsidRDefault="00257D28" w:rsidP="002B2C2C">
      <w:pPr>
        <w:jc w:val="both"/>
        <w:rPr>
          <w:rFonts w:ascii="Arial" w:hAnsi="Arial" w:cs="Arial"/>
          <w:sz w:val="22"/>
          <w:szCs w:val="22"/>
        </w:rPr>
      </w:pPr>
      <w:r>
        <w:rPr>
          <w:rFonts w:ascii="Arial" w:hAnsi="Arial" w:cs="Arial"/>
          <w:sz w:val="22"/>
          <w:szCs w:val="22"/>
        </w:rPr>
        <w:t xml:space="preserve"> </w:t>
      </w:r>
    </w:p>
    <w:p w14:paraId="642DDBDD" w14:textId="275098B0" w:rsidR="000F73C3" w:rsidRDefault="00462EF7" w:rsidP="002B2C2C">
      <w:pPr>
        <w:jc w:val="both"/>
        <w:rPr>
          <w:rFonts w:ascii="Arial" w:hAnsi="Arial" w:cs="Arial"/>
          <w:sz w:val="22"/>
          <w:szCs w:val="22"/>
        </w:rPr>
      </w:pPr>
      <w:r>
        <w:rPr>
          <w:rFonts w:ascii="Arial" w:hAnsi="Arial" w:cs="Arial"/>
          <w:sz w:val="22"/>
          <w:szCs w:val="22"/>
        </w:rPr>
        <w:t xml:space="preserve">The facility proposes to show proper operation of the control equipment and assure compliance with the emission limits by monitoring the following indicators: </w:t>
      </w:r>
      <w:r w:rsidR="00257D28">
        <w:rPr>
          <w:rFonts w:ascii="Arial" w:hAnsi="Arial" w:cs="Arial"/>
          <w:sz w:val="22"/>
          <w:szCs w:val="22"/>
        </w:rPr>
        <w:t>(</w:t>
      </w:r>
      <w:r>
        <w:rPr>
          <w:rFonts w:ascii="Arial" w:hAnsi="Arial" w:cs="Arial"/>
          <w:sz w:val="22"/>
          <w:szCs w:val="22"/>
        </w:rPr>
        <w:t>1</w:t>
      </w:r>
      <w:r w:rsidR="00257D28">
        <w:rPr>
          <w:rFonts w:ascii="Arial" w:hAnsi="Arial" w:cs="Arial"/>
          <w:sz w:val="22"/>
          <w:szCs w:val="22"/>
        </w:rPr>
        <w:t>) exhaust gas temperature at the inlet to the baghouse (°F), (</w:t>
      </w:r>
      <w:r>
        <w:rPr>
          <w:rFonts w:ascii="Arial" w:hAnsi="Arial" w:cs="Arial"/>
          <w:sz w:val="22"/>
          <w:szCs w:val="22"/>
        </w:rPr>
        <w:t>2</w:t>
      </w:r>
      <w:r w:rsidR="00257D28">
        <w:rPr>
          <w:rFonts w:ascii="Arial" w:hAnsi="Arial" w:cs="Arial"/>
          <w:sz w:val="22"/>
          <w:szCs w:val="22"/>
        </w:rPr>
        <w:t>) baghouse pressure drop (in. H</w:t>
      </w:r>
      <w:r w:rsidR="00257D28" w:rsidRPr="00EA02E6">
        <w:rPr>
          <w:rFonts w:ascii="Arial" w:hAnsi="Arial" w:cs="Arial"/>
          <w:sz w:val="22"/>
          <w:szCs w:val="22"/>
          <w:vertAlign w:val="subscript"/>
        </w:rPr>
        <w:t>2</w:t>
      </w:r>
      <w:r w:rsidR="00257D28">
        <w:rPr>
          <w:rFonts w:ascii="Arial" w:hAnsi="Arial" w:cs="Arial"/>
          <w:sz w:val="22"/>
          <w:szCs w:val="22"/>
        </w:rPr>
        <w:t xml:space="preserve">O), </w:t>
      </w:r>
      <w:r>
        <w:rPr>
          <w:rFonts w:ascii="Arial" w:hAnsi="Arial" w:cs="Arial"/>
          <w:sz w:val="22"/>
          <w:szCs w:val="22"/>
        </w:rPr>
        <w:t xml:space="preserve">and </w:t>
      </w:r>
      <w:r w:rsidR="00257D28">
        <w:rPr>
          <w:rFonts w:ascii="Arial" w:hAnsi="Arial" w:cs="Arial"/>
          <w:sz w:val="22"/>
          <w:szCs w:val="22"/>
        </w:rPr>
        <w:t>(</w:t>
      </w:r>
      <w:r>
        <w:rPr>
          <w:rFonts w:ascii="Arial" w:hAnsi="Arial" w:cs="Arial"/>
          <w:sz w:val="22"/>
          <w:szCs w:val="22"/>
        </w:rPr>
        <w:t>3</w:t>
      </w:r>
      <w:r w:rsidR="00257D28">
        <w:rPr>
          <w:rFonts w:ascii="Arial" w:hAnsi="Arial" w:cs="Arial"/>
          <w:sz w:val="22"/>
          <w:szCs w:val="22"/>
        </w:rPr>
        <w:t>) lime feed rate (lbs./hr)</w:t>
      </w:r>
      <w:r>
        <w:rPr>
          <w:rFonts w:ascii="Arial" w:hAnsi="Arial" w:cs="Arial"/>
          <w:sz w:val="22"/>
          <w:szCs w:val="22"/>
        </w:rPr>
        <w:t>.</w:t>
      </w:r>
    </w:p>
    <w:p w14:paraId="59FE53A7" w14:textId="0CDC24F5" w:rsidR="00346E24" w:rsidRDefault="00346E24" w:rsidP="002B2C2C">
      <w:pPr>
        <w:jc w:val="both"/>
        <w:rPr>
          <w:rFonts w:ascii="Arial" w:hAnsi="Arial" w:cs="Arial"/>
          <w:sz w:val="22"/>
          <w:szCs w:val="22"/>
        </w:rPr>
      </w:pPr>
    </w:p>
    <w:p w14:paraId="74828512" w14:textId="4688F4F2" w:rsidR="00346E24" w:rsidRDefault="00346E24" w:rsidP="002B2C2C">
      <w:pPr>
        <w:jc w:val="both"/>
        <w:rPr>
          <w:rFonts w:ascii="Arial" w:hAnsi="Arial" w:cs="Arial"/>
          <w:sz w:val="22"/>
          <w:szCs w:val="22"/>
        </w:rPr>
      </w:pPr>
      <w:r>
        <w:rPr>
          <w:rFonts w:ascii="Arial" w:hAnsi="Arial" w:cs="Arial"/>
          <w:sz w:val="22"/>
          <w:szCs w:val="22"/>
        </w:rPr>
        <w:t>The SO</w:t>
      </w:r>
      <w:r w:rsidRPr="00346E24">
        <w:rPr>
          <w:rFonts w:ascii="Arial" w:hAnsi="Arial" w:cs="Arial"/>
          <w:sz w:val="22"/>
          <w:szCs w:val="22"/>
          <w:vertAlign w:val="subscript"/>
        </w:rPr>
        <w:t>2</w:t>
      </w:r>
      <w:r>
        <w:rPr>
          <w:rFonts w:ascii="Arial" w:hAnsi="Arial" w:cs="Arial"/>
          <w:sz w:val="22"/>
          <w:szCs w:val="22"/>
        </w:rPr>
        <w:t xml:space="preserve"> </w:t>
      </w:r>
      <w:r w:rsidR="00DB4E19" w:rsidRPr="001B4EAB">
        <w:rPr>
          <w:rFonts w:ascii="Arial" w:hAnsi="Arial" w:cs="Arial"/>
          <w:sz w:val="22"/>
          <w:szCs w:val="22"/>
        </w:rPr>
        <w:t>emissions</w:t>
      </w:r>
      <w:r w:rsidR="00DB4E19">
        <w:rPr>
          <w:rFonts w:ascii="Arial" w:hAnsi="Arial" w:cs="Arial"/>
          <w:sz w:val="22"/>
          <w:szCs w:val="22"/>
        </w:rPr>
        <w:t xml:space="preserve"> </w:t>
      </w:r>
      <w:r>
        <w:rPr>
          <w:rFonts w:ascii="Arial" w:hAnsi="Arial" w:cs="Arial"/>
          <w:sz w:val="22"/>
          <w:szCs w:val="22"/>
        </w:rPr>
        <w:t xml:space="preserve">are controlled through the injection of hydrated lime into the exhaust gas stream. </w:t>
      </w:r>
      <w:r w:rsidR="002B2C2C">
        <w:rPr>
          <w:rFonts w:ascii="Arial" w:hAnsi="Arial" w:cs="Arial"/>
          <w:sz w:val="22"/>
          <w:szCs w:val="22"/>
        </w:rPr>
        <w:t xml:space="preserve"> </w:t>
      </w:r>
      <w:r>
        <w:rPr>
          <w:rFonts w:ascii="Arial" w:hAnsi="Arial" w:cs="Arial"/>
          <w:sz w:val="22"/>
          <w:szCs w:val="22"/>
        </w:rPr>
        <w:t xml:space="preserve">The following </w:t>
      </w:r>
      <w:r w:rsidR="0072074B">
        <w:rPr>
          <w:rFonts w:ascii="Arial" w:hAnsi="Arial" w:cs="Arial"/>
          <w:sz w:val="22"/>
          <w:szCs w:val="22"/>
        </w:rPr>
        <w:t xml:space="preserve">chemical </w:t>
      </w:r>
      <w:r>
        <w:rPr>
          <w:rFonts w:ascii="Arial" w:hAnsi="Arial" w:cs="Arial"/>
          <w:sz w:val="22"/>
          <w:szCs w:val="22"/>
        </w:rPr>
        <w:t>reaction</w:t>
      </w:r>
      <w:r w:rsidR="0072074B">
        <w:rPr>
          <w:rFonts w:ascii="Arial" w:hAnsi="Arial" w:cs="Arial"/>
          <w:sz w:val="22"/>
          <w:szCs w:val="22"/>
        </w:rPr>
        <w:t>s</w:t>
      </w:r>
      <w:r>
        <w:rPr>
          <w:rFonts w:ascii="Arial" w:hAnsi="Arial" w:cs="Arial"/>
          <w:sz w:val="22"/>
          <w:szCs w:val="22"/>
        </w:rPr>
        <w:t xml:space="preserve"> take place</w:t>
      </w:r>
      <w:r w:rsidR="0072074B">
        <w:rPr>
          <w:rFonts w:ascii="Arial" w:hAnsi="Arial" w:cs="Arial"/>
          <w:sz w:val="22"/>
          <w:szCs w:val="22"/>
        </w:rPr>
        <w:t>, reducing the amounts of SO</w:t>
      </w:r>
      <w:r w:rsidR="0072074B" w:rsidRPr="0072074B">
        <w:rPr>
          <w:rFonts w:ascii="Arial" w:hAnsi="Arial" w:cs="Arial"/>
          <w:sz w:val="22"/>
          <w:szCs w:val="22"/>
          <w:vertAlign w:val="subscript"/>
        </w:rPr>
        <w:t>2</w:t>
      </w:r>
      <w:r w:rsidR="0072074B">
        <w:rPr>
          <w:rFonts w:ascii="Arial" w:hAnsi="Arial" w:cs="Arial"/>
          <w:sz w:val="22"/>
          <w:szCs w:val="22"/>
        </w:rPr>
        <w:t xml:space="preserve"> emitted</w:t>
      </w:r>
      <w:r>
        <w:rPr>
          <w:rFonts w:ascii="Arial" w:hAnsi="Arial" w:cs="Arial"/>
          <w:sz w:val="22"/>
          <w:szCs w:val="22"/>
        </w:rPr>
        <w:t xml:space="preserve">: </w:t>
      </w:r>
    </w:p>
    <w:p w14:paraId="4D6EC444" w14:textId="2D6C3D32" w:rsidR="00346E24" w:rsidRDefault="00346E24" w:rsidP="002B2C2C">
      <w:pPr>
        <w:jc w:val="both"/>
        <w:rPr>
          <w:rFonts w:ascii="Arial" w:hAnsi="Arial" w:cs="Arial"/>
          <w:sz w:val="22"/>
          <w:szCs w:val="22"/>
        </w:rPr>
      </w:pPr>
    </w:p>
    <w:p w14:paraId="2C746E7F" w14:textId="2E3856CD" w:rsidR="00346E24" w:rsidRPr="00346E24" w:rsidRDefault="00346E24" w:rsidP="002B2C2C">
      <w:pPr>
        <w:jc w:val="both"/>
        <w:rPr>
          <w:rFonts w:ascii="Arial" w:hAnsi="Arial" w:cs="Arial"/>
          <w:sz w:val="22"/>
          <w:szCs w:val="22"/>
        </w:rPr>
      </w:pPr>
      <m:oMathPara>
        <m:oMath>
          <m:r>
            <w:rPr>
              <w:rFonts w:ascii="Cambria Math" w:hAnsi="Cambria Math" w:cs="Arial"/>
              <w:sz w:val="22"/>
              <w:szCs w:val="22"/>
            </w:rPr>
            <m:t>Ca</m:t>
          </m:r>
          <m:sSub>
            <m:sSubPr>
              <m:ctrlPr>
                <w:rPr>
                  <w:rFonts w:ascii="Cambria Math" w:hAnsi="Cambria Math" w:cs="Arial"/>
                  <w:i/>
                  <w:sz w:val="22"/>
                  <w:szCs w:val="22"/>
                </w:rPr>
              </m:ctrlPr>
            </m:sSubPr>
            <m:e>
              <m:d>
                <m:dPr>
                  <m:ctrlPr>
                    <w:rPr>
                      <w:rFonts w:ascii="Cambria Math" w:hAnsi="Cambria Math" w:cs="Arial"/>
                      <w:i/>
                      <w:sz w:val="22"/>
                      <w:szCs w:val="22"/>
                    </w:rPr>
                  </m:ctrlPr>
                </m:dPr>
                <m:e>
                  <m:r>
                    <w:rPr>
                      <w:rFonts w:ascii="Cambria Math" w:hAnsi="Cambria Math" w:cs="Arial"/>
                      <w:sz w:val="22"/>
                      <w:szCs w:val="22"/>
                    </w:rPr>
                    <m:t>OH</m:t>
                  </m:r>
                </m:e>
              </m:d>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SO</m:t>
              </m:r>
            </m:e>
            <m:sub>
              <m:r>
                <w:rPr>
                  <w:rFonts w:ascii="Cambria Math" w:hAnsi="Cambria Math" w:cs="Arial"/>
                  <w:sz w:val="22"/>
                  <w:szCs w:val="22"/>
                </w:rPr>
                <m:t>2</m:t>
              </m:r>
            </m:sub>
          </m:sSub>
          <m:box>
            <m:boxPr>
              <m:opEmu m:val="1"/>
              <m:ctrlPr>
                <w:rPr>
                  <w:rFonts w:ascii="Cambria Math" w:hAnsi="Cambria Math" w:cs="Arial"/>
                  <w:i/>
                  <w:sz w:val="22"/>
                  <w:szCs w:val="22"/>
                </w:rPr>
              </m:ctrlPr>
            </m:boxPr>
            <m:e>
              <m:groupChr>
                <m:groupChrPr>
                  <m:chr m:val="→"/>
                  <m:vertJc m:val="bot"/>
                  <m:ctrlPr>
                    <w:rPr>
                      <w:rFonts w:ascii="Cambria Math" w:hAnsi="Cambria Math" w:cs="Arial"/>
                      <w:i/>
                      <w:sz w:val="22"/>
                      <w:szCs w:val="22"/>
                    </w:rPr>
                  </m:ctrlPr>
                </m:groupChrPr>
                <m:e/>
              </m:groupChr>
            </m:e>
          </m:box>
          <m:r>
            <w:rPr>
              <w:rFonts w:ascii="Cambria Math" w:hAnsi="Cambria Math" w:cs="Arial"/>
              <w:sz w:val="22"/>
              <w:szCs w:val="22"/>
            </w:rPr>
            <m:t>Ca</m:t>
          </m:r>
          <m:sSub>
            <m:sSubPr>
              <m:ctrlPr>
                <w:rPr>
                  <w:rFonts w:ascii="Cambria Math" w:hAnsi="Cambria Math" w:cs="Arial"/>
                  <w:i/>
                  <w:sz w:val="22"/>
                  <w:szCs w:val="22"/>
                </w:rPr>
              </m:ctrlPr>
            </m:sSubPr>
            <m:e>
              <m:r>
                <w:rPr>
                  <w:rFonts w:ascii="Cambria Math" w:hAnsi="Cambria Math" w:cs="Arial"/>
                  <w:sz w:val="22"/>
                  <w:szCs w:val="22"/>
                </w:rPr>
                <m:t>SO</m:t>
              </m:r>
            </m:e>
            <m:sub>
              <m:r>
                <w:rPr>
                  <w:rFonts w:ascii="Cambria Math" w:hAnsi="Cambria Math" w:cs="Arial"/>
                  <w:sz w:val="22"/>
                  <w:szCs w:val="22"/>
                </w:rPr>
                <m:t>3</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2</m:t>
              </m:r>
            </m:sub>
          </m:sSub>
          <m:r>
            <w:rPr>
              <w:rFonts w:ascii="Cambria Math" w:hAnsi="Cambria Math" w:cs="Arial"/>
              <w:sz w:val="22"/>
              <w:szCs w:val="22"/>
            </w:rPr>
            <m:t>O</m:t>
          </m:r>
        </m:oMath>
      </m:oMathPara>
    </w:p>
    <w:p w14:paraId="445238F3" w14:textId="77777777" w:rsidR="0054081F" w:rsidRPr="00346E24" w:rsidRDefault="0054081F" w:rsidP="00346E24">
      <w:pPr>
        <w:jc w:val="both"/>
        <w:rPr>
          <w:rFonts w:ascii="Arial" w:hAnsi="Arial" w:cs="Arial"/>
          <w:sz w:val="22"/>
          <w:szCs w:val="22"/>
        </w:rPr>
      </w:pPr>
    </w:p>
    <w:p w14:paraId="625FC9B2" w14:textId="0F29C7FA" w:rsidR="00346E24" w:rsidRDefault="0072074B" w:rsidP="00346E24">
      <w:pPr>
        <w:jc w:val="both"/>
        <w:rPr>
          <w:rFonts w:ascii="Arial" w:hAnsi="Arial" w:cs="Arial"/>
          <w:sz w:val="22"/>
          <w:szCs w:val="22"/>
        </w:rPr>
      </w:pPr>
      <w:r>
        <w:rPr>
          <w:rFonts w:ascii="Arial" w:hAnsi="Arial" w:cs="Arial"/>
          <w:sz w:val="22"/>
          <w:szCs w:val="22"/>
        </w:rPr>
        <w:t>C</w:t>
      </w:r>
      <w:r w:rsidR="00BC7D2D">
        <w:rPr>
          <w:rFonts w:ascii="Arial" w:hAnsi="Arial" w:cs="Arial"/>
          <w:sz w:val="22"/>
          <w:szCs w:val="22"/>
        </w:rPr>
        <w:t>alculations</w:t>
      </w:r>
      <w:r>
        <w:rPr>
          <w:rFonts w:ascii="Arial" w:hAnsi="Arial" w:cs="Arial"/>
          <w:sz w:val="22"/>
          <w:szCs w:val="22"/>
        </w:rPr>
        <w:t xml:space="preserve"> from Appendix 7 of the ROP are used</w:t>
      </w:r>
      <w:r w:rsidR="00BC7D2D">
        <w:rPr>
          <w:rFonts w:ascii="Arial" w:hAnsi="Arial" w:cs="Arial"/>
          <w:sz w:val="22"/>
          <w:szCs w:val="22"/>
        </w:rPr>
        <w:t xml:space="preserve"> to determine the amount of lime to inject into the kiln</w:t>
      </w:r>
      <w:r>
        <w:rPr>
          <w:rFonts w:ascii="Arial" w:hAnsi="Arial" w:cs="Arial"/>
          <w:sz w:val="22"/>
          <w:szCs w:val="22"/>
        </w:rPr>
        <w:t>.</w:t>
      </w:r>
      <w:r w:rsidR="00BC7D2D">
        <w:rPr>
          <w:rFonts w:ascii="Arial" w:hAnsi="Arial" w:cs="Arial"/>
          <w:sz w:val="22"/>
          <w:szCs w:val="22"/>
        </w:rPr>
        <w:t xml:space="preserve"> </w:t>
      </w:r>
      <w:r w:rsidR="002B2C2C">
        <w:rPr>
          <w:rFonts w:ascii="Arial" w:hAnsi="Arial" w:cs="Arial"/>
          <w:sz w:val="22"/>
          <w:szCs w:val="22"/>
        </w:rPr>
        <w:t xml:space="preserve"> </w:t>
      </w:r>
      <w:r w:rsidR="00E36997">
        <w:rPr>
          <w:rFonts w:ascii="Arial" w:hAnsi="Arial" w:cs="Arial"/>
          <w:sz w:val="22"/>
          <w:szCs w:val="22"/>
        </w:rPr>
        <w:t xml:space="preserve">First, </w:t>
      </w:r>
      <w:r w:rsidR="00EE0257">
        <w:rPr>
          <w:rFonts w:ascii="Arial" w:hAnsi="Arial" w:cs="Arial"/>
          <w:sz w:val="22"/>
          <w:szCs w:val="22"/>
        </w:rPr>
        <w:t xml:space="preserve">a statistical method known as the 95% upper confidence level method is applied to monthly % sulfur lab results for dry and fired brick using the following equations: </w:t>
      </w:r>
      <w:r w:rsidR="0054081F">
        <w:rPr>
          <w:rFonts w:ascii="Arial" w:hAnsi="Arial" w:cs="Arial"/>
          <w:sz w:val="22"/>
          <w:szCs w:val="22"/>
        </w:rPr>
        <w:t xml:space="preserve"> </w:t>
      </w:r>
    </w:p>
    <w:p w14:paraId="2AB5E59E" w14:textId="1F36B47E" w:rsidR="00BC7D2D" w:rsidRDefault="00BC7D2D" w:rsidP="00346E24">
      <w:pPr>
        <w:jc w:val="both"/>
        <w:rPr>
          <w:rFonts w:ascii="Arial" w:hAnsi="Arial" w:cs="Arial"/>
          <w:sz w:val="22"/>
          <w:szCs w:val="22"/>
        </w:rPr>
      </w:pPr>
    </w:p>
    <w:p w14:paraId="10B7144D" w14:textId="556A14F4" w:rsidR="00BC7D2D" w:rsidRPr="00BC7D2D" w:rsidRDefault="0043448C" w:rsidP="00346E24">
      <w:pPr>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r>
            <w:rPr>
              <w:rFonts w:ascii="Cambria Math" w:hAnsi="Cambria Math" w:cs="Arial"/>
              <w:sz w:val="22"/>
              <w:szCs w:val="22"/>
            </w:rPr>
            <m:t xml:space="preserve">=Xdm+ </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stdev</m:t>
                  </m:r>
                </m:e>
                <m:sub>
                  <m:r>
                    <w:rPr>
                      <w:rFonts w:ascii="Cambria Math" w:hAnsi="Cambria Math" w:cs="Arial"/>
                      <w:sz w:val="22"/>
                      <w:szCs w:val="22"/>
                    </w:rPr>
                    <m:t>dry</m:t>
                  </m:r>
                </m:sub>
              </m:sSub>
              <m:r>
                <w:rPr>
                  <w:rFonts w:ascii="Cambria Math" w:hAnsi="Cambria Math" w:cs="Arial"/>
                  <w:sz w:val="22"/>
                  <w:szCs w:val="22"/>
                </w:rPr>
                <m:t>* ndf</m:t>
              </m:r>
            </m:e>
          </m:d>
        </m:oMath>
      </m:oMathPara>
    </w:p>
    <w:p w14:paraId="26042E59" w14:textId="3B5016D4" w:rsidR="00A35A5F" w:rsidRPr="00BC7D2D" w:rsidRDefault="0043448C" w:rsidP="00A35A5F">
      <w:pPr>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lower</m:t>
              </m:r>
            </m:sub>
          </m:sSub>
          <m:r>
            <w:rPr>
              <w:rFonts w:ascii="Cambria Math" w:hAnsi="Cambria Math" w:cs="Arial"/>
              <w:sz w:val="22"/>
              <w:szCs w:val="22"/>
            </w:rPr>
            <m:t xml:space="preserve">=Xfm- </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stdev</m:t>
                  </m:r>
                </m:e>
                <m:sub>
                  <m:r>
                    <w:rPr>
                      <w:rFonts w:ascii="Cambria Math" w:hAnsi="Cambria Math" w:cs="Arial"/>
                      <w:sz w:val="22"/>
                      <w:szCs w:val="22"/>
                    </w:rPr>
                    <m:t>fired</m:t>
                  </m:r>
                </m:sub>
              </m:sSub>
              <m:r>
                <w:rPr>
                  <w:rFonts w:ascii="Cambria Math" w:hAnsi="Cambria Math" w:cs="Arial"/>
                  <w:sz w:val="22"/>
                  <w:szCs w:val="22"/>
                </w:rPr>
                <m:t>* ndf</m:t>
              </m:r>
            </m:e>
          </m:d>
        </m:oMath>
      </m:oMathPara>
    </w:p>
    <w:p w14:paraId="50E6E121" w14:textId="77777777" w:rsidR="00BD026F" w:rsidRDefault="00BD026F" w:rsidP="00346E24">
      <w:pPr>
        <w:jc w:val="both"/>
        <w:rPr>
          <w:rFonts w:ascii="Arial" w:hAnsi="Arial" w:cs="Arial"/>
          <w:sz w:val="22"/>
          <w:szCs w:val="22"/>
        </w:rPr>
      </w:pPr>
    </w:p>
    <w:p w14:paraId="62D8033F" w14:textId="12EE0949" w:rsidR="00BC7D2D" w:rsidRDefault="00A35A5F" w:rsidP="00346E24">
      <w:pPr>
        <w:jc w:val="both"/>
        <w:rPr>
          <w:rFonts w:ascii="Arial" w:hAnsi="Arial" w:cs="Arial"/>
          <w:sz w:val="22"/>
          <w:szCs w:val="22"/>
        </w:rPr>
      </w:pPr>
      <w:r>
        <w:rPr>
          <w:rFonts w:ascii="Arial" w:hAnsi="Arial" w:cs="Arial"/>
          <w:sz w:val="22"/>
          <w:szCs w:val="22"/>
        </w:rPr>
        <w:lastRenderedPageBreak/>
        <w:t>Where:</w:t>
      </w:r>
    </w:p>
    <w:p w14:paraId="1DB7A7F7" w14:textId="5A439FA7" w:rsidR="00A35A5F" w:rsidRPr="00A35A5F" w:rsidRDefault="0043448C" w:rsidP="00346E24">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r>
            <w:rPr>
              <w:rFonts w:ascii="Cambria Math" w:hAnsi="Cambria Math" w:cs="Arial"/>
              <w:sz w:val="22"/>
              <w:szCs w:val="22"/>
            </w:rPr>
            <m:t>= The 95% upper confidence level upper limit for dry brick</m:t>
          </m:r>
        </m:oMath>
      </m:oMathPara>
    </w:p>
    <w:p w14:paraId="242709FC" w14:textId="20699A99" w:rsidR="00A35A5F" w:rsidRPr="00A35A5F" w:rsidRDefault="0043448C" w:rsidP="00A35A5F">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lower</m:t>
              </m:r>
            </m:sub>
          </m:sSub>
          <m:r>
            <w:rPr>
              <w:rFonts w:ascii="Cambria Math" w:hAnsi="Cambria Math" w:cs="Arial"/>
              <w:sz w:val="22"/>
              <w:szCs w:val="22"/>
            </w:rPr>
            <m:t>= The 95% upper confidence level lower limit for fired brick</m:t>
          </m:r>
        </m:oMath>
      </m:oMathPara>
    </w:p>
    <w:p w14:paraId="305ADA31" w14:textId="4F623161" w:rsidR="00AC4036" w:rsidRPr="00AC4036" w:rsidRDefault="00AC4036" w:rsidP="00AC4036">
      <w:pPr>
        <w:jc w:val="both"/>
        <w:rPr>
          <w:rFonts w:ascii="Arial" w:hAnsi="Arial" w:cs="Arial"/>
          <w:iCs/>
          <w:sz w:val="22"/>
          <w:szCs w:val="22"/>
        </w:rPr>
      </w:pPr>
      <m:oMath>
        <m:r>
          <w:rPr>
            <w:rFonts w:ascii="Cambria Math" w:hAnsi="Cambria Math" w:cs="Arial"/>
            <w:sz w:val="22"/>
            <w:szCs w:val="22"/>
          </w:rPr>
          <m:t>Xdm</m:t>
        </m:r>
        <m:r>
          <m:rPr>
            <m:sty m:val="p"/>
          </m:rPr>
          <w:rPr>
            <w:rFonts w:ascii="Cambria Math" w:hAnsi="Cambria Math" w:cs="Arial"/>
            <w:sz w:val="22"/>
            <w:szCs w:val="22"/>
          </w:rPr>
          <m:t>=</m:t>
        </m:r>
        <m:r>
          <w:rPr>
            <w:rFonts w:ascii="Cambria Math" w:hAnsi="Cambria Math" w:cs="Arial"/>
            <w:sz w:val="22"/>
            <w:szCs w:val="22"/>
          </w:rPr>
          <m:t>% Total sulfur of dry brick (most recent lab result</m:t>
        </m:r>
      </m:oMath>
      <w:r w:rsidRPr="001F70BB">
        <w:rPr>
          <w:rFonts w:ascii="Arial" w:hAnsi="Arial" w:cs="Arial"/>
          <w:i/>
          <w:sz w:val="22"/>
          <w:szCs w:val="22"/>
        </w:rPr>
        <w:t>)</w:t>
      </w:r>
      <w:r w:rsidRPr="00AC4036">
        <w:rPr>
          <w:rFonts w:ascii="Arial" w:hAnsi="Arial" w:cs="Arial"/>
          <w:iCs/>
          <w:sz w:val="22"/>
          <w:szCs w:val="22"/>
        </w:rPr>
        <w:t xml:space="preserve"> </w:t>
      </w:r>
    </w:p>
    <w:p w14:paraId="19FCAAF4" w14:textId="5CBF5187" w:rsidR="00AC4036" w:rsidRPr="00AC4036" w:rsidRDefault="00AC4036" w:rsidP="00AC4036">
      <w:pPr>
        <w:jc w:val="both"/>
        <w:rPr>
          <w:rFonts w:ascii="Arial" w:hAnsi="Arial" w:cs="Arial"/>
          <w:sz w:val="22"/>
          <w:szCs w:val="22"/>
        </w:rPr>
      </w:pPr>
      <m:oMath>
        <m:r>
          <w:rPr>
            <w:rFonts w:ascii="Cambria Math" w:hAnsi="Cambria Math" w:cs="Arial"/>
            <w:sz w:val="22"/>
            <w:szCs w:val="22"/>
          </w:rPr>
          <m:t>Xfm=% Total sulfur of fired brick (most recent lab result)</m:t>
        </m:r>
      </m:oMath>
      <w:r>
        <w:rPr>
          <w:rFonts w:ascii="Arial" w:hAnsi="Arial" w:cs="Arial"/>
          <w:sz w:val="22"/>
          <w:szCs w:val="22"/>
        </w:rPr>
        <w:t xml:space="preserve"> </w:t>
      </w:r>
    </w:p>
    <w:p w14:paraId="327376F6" w14:textId="67163D2D" w:rsidR="00AC4036" w:rsidRPr="00AC4036" w:rsidRDefault="0043448C" w:rsidP="00346E24">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stdev</m:t>
              </m:r>
            </m:e>
            <m:sub>
              <m:r>
                <w:rPr>
                  <w:rFonts w:ascii="Cambria Math" w:hAnsi="Cambria Math" w:cs="Arial"/>
                  <w:sz w:val="22"/>
                  <w:szCs w:val="22"/>
                </w:rPr>
                <m:t>dry</m:t>
              </m:r>
            </m:sub>
          </m:sSub>
          <m:r>
            <w:rPr>
              <w:rFonts w:ascii="Cambria Math" w:hAnsi="Cambria Math" w:cs="Arial"/>
              <w:sz w:val="22"/>
              <w:szCs w:val="22"/>
            </w:rPr>
            <m:t>=standard deviation of % sulfur content of dry bricks for past 12 months</m:t>
          </m:r>
        </m:oMath>
      </m:oMathPara>
    </w:p>
    <w:p w14:paraId="1BBB1AB2" w14:textId="5DF38045" w:rsidR="00AC4036" w:rsidRPr="00AC4036" w:rsidRDefault="0043448C" w:rsidP="00346E24">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stdev</m:t>
              </m:r>
            </m:e>
            <m:sub>
              <m:r>
                <w:rPr>
                  <w:rFonts w:ascii="Cambria Math" w:hAnsi="Cambria Math" w:cs="Arial"/>
                  <w:sz w:val="22"/>
                  <w:szCs w:val="22"/>
                </w:rPr>
                <m:t>fired</m:t>
              </m:r>
            </m:sub>
          </m:sSub>
          <m:r>
            <w:rPr>
              <w:rFonts w:ascii="Cambria Math" w:hAnsi="Cambria Math" w:cs="Arial"/>
              <w:sz w:val="22"/>
              <w:szCs w:val="22"/>
            </w:rPr>
            <m:t>=standard deviation of % sulfur content of fired bricks for past 12 months</m:t>
          </m:r>
        </m:oMath>
      </m:oMathPara>
    </w:p>
    <w:p w14:paraId="24DB2B09" w14:textId="0DBD4E59" w:rsidR="00A35A5F" w:rsidRPr="00A35A5F" w:rsidRDefault="00AC4036" w:rsidP="00346E24">
      <w:pPr>
        <w:jc w:val="both"/>
        <w:rPr>
          <w:rFonts w:ascii="Arial" w:hAnsi="Arial" w:cs="Arial"/>
          <w:sz w:val="22"/>
          <w:szCs w:val="22"/>
        </w:rPr>
      </w:pPr>
      <m:oMathPara>
        <m:oMathParaPr>
          <m:jc m:val="left"/>
        </m:oMathParaPr>
        <m:oMath>
          <m:r>
            <w:rPr>
              <w:rFonts w:ascii="Cambria Math" w:hAnsi="Cambria Math" w:cs="Arial"/>
              <w:sz w:val="22"/>
              <w:szCs w:val="22"/>
            </w:rPr>
            <m:t xml:space="preserve">ndf=known factor for normal distribution factor (2.201) </m:t>
          </m:r>
        </m:oMath>
      </m:oMathPara>
    </w:p>
    <w:p w14:paraId="6CA35F13" w14:textId="618CBC11" w:rsidR="00A35A5F" w:rsidRDefault="00A35A5F" w:rsidP="00346E24">
      <w:pPr>
        <w:jc w:val="both"/>
        <w:rPr>
          <w:rFonts w:ascii="Arial" w:hAnsi="Arial" w:cs="Arial"/>
          <w:sz w:val="22"/>
          <w:szCs w:val="22"/>
        </w:rPr>
      </w:pPr>
    </w:p>
    <w:p w14:paraId="57A4B5CC" w14:textId="55355D60" w:rsidR="00EE0257" w:rsidRDefault="00E36997" w:rsidP="00346E24">
      <w:pPr>
        <w:jc w:val="both"/>
        <w:rPr>
          <w:rFonts w:ascii="Arial" w:hAnsi="Arial" w:cs="Arial"/>
          <w:sz w:val="22"/>
          <w:szCs w:val="22"/>
        </w:rPr>
      </w:pPr>
      <w:r>
        <w:rPr>
          <w:rFonts w:ascii="Arial" w:hAnsi="Arial" w:cs="Arial"/>
          <w:sz w:val="22"/>
          <w:szCs w:val="22"/>
        </w:rPr>
        <w:t>Next the sulfur release factor</w:t>
      </w:r>
      <w:r w:rsidR="00EE0257">
        <w:rPr>
          <w:rFonts w:ascii="Arial" w:hAnsi="Arial" w:cs="Arial"/>
          <w:sz w:val="22"/>
          <w:szCs w:val="22"/>
        </w:rPr>
        <w:t xml:space="preserve">, which is the amount of sulfur that is emitted when the bricks are baked in the kiln, is determined using the following equations: </w:t>
      </w:r>
    </w:p>
    <w:p w14:paraId="7B4C1C57" w14:textId="77777777" w:rsidR="002179E7" w:rsidRDefault="002179E7" w:rsidP="00346E24">
      <w:pPr>
        <w:jc w:val="both"/>
        <w:rPr>
          <w:rFonts w:ascii="Arial" w:hAnsi="Arial" w:cs="Arial"/>
          <w:sz w:val="22"/>
          <w:szCs w:val="22"/>
        </w:rPr>
      </w:pPr>
    </w:p>
    <w:p w14:paraId="624D669E" w14:textId="6369D83D" w:rsidR="00EE0257" w:rsidRPr="006D7684" w:rsidRDefault="006D7684" w:rsidP="00346E24">
      <w:pPr>
        <w:jc w:val="both"/>
        <w:rPr>
          <w:rFonts w:ascii="Arial" w:hAnsi="Arial" w:cs="Arial"/>
          <w:sz w:val="22"/>
          <w:szCs w:val="22"/>
        </w:rPr>
      </w:pPr>
      <m:oMathPara>
        <m:oMath>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I*</m:t>
              </m:r>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num>
                    <m:den>
                      <m:r>
                        <w:rPr>
                          <w:rFonts w:ascii="Cambria Math" w:hAnsi="Cambria Math" w:cs="Arial"/>
                          <w:sz w:val="22"/>
                          <w:szCs w:val="22"/>
                        </w:rPr>
                        <m:t>100</m:t>
                      </m:r>
                    </m:den>
                  </m:f>
                </m:e>
              </m:d>
            </m:e>
          </m:d>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K*</m:t>
              </m:r>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lower</m:t>
                          </m:r>
                        </m:sub>
                      </m:sSub>
                    </m:num>
                    <m:den>
                      <m:r>
                        <w:rPr>
                          <w:rFonts w:ascii="Cambria Math" w:hAnsi="Cambria Math" w:cs="Arial"/>
                          <w:sz w:val="22"/>
                          <w:szCs w:val="22"/>
                        </w:rPr>
                        <m:t>100</m:t>
                      </m:r>
                    </m:den>
                  </m:f>
                </m:e>
              </m:d>
            </m:e>
          </m:d>
        </m:oMath>
      </m:oMathPara>
    </w:p>
    <w:p w14:paraId="6E99770C" w14:textId="039DFB56" w:rsidR="006D7684" w:rsidRDefault="006D7684" w:rsidP="00346E24">
      <w:pPr>
        <w:jc w:val="both"/>
        <w:rPr>
          <w:rFonts w:ascii="Arial" w:hAnsi="Arial" w:cs="Arial"/>
          <w:sz w:val="22"/>
          <w:szCs w:val="22"/>
        </w:rPr>
      </w:pPr>
      <m:oMathPara>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R</m:t>
              </m:r>
            </m:num>
            <m:den>
              <m:d>
                <m:dPr>
                  <m:ctrlPr>
                    <w:rPr>
                      <w:rFonts w:ascii="Cambria Math" w:hAnsi="Cambria Math" w:cs="Arial"/>
                      <w:i/>
                      <w:sz w:val="22"/>
                      <w:szCs w:val="22"/>
                    </w:rPr>
                  </m:ctrlPr>
                </m:dPr>
                <m:e>
                  <m:r>
                    <w:rPr>
                      <w:rFonts w:ascii="Cambria Math" w:hAnsi="Cambria Math" w:cs="Arial"/>
                      <w:sz w:val="22"/>
                      <w:szCs w:val="22"/>
                    </w:rPr>
                    <m:t>I*</m:t>
                  </m:r>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num>
                        <m:den>
                          <m:r>
                            <w:rPr>
                              <w:rFonts w:ascii="Cambria Math" w:hAnsi="Cambria Math" w:cs="Arial"/>
                              <w:sz w:val="22"/>
                              <w:szCs w:val="22"/>
                            </w:rPr>
                            <m:t>100</m:t>
                          </m:r>
                        </m:den>
                      </m:f>
                    </m:e>
                  </m:d>
                </m:e>
              </m:d>
            </m:den>
          </m:f>
          <m:r>
            <w:rPr>
              <w:rFonts w:ascii="Cambria Math" w:hAnsi="Cambria Math" w:cs="Arial"/>
              <w:sz w:val="22"/>
              <w:szCs w:val="22"/>
            </w:rPr>
            <m:t>)*100</m:t>
          </m:r>
        </m:oMath>
      </m:oMathPara>
    </w:p>
    <w:p w14:paraId="2ED17D9C" w14:textId="77777777" w:rsidR="004864C0" w:rsidRDefault="004864C0" w:rsidP="00346E24">
      <w:pPr>
        <w:jc w:val="both"/>
        <w:rPr>
          <w:rFonts w:ascii="Arial" w:hAnsi="Arial" w:cs="Arial"/>
          <w:sz w:val="22"/>
          <w:szCs w:val="22"/>
        </w:rPr>
      </w:pPr>
      <w:r>
        <w:rPr>
          <w:rFonts w:ascii="Arial" w:hAnsi="Arial" w:cs="Arial"/>
          <w:sz w:val="22"/>
          <w:szCs w:val="22"/>
        </w:rPr>
        <w:t xml:space="preserve">Where: </w:t>
      </w:r>
    </w:p>
    <w:p w14:paraId="6F17D2AE" w14:textId="5E71259A" w:rsidR="00E36997" w:rsidRDefault="004864C0" w:rsidP="00346E24">
      <w:pPr>
        <w:jc w:val="both"/>
        <w:rPr>
          <w:rFonts w:ascii="Arial" w:hAnsi="Arial" w:cs="Arial"/>
          <w:sz w:val="22"/>
          <w:szCs w:val="22"/>
        </w:rPr>
      </w:pPr>
      <m:oMath>
        <m:r>
          <w:rPr>
            <w:rFonts w:ascii="Cambria Math" w:hAnsi="Cambria Math" w:cs="Arial"/>
            <w:sz w:val="22"/>
            <w:szCs w:val="22"/>
          </w:rPr>
          <m:t xml:space="preserve">R=weight </m:t>
        </m:r>
        <m:d>
          <m:dPr>
            <m:ctrlPr>
              <w:rPr>
                <w:rFonts w:ascii="Cambria Math" w:hAnsi="Cambria Math" w:cs="Arial"/>
                <w:i/>
                <w:sz w:val="22"/>
                <w:szCs w:val="22"/>
              </w:rPr>
            </m:ctrlPr>
          </m:dPr>
          <m:e>
            <m:r>
              <w:rPr>
                <w:rFonts w:ascii="Cambria Math" w:hAnsi="Cambria Math" w:cs="Arial"/>
                <w:sz w:val="22"/>
                <w:szCs w:val="22"/>
              </w:rPr>
              <m:t>lbs</m:t>
            </m:r>
          </m:e>
        </m:d>
        <m:r>
          <w:rPr>
            <w:rFonts w:ascii="Cambria Math" w:hAnsi="Cambria Math" w:cs="Arial"/>
            <w:sz w:val="22"/>
            <w:szCs w:val="22"/>
          </w:rPr>
          <m:t>of sulfur released when brick is fired in kiln</m:t>
        </m:r>
      </m:oMath>
      <w:r w:rsidR="00E36997">
        <w:rPr>
          <w:rFonts w:ascii="Arial" w:hAnsi="Arial" w:cs="Arial"/>
          <w:sz w:val="22"/>
          <w:szCs w:val="22"/>
        </w:rPr>
        <w:t xml:space="preserve"> </w:t>
      </w:r>
    </w:p>
    <w:p w14:paraId="4F7820C4" w14:textId="76CC8AED" w:rsidR="004864C0" w:rsidRPr="004864C0" w:rsidRDefault="004864C0" w:rsidP="00346E24">
      <w:pPr>
        <w:jc w:val="both"/>
        <w:rPr>
          <w:rFonts w:ascii="Arial" w:hAnsi="Arial" w:cs="Arial"/>
          <w:sz w:val="22"/>
          <w:szCs w:val="22"/>
        </w:rPr>
      </w:pPr>
      <m:oMathPara>
        <m:oMathParaPr>
          <m:jc m:val="left"/>
        </m:oMathParaPr>
        <m:oMath>
          <m:r>
            <w:rPr>
              <w:rFonts w:ascii="Cambria Math" w:hAnsi="Cambria Math" w:cs="Arial"/>
              <w:sz w:val="22"/>
              <w:szCs w:val="22"/>
            </w:rPr>
            <m:t xml:space="preserve">R%=percent </m:t>
          </m:r>
          <m:d>
            <m:dPr>
              <m:ctrlPr>
                <w:rPr>
                  <w:rFonts w:ascii="Cambria Math" w:hAnsi="Cambria Math" w:cs="Arial"/>
                  <w:i/>
                  <w:sz w:val="22"/>
                  <w:szCs w:val="22"/>
                </w:rPr>
              </m:ctrlPr>
            </m:dPr>
            <m:e>
              <m:r>
                <w:rPr>
                  <w:rFonts w:ascii="Cambria Math" w:hAnsi="Cambria Math" w:cs="Arial"/>
                  <w:sz w:val="22"/>
                  <w:szCs w:val="22"/>
                </w:rPr>
                <m:t>%</m:t>
              </m:r>
            </m:e>
          </m:d>
          <m:r>
            <w:rPr>
              <w:rFonts w:ascii="Cambria Math" w:hAnsi="Cambria Math" w:cs="Arial"/>
              <w:sz w:val="22"/>
              <w:szCs w:val="22"/>
            </w:rPr>
            <m:t xml:space="preserve"> of sulfur from dry brick released when brick is fired in kiln</m:t>
          </m:r>
        </m:oMath>
      </m:oMathPara>
    </w:p>
    <w:p w14:paraId="23DF34C8" w14:textId="7D04ECBE" w:rsidR="004864C0" w:rsidRPr="004864C0" w:rsidRDefault="004864C0" w:rsidP="00346E24">
      <w:pPr>
        <w:jc w:val="both"/>
        <w:rPr>
          <w:rFonts w:ascii="Arial" w:hAnsi="Arial" w:cs="Arial"/>
          <w:sz w:val="22"/>
          <w:szCs w:val="22"/>
        </w:rPr>
      </w:pPr>
      <m:oMathPara>
        <m:oMathParaPr>
          <m:jc m:val="left"/>
        </m:oMathParaPr>
        <m:oMath>
          <m:r>
            <w:rPr>
              <w:rFonts w:ascii="Cambria Math" w:hAnsi="Cambria Math" w:cs="Arial"/>
              <w:sz w:val="22"/>
              <w:szCs w:val="22"/>
            </w:rPr>
            <m:t xml:space="preserve">I=weight </m:t>
          </m:r>
          <m:d>
            <m:dPr>
              <m:ctrlPr>
                <w:rPr>
                  <w:rFonts w:ascii="Cambria Math" w:hAnsi="Cambria Math" w:cs="Arial"/>
                  <w:i/>
                  <w:sz w:val="22"/>
                  <w:szCs w:val="22"/>
                </w:rPr>
              </m:ctrlPr>
            </m:dPr>
            <m:e>
              <m:r>
                <w:rPr>
                  <w:rFonts w:ascii="Cambria Math" w:hAnsi="Cambria Math" w:cs="Arial"/>
                  <w:sz w:val="22"/>
                  <w:szCs w:val="22"/>
                </w:rPr>
                <m:t>lbs</m:t>
              </m:r>
            </m:e>
          </m:d>
          <m:r>
            <w:rPr>
              <w:rFonts w:ascii="Cambria Math" w:hAnsi="Cambria Math" w:cs="Arial"/>
              <w:sz w:val="22"/>
              <w:szCs w:val="22"/>
            </w:rPr>
            <m:t>of brick used in the dry brick monthly sulfur test</m:t>
          </m:r>
        </m:oMath>
      </m:oMathPara>
    </w:p>
    <w:p w14:paraId="237E2D5B" w14:textId="712978D5" w:rsidR="004864C0" w:rsidRPr="00A35A5F" w:rsidRDefault="0043448C" w:rsidP="004864C0">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r>
            <w:rPr>
              <w:rFonts w:ascii="Cambria Math" w:hAnsi="Cambria Math" w:cs="Arial"/>
              <w:sz w:val="22"/>
              <w:szCs w:val="22"/>
            </w:rPr>
            <m:t>= The 95% upper confidence level upper limit for dry brick</m:t>
          </m:r>
        </m:oMath>
      </m:oMathPara>
    </w:p>
    <w:p w14:paraId="1FBFE262" w14:textId="6F7B1D1C" w:rsidR="004864C0" w:rsidRPr="001F70BB" w:rsidRDefault="004864C0" w:rsidP="004864C0">
      <w:pPr>
        <w:jc w:val="both"/>
        <w:rPr>
          <w:rFonts w:ascii="Arial" w:hAnsi="Arial" w:cs="Arial"/>
          <w:sz w:val="22"/>
          <w:szCs w:val="22"/>
        </w:rPr>
      </w:pPr>
      <m:oMathPara>
        <m:oMathParaPr>
          <m:jc m:val="left"/>
        </m:oMathParaPr>
        <m:oMath>
          <m:r>
            <w:rPr>
              <w:rFonts w:ascii="Cambria Math" w:hAnsi="Cambria Math" w:cs="Arial"/>
              <w:sz w:val="22"/>
              <w:szCs w:val="22"/>
            </w:rPr>
            <m:t>K= weight (lbs) of brick used in the fired brick monthly sulfur test</m:t>
          </m:r>
        </m:oMath>
      </m:oMathPara>
    </w:p>
    <w:p w14:paraId="61947B03" w14:textId="77777777" w:rsidR="0072074B" w:rsidRPr="00A35A5F" w:rsidRDefault="0043448C" w:rsidP="0072074B">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lower</m:t>
              </m:r>
            </m:sub>
          </m:sSub>
          <m:r>
            <w:rPr>
              <w:rFonts w:ascii="Cambria Math" w:hAnsi="Cambria Math" w:cs="Arial"/>
              <w:sz w:val="22"/>
              <w:szCs w:val="22"/>
            </w:rPr>
            <m:t>= The 95% upper confidence level lower limit for fired brick</m:t>
          </m:r>
        </m:oMath>
      </m:oMathPara>
    </w:p>
    <w:p w14:paraId="1296957A" w14:textId="77777777" w:rsidR="004864C0" w:rsidRPr="004864C0" w:rsidRDefault="004864C0" w:rsidP="004864C0">
      <w:pPr>
        <w:jc w:val="both"/>
        <w:rPr>
          <w:rFonts w:ascii="Arial" w:hAnsi="Arial" w:cs="Arial"/>
          <w:sz w:val="22"/>
          <w:szCs w:val="22"/>
        </w:rPr>
      </w:pPr>
    </w:p>
    <w:p w14:paraId="3001703A" w14:textId="131EF7C8" w:rsidR="004864C0" w:rsidRDefault="002C5D44" w:rsidP="004864C0">
      <w:pPr>
        <w:jc w:val="both"/>
        <w:rPr>
          <w:rFonts w:ascii="Arial" w:hAnsi="Arial" w:cs="Arial"/>
          <w:sz w:val="22"/>
          <w:szCs w:val="22"/>
        </w:rPr>
      </w:pPr>
      <w:r>
        <w:rPr>
          <w:rFonts w:ascii="Arial" w:hAnsi="Arial" w:cs="Arial"/>
          <w:sz w:val="22"/>
          <w:szCs w:val="22"/>
        </w:rPr>
        <w:t>Finally, the lime feed rate in pounds per hour (lbs/hr) is calculated using the following equation</w:t>
      </w:r>
      <w:r w:rsidR="000C6F59">
        <w:rPr>
          <w:rFonts w:ascii="Arial" w:hAnsi="Arial" w:cs="Arial"/>
          <w:sz w:val="22"/>
          <w:szCs w:val="22"/>
        </w:rPr>
        <w:t xml:space="preserve">, which </w:t>
      </w:r>
      <w:r w:rsidR="00145093">
        <w:rPr>
          <w:rFonts w:ascii="Arial" w:hAnsi="Arial" w:cs="Arial"/>
          <w:sz w:val="22"/>
          <w:szCs w:val="22"/>
        </w:rPr>
        <w:t>considers</w:t>
      </w:r>
      <w:r w:rsidR="000C6F59">
        <w:rPr>
          <w:rFonts w:ascii="Arial" w:hAnsi="Arial" w:cs="Arial"/>
          <w:sz w:val="22"/>
          <w:szCs w:val="22"/>
        </w:rPr>
        <w:t xml:space="preserve"> the </w:t>
      </w:r>
      <w:r w:rsidR="00C9357D">
        <w:rPr>
          <w:rFonts w:ascii="Arial" w:hAnsi="Arial" w:cs="Arial"/>
          <w:sz w:val="22"/>
          <w:szCs w:val="22"/>
        </w:rPr>
        <w:t xml:space="preserve">weight </w:t>
      </w:r>
      <w:r w:rsidR="000C6F59">
        <w:rPr>
          <w:rFonts w:ascii="Arial" w:hAnsi="Arial" w:cs="Arial"/>
          <w:sz w:val="22"/>
          <w:szCs w:val="22"/>
        </w:rPr>
        <w:t>of bricks processed, the amount of sulfur in the brick</w:t>
      </w:r>
      <w:r w:rsidR="00C9357D">
        <w:rPr>
          <w:rFonts w:ascii="Arial" w:hAnsi="Arial" w:cs="Arial"/>
          <w:sz w:val="22"/>
          <w:szCs w:val="22"/>
        </w:rPr>
        <w:t>,</w:t>
      </w:r>
      <w:r w:rsidR="000C6F59">
        <w:rPr>
          <w:rFonts w:ascii="Arial" w:hAnsi="Arial" w:cs="Arial"/>
          <w:sz w:val="22"/>
          <w:szCs w:val="22"/>
        </w:rPr>
        <w:t xml:space="preserve"> </w:t>
      </w:r>
      <w:r w:rsidR="00C9357D">
        <w:rPr>
          <w:rFonts w:ascii="Arial" w:hAnsi="Arial" w:cs="Arial"/>
          <w:sz w:val="22"/>
          <w:szCs w:val="22"/>
        </w:rPr>
        <w:t xml:space="preserve">the amount of sulfur </w:t>
      </w:r>
      <w:r w:rsidR="000C6F59">
        <w:rPr>
          <w:rFonts w:ascii="Arial" w:hAnsi="Arial" w:cs="Arial"/>
          <w:sz w:val="22"/>
          <w:szCs w:val="22"/>
        </w:rPr>
        <w:t>released</w:t>
      </w:r>
      <w:r w:rsidR="00C9357D">
        <w:rPr>
          <w:rFonts w:ascii="Arial" w:hAnsi="Arial" w:cs="Arial"/>
          <w:sz w:val="22"/>
          <w:szCs w:val="22"/>
        </w:rPr>
        <w:t xml:space="preserve"> by firing</w:t>
      </w:r>
      <w:r w:rsidR="000C6F59">
        <w:rPr>
          <w:rFonts w:ascii="Arial" w:hAnsi="Arial" w:cs="Arial"/>
          <w:sz w:val="22"/>
          <w:szCs w:val="22"/>
        </w:rPr>
        <w:t xml:space="preserve">, and </w:t>
      </w:r>
      <w:r w:rsidR="00C9357D">
        <w:rPr>
          <w:rFonts w:ascii="Arial" w:hAnsi="Arial" w:cs="Arial"/>
          <w:sz w:val="22"/>
          <w:szCs w:val="22"/>
        </w:rPr>
        <w:t xml:space="preserve">multiplying factors to make sure there is </w:t>
      </w:r>
      <w:r w:rsidR="00145093">
        <w:rPr>
          <w:rFonts w:ascii="Arial" w:hAnsi="Arial" w:cs="Arial"/>
          <w:sz w:val="22"/>
          <w:szCs w:val="22"/>
        </w:rPr>
        <w:t>an</w:t>
      </w:r>
      <w:r w:rsidR="00C9357D">
        <w:rPr>
          <w:rFonts w:ascii="Arial" w:hAnsi="Arial" w:cs="Arial"/>
          <w:sz w:val="22"/>
          <w:szCs w:val="22"/>
        </w:rPr>
        <w:t xml:space="preserve"> abundance of lime to react</w:t>
      </w:r>
      <w:r>
        <w:rPr>
          <w:rFonts w:ascii="Arial" w:hAnsi="Arial" w:cs="Arial"/>
          <w:sz w:val="22"/>
          <w:szCs w:val="22"/>
        </w:rPr>
        <w:t xml:space="preserve">: </w:t>
      </w:r>
    </w:p>
    <w:p w14:paraId="56E65FD0" w14:textId="5EF6919E" w:rsidR="002C5D44" w:rsidRDefault="002C5D44" w:rsidP="004864C0">
      <w:pPr>
        <w:jc w:val="both"/>
        <w:rPr>
          <w:rFonts w:ascii="Arial" w:hAnsi="Arial" w:cs="Arial"/>
          <w:sz w:val="22"/>
          <w:szCs w:val="22"/>
        </w:rPr>
      </w:pPr>
    </w:p>
    <w:p w14:paraId="343D392F" w14:textId="6E1BD1A9" w:rsidR="002C5D44" w:rsidRPr="001F70BB" w:rsidRDefault="001F70BB" w:rsidP="004864C0">
      <w:pPr>
        <w:jc w:val="both"/>
        <w:rPr>
          <w:rFonts w:ascii="Arial" w:hAnsi="Arial" w:cs="Arial"/>
          <w:sz w:val="22"/>
          <w:szCs w:val="22"/>
        </w:rPr>
      </w:pPr>
      <m:oMathPara>
        <m:oMathParaPr>
          <m:jc m:val="center"/>
        </m:oMathParaPr>
        <m:oMath>
          <m:r>
            <w:rPr>
              <w:rFonts w:ascii="Cambria Math" w:hAnsi="Cambria Math" w:cs="Arial"/>
              <w:sz w:val="22"/>
              <w:szCs w:val="22"/>
            </w:rPr>
            <m:t>H=Z*</m:t>
          </m:r>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num>
                <m:den>
                  <m:r>
                    <w:rPr>
                      <w:rFonts w:ascii="Cambria Math" w:hAnsi="Cambria Math" w:cs="Arial"/>
                      <w:sz w:val="22"/>
                      <w:szCs w:val="22"/>
                    </w:rPr>
                    <m:t>100</m:t>
                  </m:r>
                </m:den>
              </m:f>
            </m:e>
          </m:d>
          <m:r>
            <w:rPr>
              <w:rFonts w:ascii="Cambria Math" w:hAnsi="Cambria Math" w:cs="Arial"/>
              <w:sz w:val="22"/>
              <w:szCs w:val="22"/>
            </w:rPr>
            <m:t>*2*</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R%</m:t>
                  </m:r>
                </m:num>
                <m:den>
                  <m:r>
                    <w:rPr>
                      <w:rFonts w:ascii="Cambria Math" w:hAnsi="Cambria Math" w:cs="Arial"/>
                      <w:sz w:val="22"/>
                      <w:szCs w:val="22"/>
                    </w:rPr>
                    <m:t>100</m:t>
                  </m:r>
                </m:den>
              </m:f>
            </m:e>
          </m:d>
          <m:r>
            <w:rPr>
              <w:rFonts w:ascii="Cambria Math" w:hAnsi="Cambria Math" w:cs="Arial"/>
              <w:sz w:val="22"/>
              <w:szCs w:val="22"/>
            </w:rPr>
            <m:t>*</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U</m:t>
                  </m:r>
                </m:num>
                <m:den>
                  <m:r>
                    <w:rPr>
                      <w:rFonts w:ascii="Cambria Math" w:hAnsi="Cambria Math" w:cs="Arial"/>
                      <w:sz w:val="22"/>
                      <w:szCs w:val="22"/>
                    </w:rPr>
                    <m:t>24</m:t>
                  </m:r>
                </m:den>
              </m:f>
            </m:e>
          </m:d>
          <m:r>
            <w:rPr>
              <w:rFonts w:ascii="Cambria Math" w:hAnsi="Cambria Math" w:cs="Arial"/>
              <w:sz w:val="22"/>
              <w:szCs w:val="22"/>
            </w:rPr>
            <m:t>*V*W</m:t>
          </m:r>
        </m:oMath>
      </m:oMathPara>
    </w:p>
    <w:p w14:paraId="3C473BBA" w14:textId="5EB934DF" w:rsidR="001F70BB" w:rsidRDefault="001F70BB" w:rsidP="004864C0">
      <w:pPr>
        <w:jc w:val="both"/>
        <w:rPr>
          <w:rFonts w:ascii="Arial" w:hAnsi="Arial" w:cs="Arial"/>
          <w:sz w:val="22"/>
          <w:szCs w:val="22"/>
        </w:rPr>
      </w:pPr>
      <w:r>
        <w:rPr>
          <w:rFonts w:ascii="Arial" w:hAnsi="Arial" w:cs="Arial"/>
          <w:sz w:val="22"/>
          <w:szCs w:val="22"/>
        </w:rPr>
        <w:t xml:space="preserve">Where: </w:t>
      </w:r>
    </w:p>
    <w:p w14:paraId="022E44E1" w14:textId="19BBC2F2" w:rsidR="001F70BB" w:rsidRPr="003F08FC" w:rsidRDefault="003F08FC" w:rsidP="004864C0">
      <w:pPr>
        <w:jc w:val="both"/>
        <w:rPr>
          <w:rFonts w:ascii="Arial" w:hAnsi="Arial" w:cs="Arial"/>
          <w:sz w:val="22"/>
          <w:szCs w:val="22"/>
        </w:rPr>
      </w:pPr>
      <m:oMathPara>
        <m:oMathParaPr>
          <m:jc m:val="left"/>
        </m:oMathParaPr>
        <m:oMath>
          <m:r>
            <w:rPr>
              <w:rFonts w:ascii="Cambria Math" w:hAnsi="Cambria Math" w:cs="Arial"/>
              <w:sz w:val="22"/>
              <w:szCs w:val="22"/>
            </w:rPr>
            <m:t>H=Lime Feed Rate (</m:t>
          </m:r>
          <m:f>
            <m:fPr>
              <m:ctrlPr>
                <w:rPr>
                  <w:rFonts w:ascii="Cambria Math" w:hAnsi="Cambria Math" w:cs="Arial"/>
                  <w:i/>
                  <w:sz w:val="22"/>
                  <w:szCs w:val="22"/>
                </w:rPr>
              </m:ctrlPr>
            </m:fPr>
            <m:num>
              <m:r>
                <w:rPr>
                  <w:rFonts w:ascii="Cambria Math" w:hAnsi="Cambria Math" w:cs="Arial"/>
                  <w:sz w:val="22"/>
                  <w:szCs w:val="22"/>
                </w:rPr>
                <m:t>lbs</m:t>
              </m:r>
            </m:num>
            <m:den>
              <m:r>
                <w:rPr>
                  <w:rFonts w:ascii="Cambria Math" w:hAnsi="Cambria Math" w:cs="Arial"/>
                  <w:sz w:val="22"/>
                  <w:szCs w:val="22"/>
                </w:rPr>
                <m:t>hr</m:t>
              </m:r>
            </m:den>
          </m:f>
          <m:r>
            <w:rPr>
              <w:rFonts w:ascii="Cambria Math" w:hAnsi="Cambria Math" w:cs="Arial"/>
              <w:sz w:val="22"/>
              <w:szCs w:val="22"/>
            </w:rPr>
            <m:t>)</m:t>
          </m:r>
        </m:oMath>
      </m:oMathPara>
    </w:p>
    <w:p w14:paraId="227D32C2" w14:textId="43719865" w:rsidR="003F08FC" w:rsidRPr="006959CC" w:rsidRDefault="003F08FC" w:rsidP="003F08FC">
      <w:pPr>
        <w:jc w:val="both"/>
        <w:rPr>
          <w:rFonts w:ascii="Arial" w:hAnsi="Arial" w:cs="Arial"/>
          <w:sz w:val="22"/>
          <w:szCs w:val="22"/>
        </w:rPr>
      </w:pPr>
      <m:oMathPara>
        <m:oMathParaPr>
          <m:jc m:val="left"/>
        </m:oMathParaPr>
        <m:oMath>
          <m:r>
            <w:rPr>
              <w:rFonts w:ascii="Cambria Math" w:hAnsi="Cambria Math" w:cs="Arial"/>
              <w:sz w:val="22"/>
              <w:szCs w:val="22"/>
            </w:rPr>
            <m:t>Z=weight of brick per car (lbs)</m:t>
          </m:r>
        </m:oMath>
      </m:oMathPara>
    </w:p>
    <w:p w14:paraId="66BF8703" w14:textId="39FBFF0F" w:rsidR="006959CC" w:rsidRPr="006959CC" w:rsidRDefault="0043448C" w:rsidP="004864C0">
      <w:pPr>
        <w:jc w:val="both"/>
        <w:rPr>
          <w:rFonts w:ascii="Arial" w:hAnsi="Arial" w:cs="Arial"/>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UCL95</m:t>
              </m:r>
            </m:e>
            <m:sub>
              <m:r>
                <w:rPr>
                  <w:rFonts w:ascii="Cambria Math" w:hAnsi="Cambria Math" w:cs="Arial"/>
                  <w:sz w:val="22"/>
                  <w:szCs w:val="22"/>
                </w:rPr>
                <m:t>upper</m:t>
              </m:r>
            </m:sub>
          </m:sSub>
          <m:r>
            <w:rPr>
              <w:rFonts w:ascii="Cambria Math" w:hAnsi="Cambria Math" w:cs="Arial"/>
              <w:sz w:val="22"/>
              <w:szCs w:val="22"/>
            </w:rPr>
            <m:t>= The 95% upper confidence level upper limit for dry brick</m:t>
          </m:r>
        </m:oMath>
      </m:oMathPara>
    </w:p>
    <w:p w14:paraId="7A06FD27" w14:textId="6E3A33D4" w:rsidR="003F08FC" w:rsidRPr="004864C0" w:rsidRDefault="003F08FC" w:rsidP="003F08FC">
      <w:pPr>
        <w:jc w:val="both"/>
        <w:rPr>
          <w:rFonts w:ascii="Arial" w:hAnsi="Arial" w:cs="Arial"/>
          <w:sz w:val="22"/>
          <w:szCs w:val="22"/>
        </w:rPr>
      </w:pPr>
      <m:oMathPara>
        <m:oMathParaPr>
          <m:jc m:val="left"/>
        </m:oMathParaPr>
        <m:oMath>
          <m:r>
            <w:rPr>
              <w:rFonts w:ascii="Cambria Math" w:hAnsi="Cambria Math" w:cs="Arial"/>
              <w:sz w:val="22"/>
              <w:szCs w:val="22"/>
            </w:rPr>
            <m:t xml:space="preserve">R%=percent </m:t>
          </m:r>
          <m:d>
            <m:dPr>
              <m:ctrlPr>
                <w:rPr>
                  <w:rFonts w:ascii="Cambria Math" w:hAnsi="Cambria Math" w:cs="Arial"/>
                  <w:i/>
                  <w:sz w:val="22"/>
                  <w:szCs w:val="22"/>
                </w:rPr>
              </m:ctrlPr>
            </m:dPr>
            <m:e>
              <m:r>
                <w:rPr>
                  <w:rFonts w:ascii="Cambria Math" w:hAnsi="Cambria Math" w:cs="Arial"/>
                  <w:sz w:val="22"/>
                  <w:szCs w:val="22"/>
                </w:rPr>
                <m:t>%</m:t>
              </m:r>
            </m:e>
          </m:d>
          <m:r>
            <w:rPr>
              <w:rFonts w:ascii="Cambria Math" w:hAnsi="Cambria Math" w:cs="Arial"/>
              <w:sz w:val="22"/>
              <w:szCs w:val="22"/>
            </w:rPr>
            <m:t xml:space="preserve"> of sulfur from dry brick released when brick is fired in kiln</m:t>
          </m:r>
        </m:oMath>
      </m:oMathPara>
    </w:p>
    <w:p w14:paraId="3A4E5D1E" w14:textId="0495A00A" w:rsidR="006959CC" w:rsidRPr="006959CC" w:rsidRDefault="003F08FC" w:rsidP="004864C0">
      <w:pPr>
        <w:jc w:val="both"/>
        <w:rPr>
          <w:rFonts w:ascii="Arial" w:hAnsi="Arial" w:cs="Arial"/>
          <w:sz w:val="22"/>
          <w:szCs w:val="22"/>
        </w:rPr>
      </w:pPr>
      <m:oMathPara>
        <m:oMathParaPr>
          <m:jc m:val="left"/>
        </m:oMathParaPr>
        <m:oMath>
          <m:r>
            <w:rPr>
              <w:rFonts w:ascii="Cambria Math" w:hAnsi="Cambria Math" w:cs="Arial"/>
              <w:sz w:val="22"/>
              <w:szCs w:val="22"/>
            </w:rPr>
            <m:t>U=number of brick cars expected through the kiln</m:t>
          </m:r>
        </m:oMath>
      </m:oMathPara>
    </w:p>
    <w:p w14:paraId="27AC62BC" w14:textId="5ECCBE45" w:rsidR="006959CC" w:rsidRPr="006959CC" w:rsidRDefault="003F08FC" w:rsidP="004864C0">
      <w:pPr>
        <w:jc w:val="both"/>
        <w:rPr>
          <w:rFonts w:ascii="Arial" w:hAnsi="Arial" w:cs="Arial"/>
          <w:sz w:val="22"/>
          <w:szCs w:val="22"/>
        </w:rPr>
      </w:pPr>
      <m:oMathPara>
        <m:oMathParaPr>
          <m:jc m:val="left"/>
        </m:oMathParaPr>
        <m:oMath>
          <m:r>
            <w:rPr>
              <w:rFonts w:ascii="Cambria Math" w:hAnsi="Cambria Math" w:cs="Arial"/>
              <w:sz w:val="22"/>
              <w:szCs w:val="22"/>
            </w:rPr>
            <m:t>V=stoichiometric factor</m:t>
          </m:r>
        </m:oMath>
      </m:oMathPara>
    </w:p>
    <w:p w14:paraId="3B4EE852" w14:textId="3884D87A" w:rsidR="006959CC" w:rsidRPr="006959CC" w:rsidRDefault="003F08FC" w:rsidP="004864C0">
      <w:pPr>
        <w:jc w:val="both"/>
        <w:rPr>
          <w:rFonts w:ascii="Arial" w:hAnsi="Arial" w:cs="Arial"/>
          <w:sz w:val="22"/>
          <w:szCs w:val="22"/>
        </w:rPr>
      </w:pPr>
      <m:oMathPara>
        <m:oMathParaPr>
          <m:jc m:val="left"/>
        </m:oMathParaPr>
        <m:oMath>
          <m:r>
            <w:rPr>
              <w:rFonts w:ascii="Cambria Math" w:hAnsi="Cambria Math" w:cs="Arial"/>
              <w:sz w:val="22"/>
              <w:szCs w:val="22"/>
            </w:rPr>
            <m:t>W=safety factor</m:t>
          </m:r>
        </m:oMath>
      </m:oMathPara>
    </w:p>
    <w:p w14:paraId="5137D4C3" w14:textId="6A17F3C4" w:rsidR="006959CC" w:rsidRDefault="006959CC" w:rsidP="004864C0">
      <w:pPr>
        <w:jc w:val="both"/>
        <w:rPr>
          <w:rFonts w:ascii="Arial" w:hAnsi="Arial" w:cs="Arial"/>
          <w:sz w:val="22"/>
          <w:szCs w:val="22"/>
        </w:rPr>
      </w:pPr>
    </w:p>
    <w:p w14:paraId="33EF9B78" w14:textId="357AC7E2" w:rsidR="00781A20" w:rsidRDefault="00C9357D" w:rsidP="004864C0">
      <w:pPr>
        <w:jc w:val="both"/>
        <w:rPr>
          <w:rFonts w:ascii="Arial" w:hAnsi="Arial" w:cs="Arial"/>
          <w:sz w:val="22"/>
          <w:szCs w:val="22"/>
        </w:rPr>
      </w:pPr>
      <w:r>
        <w:rPr>
          <w:rFonts w:ascii="Arial" w:hAnsi="Arial" w:cs="Arial"/>
          <w:sz w:val="22"/>
          <w:szCs w:val="22"/>
        </w:rPr>
        <w:t xml:space="preserve">The facility staff perform manual spot checks </w:t>
      </w:r>
      <w:r w:rsidR="00852E57">
        <w:rPr>
          <w:rFonts w:ascii="Arial" w:hAnsi="Arial" w:cs="Arial"/>
          <w:sz w:val="22"/>
          <w:szCs w:val="22"/>
        </w:rPr>
        <w:t>to measure the</w:t>
      </w:r>
      <w:r>
        <w:rPr>
          <w:rFonts w:ascii="Arial" w:hAnsi="Arial" w:cs="Arial"/>
          <w:sz w:val="22"/>
          <w:szCs w:val="22"/>
        </w:rPr>
        <w:t xml:space="preserve"> lime feed rate</w:t>
      </w:r>
      <w:r w:rsidR="00852E57">
        <w:rPr>
          <w:rFonts w:ascii="Arial" w:hAnsi="Arial" w:cs="Arial"/>
          <w:sz w:val="22"/>
          <w:szCs w:val="22"/>
        </w:rPr>
        <w:t xml:space="preserve"> every</w:t>
      </w:r>
      <w:r w:rsidR="00F24026">
        <w:rPr>
          <w:rFonts w:ascii="Arial" w:hAnsi="Arial" w:cs="Arial"/>
          <w:sz w:val="22"/>
          <w:szCs w:val="22"/>
        </w:rPr>
        <w:t xml:space="preserve"> </w:t>
      </w:r>
      <w:r w:rsidR="00852E57">
        <w:rPr>
          <w:rFonts w:ascii="Arial" w:hAnsi="Arial" w:cs="Arial"/>
          <w:sz w:val="22"/>
          <w:szCs w:val="22"/>
        </w:rPr>
        <w:t>two (2) hours</w:t>
      </w:r>
      <w:r>
        <w:rPr>
          <w:rFonts w:ascii="Arial" w:hAnsi="Arial" w:cs="Arial"/>
          <w:sz w:val="22"/>
          <w:szCs w:val="22"/>
        </w:rPr>
        <w:t xml:space="preserve">. </w:t>
      </w:r>
      <w:r w:rsidR="002B2C2C">
        <w:rPr>
          <w:rFonts w:ascii="Arial" w:hAnsi="Arial" w:cs="Arial"/>
          <w:sz w:val="22"/>
          <w:szCs w:val="22"/>
        </w:rPr>
        <w:t xml:space="preserve"> </w:t>
      </w:r>
      <w:r>
        <w:rPr>
          <w:rFonts w:ascii="Arial" w:hAnsi="Arial" w:cs="Arial"/>
          <w:sz w:val="22"/>
          <w:szCs w:val="22"/>
        </w:rPr>
        <w:t xml:space="preserve">A staff person </w:t>
      </w:r>
      <w:r w:rsidR="00EC4705">
        <w:rPr>
          <w:rFonts w:ascii="Arial" w:hAnsi="Arial" w:cs="Arial"/>
          <w:sz w:val="22"/>
          <w:szCs w:val="22"/>
        </w:rPr>
        <w:t xml:space="preserve">uses a sample tray to collect a sample from the lime injector for 30 seconds. </w:t>
      </w:r>
      <w:r w:rsidR="002B2C2C">
        <w:rPr>
          <w:rFonts w:ascii="Arial" w:hAnsi="Arial" w:cs="Arial"/>
          <w:sz w:val="22"/>
          <w:szCs w:val="22"/>
        </w:rPr>
        <w:t xml:space="preserve"> </w:t>
      </w:r>
      <w:r w:rsidR="00EC4705">
        <w:rPr>
          <w:rFonts w:ascii="Arial" w:hAnsi="Arial" w:cs="Arial"/>
          <w:sz w:val="22"/>
          <w:szCs w:val="22"/>
        </w:rPr>
        <w:t xml:space="preserve">The sample is then weighed in grams. </w:t>
      </w:r>
      <w:r w:rsidR="002B2C2C">
        <w:rPr>
          <w:rFonts w:ascii="Arial" w:hAnsi="Arial" w:cs="Arial"/>
          <w:sz w:val="22"/>
          <w:szCs w:val="22"/>
        </w:rPr>
        <w:t xml:space="preserve"> </w:t>
      </w:r>
      <w:r w:rsidR="00EC4705">
        <w:rPr>
          <w:rFonts w:ascii="Arial" w:hAnsi="Arial" w:cs="Arial"/>
          <w:sz w:val="22"/>
          <w:szCs w:val="22"/>
        </w:rPr>
        <w:t>The measured lime weight is doubled to find the amount of lime</w:t>
      </w:r>
      <w:r w:rsidR="00852E57">
        <w:rPr>
          <w:rFonts w:ascii="Arial" w:hAnsi="Arial" w:cs="Arial"/>
          <w:sz w:val="22"/>
          <w:szCs w:val="22"/>
        </w:rPr>
        <w:t xml:space="preserve"> injected</w:t>
      </w:r>
      <w:r w:rsidR="00EC4705">
        <w:rPr>
          <w:rFonts w:ascii="Arial" w:hAnsi="Arial" w:cs="Arial"/>
          <w:sz w:val="22"/>
          <w:szCs w:val="22"/>
        </w:rPr>
        <w:t xml:space="preserve"> in grams per minute (g/min).</w:t>
      </w:r>
      <w:r w:rsidR="002B2C2C">
        <w:rPr>
          <w:rFonts w:ascii="Arial" w:hAnsi="Arial" w:cs="Arial"/>
          <w:sz w:val="22"/>
          <w:szCs w:val="22"/>
        </w:rPr>
        <w:t xml:space="preserve"> </w:t>
      </w:r>
      <w:r w:rsidR="00EC4705">
        <w:rPr>
          <w:rFonts w:ascii="Arial" w:hAnsi="Arial" w:cs="Arial"/>
          <w:sz w:val="22"/>
          <w:szCs w:val="22"/>
        </w:rPr>
        <w:t xml:space="preserve"> The lime </w:t>
      </w:r>
      <w:r w:rsidR="00852E57">
        <w:rPr>
          <w:rFonts w:ascii="Arial" w:hAnsi="Arial" w:cs="Arial"/>
          <w:sz w:val="22"/>
          <w:szCs w:val="22"/>
        </w:rPr>
        <w:t xml:space="preserve">feed rate </w:t>
      </w:r>
      <w:r w:rsidR="00EC4705">
        <w:rPr>
          <w:rFonts w:ascii="Arial" w:hAnsi="Arial" w:cs="Arial"/>
          <w:sz w:val="22"/>
          <w:szCs w:val="22"/>
        </w:rPr>
        <w:t xml:space="preserve">(g/min) is multiplied by 60 minutes per hour to achieve a grams per hour (g/hr) rate. </w:t>
      </w:r>
      <w:r w:rsidR="002B2C2C">
        <w:rPr>
          <w:rFonts w:ascii="Arial" w:hAnsi="Arial" w:cs="Arial"/>
          <w:sz w:val="22"/>
          <w:szCs w:val="22"/>
        </w:rPr>
        <w:t xml:space="preserve"> </w:t>
      </w:r>
      <w:r w:rsidR="00EC4705">
        <w:rPr>
          <w:rFonts w:ascii="Arial" w:hAnsi="Arial" w:cs="Arial"/>
          <w:sz w:val="22"/>
          <w:szCs w:val="22"/>
        </w:rPr>
        <w:t xml:space="preserve">The lime </w:t>
      </w:r>
      <w:r w:rsidR="00852E57">
        <w:rPr>
          <w:rFonts w:ascii="Arial" w:hAnsi="Arial" w:cs="Arial"/>
          <w:sz w:val="22"/>
          <w:szCs w:val="22"/>
        </w:rPr>
        <w:t xml:space="preserve">feed rate </w:t>
      </w:r>
      <w:r w:rsidR="00EC4705">
        <w:rPr>
          <w:rFonts w:ascii="Arial" w:hAnsi="Arial" w:cs="Arial"/>
          <w:sz w:val="22"/>
          <w:szCs w:val="22"/>
        </w:rPr>
        <w:t>(g/hr) is divided by 453.6 grams per pound to convert to pound</w:t>
      </w:r>
      <w:r w:rsidR="00145093">
        <w:rPr>
          <w:rFonts w:ascii="Arial" w:hAnsi="Arial" w:cs="Arial"/>
          <w:sz w:val="22"/>
          <w:szCs w:val="22"/>
        </w:rPr>
        <w:t>s</w:t>
      </w:r>
      <w:r w:rsidR="00EC4705">
        <w:rPr>
          <w:rFonts w:ascii="Arial" w:hAnsi="Arial" w:cs="Arial"/>
          <w:sz w:val="22"/>
          <w:szCs w:val="22"/>
        </w:rPr>
        <w:t xml:space="preserve"> per hour (lb</w:t>
      </w:r>
      <w:r w:rsidR="00145093">
        <w:rPr>
          <w:rFonts w:ascii="Arial" w:hAnsi="Arial" w:cs="Arial"/>
          <w:sz w:val="22"/>
          <w:szCs w:val="22"/>
        </w:rPr>
        <w:t>s</w:t>
      </w:r>
      <w:r w:rsidR="00EC4705">
        <w:rPr>
          <w:rFonts w:ascii="Arial" w:hAnsi="Arial" w:cs="Arial"/>
          <w:sz w:val="22"/>
          <w:szCs w:val="22"/>
        </w:rPr>
        <w:t xml:space="preserve">/hr). </w:t>
      </w:r>
      <w:r w:rsidR="00316B1C">
        <w:rPr>
          <w:rFonts w:ascii="Arial" w:hAnsi="Arial" w:cs="Arial"/>
          <w:sz w:val="22"/>
          <w:szCs w:val="22"/>
        </w:rPr>
        <w:t xml:space="preserve"> </w:t>
      </w:r>
      <w:r w:rsidR="00EC4705">
        <w:rPr>
          <w:rFonts w:ascii="Arial" w:hAnsi="Arial" w:cs="Arial"/>
          <w:sz w:val="22"/>
          <w:szCs w:val="22"/>
        </w:rPr>
        <w:t>The m</w:t>
      </w:r>
      <w:r w:rsidR="00852E57">
        <w:rPr>
          <w:rFonts w:ascii="Arial" w:hAnsi="Arial" w:cs="Arial"/>
          <w:sz w:val="22"/>
          <w:szCs w:val="22"/>
        </w:rPr>
        <w:t>easured</w:t>
      </w:r>
      <w:r w:rsidR="00EC4705">
        <w:rPr>
          <w:rFonts w:ascii="Arial" w:hAnsi="Arial" w:cs="Arial"/>
          <w:sz w:val="22"/>
          <w:szCs w:val="22"/>
        </w:rPr>
        <w:t xml:space="preserve"> </w:t>
      </w:r>
      <w:r w:rsidR="00852E57">
        <w:rPr>
          <w:rFonts w:ascii="Arial" w:hAnsi="Arial" w:cs="Arial"/>
          <w:sz w:val="22"/>
          <w:szCs w:val="22"/>
        </w:rPr>
        <w:t>lime feed rate is compared with the calculated lime feed rate to ma</w:t>
      </w:r>
      <w:r w:rsidR="00145093">
        <w:rPr>
          <w:rFonts w:ascii="Arial" w:hAnsi="Arial" w:cs="Arial"/>
          <w:sz w:val="22"/>
          <w:szCs w:val="22"/>
        </w:rPr>
        <w:t>ke sure the measured is greater than</w:t>
      </w:r>
      <w:r w:rsidR="00F24026">
        <w:rPr>
          <w:rFonts w:ascii="Arial" w:hAnsi="Arial" w:cs="Arial"/>
          <w:sz w:val="22"/>
          <w:szCs w:val="22"/>
        </w:rPr>
        <w:t xml:space="preserve"> or equal to</w:t>
      </w:r>
      <w:r w:rsidR="00145093">
        <w:rPr>
          <w:rFonts w:ascii="Arial" w:hAnsi="Arial" w:cs="Arial"/>
          <w:sz w:val="22"/>
          <w:szCs w:val="22"/>
        </w:rPr>
        <w:t xml:space="preserve"> the calculated. </w:t>
      </w:r>
      <w:r w:rsidR="00316B1C">
        <w:rPr>
          <w:rFonts w:ascii="Arial" w:hAnsi="Arial" w:cs="Arial"/>
          <w:sz w:val="22"/>
          <w:szCs w:val="22"/>
        </w:rPr>
        <w:t xml:space="preserve"> </w:t>
      </w:r>
      <w:r w:rsidR="00145093">
        <w:rPr>
          <w:rFonts w:ascii="Arial" w:hAnsi="Arial" w:cs="Arial"/>
          <w:sz w:val="22"/>
          <w:szCs w:val="22"/>
        </w:rPr>
        <w:t>This ensures that there is sufficient lime present in the exhaust stream to react with the SO</w:t>
      </w:r>
      <w:r w:rsidR="00145093">
        <w:rPr>
          <w:rFonts w:ascii="Arial" w:hAnsi="Arial" w:cs="Arial"/>
          <w:sz w:val="22"/>
          <w:szCs w:val="22"/>
          <w:vertAlign w:val="subscript"/>
        </w:rPr>
        <w:t>2</w:t>
      </w:r>
      <w:r w:rsidR="00145093">
        <w:rPr>
          <w:rFonts w:ascii="Arial" w:hAnsi="Arial" w:cs="Arial"/>
          <w:sz w:val="22"/>
          <w:szCs w:val="22"/>
        </w:rPr>
        <w:t xml:space="preserve">. </w:t>
      </w:r>
      <w:r w:rsidR="00852E57">
        <w:rPr>
          <w:rFonts w:ascii="Arial" w:hAnsi="Arial" w:cs="Arial"/>
          <w:sz w:val="22"/>
          <w:szCs w:val="22"/>
        </w:rPr>
        <w:t xml:space="preserve"> </w:t>
      </w:r>
      <w:r w:rsidR="00EC4705">
        <w:rPr>
          <w:rFonts w:ascii="Arial" w:hAnsi="Arial" w:cs="Arial"/>
          <w:sz w:val="22"/>
          <w:szCs w:val="22"/>
        </w:rPr>
        <w:t xml:space="preserve"> </w:t>
      </w:r>
      <w:r>
        <w:rPr>
          <w:rFonts w:ascii="Arial" w:hAnsi="Arial" w:cs="Arial"/>
          <w:sz w:val="22"/>
          <w:szCs w:val="22"/>
        </w:rPr>
        <w:t xml:space="preserve"> </w:t>
      </w:r>
    </w:p>
    <w:p w14:paraId="5648987E" w14:textId="77777777" w:rsidR="00781A20" w:rsidRPr="006959CC" w:rsidRDefault="00781A20" w:rsidP="004864C0">
      <w:pPr>
        <w:jc w:val="both"/>
        <w:rPr>
          <w:rFonts w:ascii="Arial" w:hAnsi="Arial" w:cs="Arial"/>
          <w:sz w:val="22"/>
          <w:szCs w:val="22"/>
        </w:rPr>
      </w:pPr>
    </w:p>
    <w:p w14:paraId="338BF6FA" w14:textId="42530976" w:rsidR="00280A1C" w:rsidRDefault="009D4A1A" w:rsidP="000F73C3">
      <w:pPr>
        <w:jc w:val="both"/>
        <w:rPr>
          <w:rFonts w:ascii="Arial" w:hAnsi="Arial" w:cs="Arial"/>
          <w:sz w:val="22"/>
          <w:szCs w:val="22"/>
        </w:rPr>
      </w:pPr>
      <w:r>
        <w:rPr>
          <w:rFonts w:ascii="Arial" w:hAnsi="Arial" w:cs="Arial"/>
          <w:sz w:val="22"/>
          <w:szCs w:val="22"/>
        </w:rPr>
        <w:t xml:space="preserve">Previous stack testing has shown the proper operation of the lime injection system and baghouse </w:t>
      </w:r>
      <w:r w:rsidR="00226B87">
        <w:rPr>
          <w:rFonts w:ascii="Arial" w:hAnsi="Arial" w:cs="Arial"/>
          <w:sz w:val="22"/>
          <w:szCs w:val="22"/>
        </w:rPr>
        <w:t>provides approximately 11% control for SO</w:t>
      </w:r>
      <w:r w:rsidR="00226B87">
        <w:rPr>
          <w:rFonts w:ascii="Arial" w:hAnsi="Arial" w:cs="Arial"/>
          <w:sz w:val="22"/>
          <w:szCs w:val="22"/>
          <w:vertAlign w:val="subscript"/>
        </w:rPr>
        <w:t>2</w:t>
      </w:r>
      <w:r w:rsidR="00226B87">
        <w:rPr>
          <w:rFonts w:ascii="Arial" w:hAnsi="Arial" w:cs="Arial"/>
          <w:sz w:val="22"/>
          <w:szCs w:val="22"/>
        </w:rPr>
        <w:t xml:space="preserve"> and &gt;99.9% control for HF and HCl and &gt;99.9% control for PM</w:t>
      </w:r>
      <w:r w:rsidR="00226B87">
        <w:rPr>
          <w:rFonts w:ascii="Arial" w:hAnsi="Arial" w:cs="Arial"/>
          <w:sz w:val="22"/>
          <w:szCs w:val="22"/>
          <w:vertAlign w:val="subscript"/>
        </w:rPr>
        <w:t>10</w:t>
      </w:r>
      <w:r w:rsidR="00226B87">
        <w:rPr>
          <w:rFonts w:ascii="Arial" w:hAnsi="Arial" w:cs="Arial"/>
          <w:sz w:val="22"/>
          <w:szCs w:val="22"/>
        </w:rPr>
        <w:t>.</w:t>
      </w:r>
      <w:r w:rsidR="00FD3ED4">
        <w:rPr>
          <w:rFonts w:ascii="Arial" w:hAnsi="Arial" w:cs="Arial"/>
          <w:sz w:val="22"/>
          <w:szCs w:val="22"/>
        </w:rPr>
        <w:t xml:space="preserve"> </w:t>
      </w:r>
      <w:r w:rsidR="00316B1C">
        <w:rPr>
          <w:rFonts w:ascii="Arial" w:hAnsi="Arial" w:cs="Arial"/>
          <w:sz w:val="22"/>
          <w:szCs w:val="22"/>
        </w:rPr>
        <w:t xml:space="preserve"> </w:t>
      </w:r>
      <w:r w:rsidR="00FD3ED4">
        <w:rPr>
          <w:rFonts w:ascii="Arial" w:hAnsi="Arial" w:cs="Arial"/>
          <w:sz w:val="22"/>
          <w:szCs w:val="22"/>
        </w:rPr>
        <w:lastRenderedPageBreak/>
        <w:t xml:space="preserve">During the stack test the control equipment was operated with the baghouse temperature, baghouse pressure drop, and lime feed rates within the agreed upon indicator ranges. </w:t>
      </w:r>
    </w:p>
    <w:p w14:paraId="499BF46A" w14:textId="77777777" w:rsidR="00280A1C" w:rsidRDefault="00280A1C" w:rsidP="000F73C3">
      <w:pPr>
        <w:jc w:val="both"/>
        <w:rPr>
          <w:rFonts w:ascii="Arial" w:hAnsi="Arial" w:cs="Arial"/>
          <w:sz w:val="22"/>
          <w:szCs w:val="22"/>
        </w:rPr>
      </w:pPr>
    </w:p>
    <w:p w14:paraId="2522467D" w14:textId="5B91DD8E" w:rsidR="009D4A1A" w:rsidRPr="00226B87" w:rsidRDefault="00226B87" w:rsidP="000F73C3">
      <w:pPr>
        <w:jc w:val="both"/>
        <w:rPr>
          <w:rFonts w:ascii="Arial" w:hAnsi="Arial" w:cs="Arial"/>
          <w:sz w:val="22"/>
          <w:szCs w:val="22"/>
        </w:rPr>
      </w:pPr>
      <w:r>
        <w:rPr>
          <w:rFonts w:ascii="Arial" w:hAnsi="Arial" w:cs="Arial"/>
          <w:sz w:val="22"/>
          <w:szCs w:val="22"/>
        </w:rPr>
        <w:t>Monitoring th</w:t>
      </w:r>
      <w:r w:rsidR="00280A1C">
        <w:rPr>
          <w:rFonts w:ascii="Arial" w:hAnsi="Arial" w:cs="Arial"/>
          <w:sz w:val="22"/>
          <w:szCs w:val="22"/>
        </w:rPr>
        <w:t>e</w:t>
      </w:r>
      <w:r>
        <w:rPr>
          <w:rFonts w:ascii="Arial" w:hAnsi="Arial" w:cs="Arial"/>
          <w:sz w:val="22"/>
          <w:szCs w:val="22"/>
        </w:rPr>
        <w:t xml:space="preserve"> baghouse</w:t>
      </w:r>
      <w:r w:rsidR="00280A1C">
        <w:rPr>
          <w:rFonts w:ascii="Arial" w:hAnsi="Arial" w:cs="Arial"/>
          <w:sz w:val="22"/>
          <w:szCs w:val="22"/>
        </w:rPr>
        <w:t xml:space="preserve"> inlet temperature</w:t>
      </w:r>
      <w:r>
        <w:rPr>
          <w:rFonts w:ascii="Arial" w:hAnsi="Arial" w:cs="Arial"/>
          <w:sz w:val="22"/>
          <w:szCs w:val="22"/>
        </w:rPr>
        <w:t xml:space="preserve"> ensures the integrity of the bags</w:t>
      </w:r>
      <w:r w:rsidR="00280A1C">
        <w:rPr>
          <w:rFonts w:ascii="Arial" w:hAnsi="Arial" w:cs="Arial"/>
          <w:sz w:val="22"/>
          <w:szCs w:val="22"/>
        </w:rPr>
        <w:t xml:space="preserve"> by making sure the bag degradation temperature is not exceeded</w:t>
      </w:r>
      <w:r>
        <w:rPr>
          <w:rFonts w:ascii="Arial" w:hAnsi="Arial" w:cs="Arial"/>
          <w:sz w:val="22"/>
          <w:szCs w:val="22"/>
        </w:rPr>
        <w:t xml:space="preserve">. </w:t>
      </w:r>
      <w:r w:rsidR="00316B1C">
        <w:rPr>
          <w:rFonts w:ascii="Arial" w:hAnsi="Arial" w:cs="Arial"/>
          <w:sz w:val="22"/>
          <w:szCs w:val="22"/>
        </w:rPr>
        <w:t xml:space="preserve"> </w:t>
      </w:r>
      <w:r w:rsidR="00E93EBB">
        <w:rPr>
          <w:rFonts w:ascii="Arial" w:hAnsi="Arial" w:cs="Arial"/>
          <w:sz w:val="22"/>
          <w:szCs w:val="22"/>
        </w:rPr>
        <w:t>Monitoring the pressure drop across the bagh</w:t>
      </w:r>
      <w:r w:rsidR="00280A1C">
        <w:rPr>
          <w:rFonts w:ascii="Arial" w:hAnsi="Arial" w:cs="Arial"/>
          <w:sz w:val="22"/>
          <w:szCs w:val="22"/>
        </w:rPr>
        <w:t xml:space="preserve">ouse </w:t>
      </w:r>
      <w:r w:rsidR="00E93EBB">
        <w:rPr>
          <w:rFonts w:ascii="Arial" w:hAnsi="Arial" w:cs="Arial"/>
          <w:sz w:val="22"/>
          <w:szCs w:val="22"/>
        </w:rPr>
        <w:t>ensures that</w:t>
      </w:r>
      <w:r w:rsidR="00280A1C">
        <w:rPr>
          <w:rFonts w:ascii="Arial" w:hAnsi="Arial" w:cs="Arial"/>
          <w:sz w:val="22"/>
          <w:szCs w:val="22"/>
        </w:rPr>
        <w:t xml:space="preserve"> the baghouse</w:t>
      </w:r>
      <w:r w:rsidR="00E93EBB">
        <w:rPr>
          <w:rFonts w:ascii="Arial" w:hAnsi="Arial" w:cs="Arial"/>
          <w:sz w:val="22"/>
          <w:szCs w:val="22"/>
        </w:rPr>
        <w:t xml:space="preserve"> functioning properly.</w:t>
      </w:r>
      <w:r w:rsidR="00316B1C">
        <w:rPr>
          <w:rFonts w:ascii="Arial" w:hAnsi="Arial" w:cs="Arial"/>
          <w:sz w:val="22"/>
          <w:szCs w:val="22"/>
        </w:rPr>
        <w:t xml:space="preserve"> </w:t>
      </w:r>
      <w:r w:rsidR="00E93EBB">
        <w:rPr>
          <w:rFonts w:ascii="Arial" w:hAnsi="Arial" w:cs="Arial"/>
          <w:sz w:val="22"/>
          <w:szCs w:val="22"/>
        </w:rPr>
        <w:t xml:space="preserve"> If the pressure drop across the baghouse exceeded the upper range of 6 inches of water, it indicate</w:t>
      </w:r>
      <w:r w:rsidR="00280A1C">
        <w:rPr>
          <w:rFonts w:ascii="Arial" w:hAnsi="Arial" w:cs="Arial"/>
          <w:sz w:val="22"/>
          <w:szCs w:val="22"/>
        </w:rPr>
        <w:t>s</w:t>
      </w:r>
      <w:r w:rsidR="00E93EBB">
        <w:rPr>
          <w:rFonts w:ascii="Arial" w:hAnsi="Arial" w:cs="Arial"/>
          <w:sz w:val="22"/>
          <w:szCs w:val="22"/>
        </w:rPr>
        <w:t xml:space="preserve"> a problem with the reverse air pulse jet cleaning system. </w:t>
      </w:r>
      <w:r w:rsidR="00316B1C">
        <w:rPr>
          <w:rFonts w:ascii="Arial" w:hAnsi="Arial" w:cs="Arial"/>
          <w:sz w:val="22"/>
          <w:szCs w:val="22"/>
        </w:rPr>
        <w:t xml:space="preserve"> </w:t>
      </w:r>
      <w:r w:rsidR="00E93EBB">
        <w:rPr>
          <w:rFonts w:ascii="Arial" w:hAnsi="Arial" w:cs="Arial"/>
          <w:sz w:val="22"/>
          <w:szCs w:val="22"/>
        </w:rPr>
        <w:t xml:space="preserve">If the pressure drop </w:t>
      </w:r>
      <w:r w:rsidR="00F2139A">
        <w:rPr>
          <w:rFonts w:ascii="Arial" w:hAnsi="Arial" w:cs="Arial"/>
          <w:sz w:val="22"/>
          <w:szCs w:val="22"/>
        </w:rPr>
        <w:t>is</w:t>
      </w:r>
      <w:r w:rsidR="00E93EBB">
        <w:rPr>
          <w:rFonts w:ascii="Arial" w:hAnsi="Arial" w:cs="Arial"/>
          <w:sz w:val="22"/>
          <w:szCs w:val="22"/>
        </w:rPr>
        <w:t xml:space="preserve"> below the lower range of 2 inches of water</w:t>
      </w:r>
      <w:r w:rsidR="00280A1C">
        <w:rPr>
          <w:rFonts w:ascii="Arial" w:hAnsi="Arial" w:cs="Arial"/>
          <w:sz w:val="22"/>
          <w:szCs w:val="22"/>
        </w:rPr>
        <w:t>, it would indicate a bag integrity failure.</w:t>
      </w:r>
      <w:r w:rsidR="00F2139A">
        <w:rPr>
          <w:rFonts w:ascii="Arial" w:hAnsi="Arial" w:cs="Arial"/>
          <w:sz w:val="22"/>
          <w:szCs w:val="22"/>
        </w:rPr>
        <w:t xml:space="preserve"> </w:t>
      </w:r>
      <w:r w:rsidR="00316B1C">
        <w:rPr>
          <w:rFonts w:ascii="Arial" w:hAnsi="Arial" w:cs="Arial"/>
          <w:sz w:val="22"/>
          <w:szCs w:val="22"/>
        </w:rPr>
        <w:t xml:space="preserve"> </w:t>
      </w:r>
      <w:r w:rsidR="00F2139A">
        <w:rPr>
          <w:rFonts w:ascii="Arial" w:hAnsi="Arial" w:cs="Arial"/>
          <w:sz w:val="22"/>
          <w:szCs w:val="22"/>
        </w:rPr>
        <w:t>Monitoring the lime feed rate ensures that there is sufficient hydrated lime being added to the exhaust gas stream to react with the SO</w:t>
      </w:r>
      <w:r w:rsidR="00F2139A">
        <w:rPr>
          <w:rFonts w:ascii="Arial" w:hAnsi="Arial" w:cs="Arial"/>
          <w:sz w:val="22"/>
          <w:szCs w:val="22"/>
          <w:vertAlign w:val="subscript"/>
        </w:rPr>
        <w:t>2</w:t>
      </w:r>
      <w:r w:rsidR="00F2139A">
        <w:rPr>
          <w:rFonts w:ascii="Arial" w:hAnsi="Arial" w:cs="Arial"/>
          <w:sz w:val="22"/>
          <w:szCs w:val="22"/>
        </w:rPr>
        <w:t xml:space="preserve"> and acid gases (HF and HCl). </w:t>
      </w:r>
      <w:r w:rsidR="00280A1C">
        <w:rPr>
          <w:rFonts w:ascii="Arial" w:hAnsi="Arial" w:cs="Arial"/>
          <w:sz w:val="22"/>
          <w:szCs w:val="22"/>
        </w:rPr>
        <w:t xml:space="preserve"> </w:t>
      </w:r>
    </w:p>
    <w:p w14:paraId="6EE84364" w14:textId="77777777" w:rsidR="00257D28" w:rsidRPr="004E13FD" w:rsidRDefault="00257D28" w:rsidP="000F73C3">
      <w:pPr>
        <w:jc w:val="both"/>
        <w:rPr>
          <w:rFonts w:ascii="Arial" w:hAnsi="Arial" w:cs="Arial"/>
          <w:sz w:val="22"/>
          <w:szCs w:val="22"/>
        </w:rPr>
      </w:pPr>
    </w:p>
    <w:p w14:paraId="4E589BF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863C458" w14:textId="77777777" w:rsidR="000F73C3" w:rsidRDefault="000F73C3" w:rsidP="000F73C3">
      <w:pPr>
        <w:jc w:val="both"/>
        <w:rPr>
          <w:rFonts w:ascii="Arial" w:hAnsi="Arial" w:cs="Arial"/>
          <w:sz w:val="22"/>
          <w:szCs w:val="22"/>
        </w:rPr>
      </w:pPr>
    </w:p>
    <w:p w14:paraId="6670429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BB7F797" w14:textId="77777777" w:rsidR="000F73C3" w:rsidRPr="00290754" w:rsidRDefault="000F73C3" w:rsidP="000F73C3">
      <w:pPr>
        <w:jc w:val="both"/>
        <w:rPr>
          <w:rFonts w:ascii="Arial" w:hAnsi="Arial" w:cs="Arial"/>
          <w:sz w:val="22"/>
          <w:szCs w:val="22"/>
        </w:rPr>
      </w:pPr>
    </w:p>
    <w:p w14:paraId="5BA2606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F5935B1" w14:textId="77777777" w:rsidR="000F73C3" w:rsidRDefault="000F73C3" w:rsidP="000F73C3">
      <w:pPr>
        <w:jc w:val="both"/>
        <w:rPr>
          <w:rFonts w:ascii="Arial" w:hAnsi="Arial" w:cs="Arial"/>
          <w:sz w:val="22"/>
          <w:szCs w:val="22"/>
        </w:rPr>
      </w:pPr>
    </w:p>
    <w:p w14:paraId="38089B8D" w14:textId="3609A1C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F7E75">
        <w:rPr>
          <w:rFonts w:ascii="Arial" w:hAnsi="Arial" w:cs="Arial"/>
          <w:bCs/>
          <w:sz w:val="22"/>
        </w:rPr>
        <w:t>MI-ROP-A6497-2015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D4432D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3CC4954" w14:textId="77777777" w:rsidTr="00AF7E7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C5F019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D0AA1ED" w14:textId="77777777" w:rsidTr="00AF7E75">
        <w:tc>
          <w:tcPr>
            <w:tcW w:w="2565" w:type="dxa"/>
            <w:tcBorders>
              <w:top w:val="single" w:sz="4" w:space="0" w:color="auto"/>
              <w:left w:val="double" w:sz="4" w:space="0" w:color="auto"/>
            </w:tcBorders>
          </w:tcPr>
          <w:p w14:paraId="2F260F22" w14:textId="61670892" w:rsidR="000F73C3" w:rsidRPr="00290754" w:rsidRDefault="00AF7E75" w:rsidP="00F478F0">
            <w:pPr>
              <w:rPr>
                <w:rFonts w:ascii="Arial" w:hAnsi="Arial" w:cs="Arial"/>
                <w:sz w:val="22"/>
                <w:szCs w:val="22"/>
              </w:rPr>
            </w:pPr>
            <w:r>
              <w:rPr>
                <w:rFonts w:ascii="Arial" w:hAnsi="Arial" w:cs="Arial"/>
                <w:sz w:val="22"/>
                <w:szCs w:val="22"/>
              </w:rPr>
              <w:t>47-06</w:t>
            </w:r>
          </w:p>
        </w:tc>
        <w:tc>
          <w:tcPr>
            <w:tcW w:w="2565" w:type="dxa"/>
            <w:tcBorders>
              <w:top w:val="single" w:sz="4" w:space="0" w:color="auto"/>
            </w:tcBorders>
          </w:tcPr>
          <w:p w14:paraId="621F493E" w14:textId="1971492D" w:rsidR="000F73C3" w:rsidRPr="00290754" w:rsidRDefault="00AF7E75" w:rsidP="00F478F0">
            <w:pPr>
              <w:rPr>
                <w:rFonts w:ascii="Arial" w:hAnsi="Arial" w:cs="Arial"/>
                <w:sz w:val="22"/>
                <w:szCs w:val="22"/>
              </w:rPr>
            </w:pPr>
            <w:r>
              <w:rPr>
                <w:rFonts w:ascii="Arial" w:hAnsi="Arial" w:cs="Arial"/>
                <w:sz w:val="22"/>
                <w:szCs w:val="22"/>
              </w:rPr>
              <w:t>11-99A</w:t>
            </w:r>
          </w:p>
        </w:tc>
        <w:tc>
          <w:tcPr>
            <w:tcW w:w="2565" w:type="dxa"/>
            <w:tcBorders>
              <w:top w:val="single" w:sz="4" w:space="0" w:color="auto"/>
            </w:tcBorders>
          </w:tcPr>
          <w:p w14:paraId="6549AAB6" w14:textId="24FD9F4A" w:rsidR="000F73C3" w:rsidRPr="00290754" w:rsidRDefault="00AF7E75" w:rsidP="00F478F0">
            <w:pPr>
              <w:rPr>
                <w:rFonts w:ascii="Arial" w:hAnsi="Arial" w:cs="Arial"/>
                <w:sz w:val="22"/>
                <w:szCs w:val="22"/>
              </w:rPr>
            </w:pPr>
            <w:r>
              <w:rPr>
                <w:rFonts w:ascii="Arial" w:hAnsi="Arial" w:cs="Arial"/>
                <w:sz w:val="22"/>
                <w:szCs w:val="22"/>
              </w:rPr>
              <w:t>9-80</w:t>
            </w:r>
          </w:p>
        </w:tc>
        <w:tc>
          <w:tcPr>
            <w:tcW w:w="2565" w:type="dxa"/>
            <w:tcBorders>
              <w:top w:val="single" w:sz="4" w:space="0" w:color="auto"/>
              <w:right w:val="double" w:sz="4" w:space="0" w:color="auto"/>
            </w:tcBorders>
          </w:tcPr>
          <w:p w14:paraId="5626E421" w14:textId="662ADE84" w:rsidR="000F73C3" w:rsidRPr="00290754" w:rsidRDefault="00AF7E75" w:rsidP="00F478F0">
            <w:pPr>
              <w:rPr>
                <w:rFonts w:ascii="Arial" w:hAnsi="Arial" w:cs="Arial"/>
                <w:sz w:val="22"/>
                <w:szCs w:val="22"/>
              </w:rPr>
            </w:pPr>
            <w:r>
              <w:rPr>
                <w:rFonts w:ascii="Arial" w:hAnsi="Arial" w:cs="Arial"/>
                <w:sz w:val="22"/>
                <w:szCs w:val="22"/>
              </w:rPr>
              <w:t>216-76</w:t>
            </w:r>
          </w:p>
        </w:tc>
      </w:tr>
      <w:tr w:rsidR="000F73C3" w:rsidRPr="00290754" w14:paraId="3ED8EDA7" w14:textId="77777777" w:rsidTr="00AF7E75">
        <w:tc>
          <w:tcPr>
            <w:tcW w:w="2565" w:type="dxa"/>
            <w:tcBorders>
              <w:left w:val="double" w:sz="4" w:space="0" w:color="auto"/>
            </w:tcBorders>
          </w:tcPr>
          <w:p w14:paraId="0BF2D612" w14:textId="30637FB4" w:rsidR="000F73C3" w:rsidRPr="00290754" w:rsidRDefault="00AF7E75" w:rsidP="00F478F0">
            <w:pPr>
              <w:rPr>
                <w:rFonts w:ascii="Arial" w:hAnsi="Arial" w:cs="Arial"/>
                <w:sz w:val="22"/>
                <w:szCs w:val="22"/>
              </w:rPr>
            </w:pPr>
            <w:r>
              <w:rPr>
                <w:rFonts w:ascii="Arial" w:hAnsi="Arial" w:cs="Arial"/>
                <w:sz w:val="22"/>
                <w:szCs w:val="22"/>
              </w:rPr>
              <w:t>56-76A</w:t>
            </w:r>
          </w:p>
        </w:tc>
        <w:tc>
          <w:tcPr>
            <w:tcW w:w="2565" w:type="dxa"/>
          </w:tcPr>
          <w:p w14:paraId="7E0B2343" w14:textId="07E5978B" w:rsidR="000F73C3" w:rsidRPr="00290754" w:rsidRDefault="00AF7E75" w:rsidP="00F478F0">
            <w:pPr>
              <w:rPr>
                <w:rFonts w:ascii="Arial" w:hAnsi="Arial" w:cs="Arial"/>
                <w:sz w:val="22"/>
                <w:szCs w:val="22"/>
              </w:rPr>
            </w:pPr>
            <w:r>
              <w:rPr>
                <w:rFonts w:ascii="Arial" w:hAnsi="Arial" w:cs="Arial"/>
                <w:sz w:val="22"/>
                <w:szCs w:val="22"/>
              </w:rPr>
              <w:t>283-75B</w:t>
            </w:r>
          </w:p>
        </w:tc>
        <w:tc>
          <w:tcPr>
            <w:tcW w:w="2565" w:type="dxa"/>
          </w:tcPr>
          <w:p w14:paraId="0C54C06C" w14:textId="64B2EC51" w:rsidR="000F73C3" w:rsidRPr="00290754" w:rsidRDefault="00AF7E75" w:rsidP="00F478F0">
            <w:pPr>
              <w:rPr>
                <w:rFonts w:ascii="Arial" w:hAnsi="Arial" w:cs="Arial"/>
                <w:sz w:val="22"/>
                <w:szCs w:val="22"/>
              </w:rPr>
            </w:pPr>
            <w:r>
              <w:rPr>
                <w:rFonts w:ascii="Arial" w:hAnsi="Arial" w:cs="Arial"/>
                <w:sz w:val="22"/>
                <w:szCs w:val="22"/>
              </w:rPr>
              <w:t>203-73</w:t>
            </w:r>
          </w:p>
        </w:tc>
        <w:tc>
          <w:tcPr>
            <w:tcW w:w="2565" w:type="dxa"/>
            <w:tcBorders>
              <w:right w:val="double" w:sz="4" w:space="0" w:color="auto"/>
            </w:tcBorders>
          </w:tcPr>
          <w:p w14:paraId="2A66A51C" w14:textId="7E1C0BD1" w:rsidR="000F73C3" w:rsidRPr="00290754" w:rsidRDefault="00AF7E75" w:rsidP="00F478F0">
            <w:pPr>
              <w:rPr>
                <w:rFonts w:ascii="Arial" w:hAnsi="Arial" w:cs="Arial"/>
                <w:sz w:val="22"/>
                <w:szCs w:val="22"/>
              </w:rPr>
            </w:pPr>
            <w:r>
              <w:rPr>
                <w:rFonts w:ascii="Arial" w:hAnsi="Arial" w:cs="Arial"/>
                <w:sz w:val="22"/>
                <w:szCs w:val="22"/>
              </w:rPr>
              <w:t>40-72C</w:t>
            </w:r>
          </w:p>
        </w:tc>
      </w:tr>
      <w:tr w:rsidR="000F73C3" w:rsidRPr="00290754" w14:paraId="2732D0F7" w14:textId="77777777" w:rsidTr="00AF7E75">
        <w:tc>
          <w:tcPr>
            <w:tcW w:w="2565" w:type="dxa"/>
            <w:tcBorders>
              <w:left w:val="double" w:sz="4" w:space="0" w:color="auto"/>
            </w:tcBorders>
          </w:tcPr>
          <w:p w14:paraId="2321E847" w14:textId="3BB82435" w:rsidR="000F73C3" w:rsidRPr="00290754" w:rsidRDefault="00AF7E75" w:rsidP="00F478F0">
            <w:pPr>
              <w:rPr>
                <w:rFonts w:ascii="Arial" w:hAnsi="Arial" w:cs="Arial"/>
                <w:sz w:val="22"/>
                <w:szCs w:val="22"/>
              </w:rPr>
            </w:pPr>
            <w:r>
              <w:rPr>
                <w:rFonts w:ascii="Arial" w:hAnsi="Arial" w:cs="Arial"/>
                <w:sz w:val="22"/>
                <w:szCs w:val="22"/>
              </w:rPr>
              <w:t>278-72</w:t>
            </w:r>
          </w:p>
        </w:tc>
        <w:tc>
          <w:tcPr>
            <w:tcW w:w="2565" w:type="dxa"/>
          </w:tcPr>
          <w:p w14:paraId="66D89FA4" w14:textId="01B4754A" w:rsidR="000F73C3" w:rsidRPr="00290754" w:rsidRDefault="00761D7F" w:rsidP="00F478F0">
            <w:pPr>
              <w:rPr>
                <w:rFonts w:ascii="Arial" w:hAnsi="Arial" w:cs="Arial"/>
                <w:sz w:val="22"/>
                <w:szCs w:val="22"/>
              </w:rPr>
            </w:pPr>
            <w:r>
              <w:rPr>
                <w:rFonts w:ascii="Arial" w:hAnsi="Arial" w:cs="Arial"/>
                <w:noProof/>
                <w:sz w:val="22"/>
                <w:szCs w:val="22"/>
              </w:rPr>
              <w:t xml:space="preserve">     </w:t>
            </w:r>
          </w:p>
        </w:tc>
        <w:tc>
          <w:tcPr>
            <w:tcW w:w="2565" w:type="dxa"/>
          </w:tcPr>
          <w:p w14:paraId="1F714B18" w14:textId="4AF2EDFD" w:rsidR="000F73C3" w:rsidRPr="00290754" w:rsidRDefault="00761D7F"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585A9C80" w14:textId="645A166A" w:rsidR="000F73C3" w:rsidRPr="00290754" w:rsidRDefault="00761D7F" w:rsidP="00F478F0">
            <w:pPr>
              <w:rPr>
                <w:rFonts w:ascii="Arial" w:hAnsi="Arial" w:cs="Arial"/>
                <w:sz w:val="22"/>
                <w:szCs w:val="22"/>
              </w:rPr>
            </w:pPr>
            <w:r>
              <w:rPr>
                <w:rFonts w:ascii="Arial" w:hAnsi="Arial" w:cs="Arial"/>
                <w:noProof/>
                <w:sz w:val="22"/>
                <w:szCs w:val="22"/>
              </w:rPr>
              <w:t xml:space="preserve">     </w:t>
            </w:r>
          </w:p>
        </w:tc>
      </w:tr>
    </w:tbl>
    <w:p w14:paraId="3FCA374D" w14:textId="77777777" w:rsidR="000F73C3" w:rsidRDefault="000F73C3" w:rsidP="000F73C3">
      <w:pPr>
        <w:rPr>
          <w:rFonts w:ascii="Arial" w:hAnsi="Arial" w:cs="Arial"/>
          <w:sz w:val="22"/>
          <w:szCs w:val="22"/>
        </w:rPr>
      </w:pPr>
    </w:p>
    <w:p w14:paraId="4BB84F7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8CCDDBE" w14:textId="77777777" w:rsidR="000F73C3" w:rsidRPr="00DA122E" w:rsidRDefault="000F73C3" w:rsidP="000F73C3">
      <w:pPr>
        <w:rPr>
          <w:rFonts w:ascii="Arial" w:hAnsi="Arial" w:cs="Arial"/>
          <w:sz w:val="22"/>
          <w:szCs w:val="22"/>
        </w:rPr>
      </w:pPr>
    </w:p>
    <w:p w14:paraId="2791FE22" w14:textId="5D7A45EB" w:rsidR="000F73C3" w:rsidRDefault="000F73C3" w:rsidP="00CD3DE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6D929A1" w14:textId="77777777" w:rsidR="00CD3DE9" w:rsidRPr="00420850" w:rsidRDefault="00CD3DE9" w:rsidP="00CD3DE9">
      <w:pPr>
        <w:jc w:val="both"/>
        <w:rPr>
          <w:rFonts w:ascii="Arial" w:hAnsi="Arial" w:cs="Arial"/>
          <w:sz w:val="22"/>
          <w:szCs w:val="22"/>
        </w:rPr>
      </w:pPr>
    </w:p>
    <w:p w14:paraId="26CF2A5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497B965" w14:textId="77777777" w:rsidR="000F73C3" w:rsidRPr="00D122B6" w:rsidRDefault="000F73C3" w:rsidP="000F73C3">
      <w:pPr>
        <w:rPr>
          <w:rFonts w:ascii="Arial" w:hAnsi="Arial" w:cs="Arial"/>
          <w:sz w:val="22"/>
          <w:szCs w:val="22"/>
        </w:rPr>
      </w:pPr>
    </w:p>
    <w:p w14:paraId="7BB0529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65CA70C" w14:textId="77777777" w:rsidR="000F73C3" w:rsidRPr="00D122B6" w:rsidRDefault="000F73C3" w:rsidP="000F73C3">
      <w:pPr>
        <w:rPr>
          <w:rFonts w:ascii="Arial" w:hAnsi="Arial" w:cs="Arial"/>
          <w:sz w:val="22"/>
          <w:szCs w:val="22"/>
        </w:rPr>
      </w:pPr>
    </w:p>
    <w:p w14:paraId="1B81428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8E17C8C" w14:textId="77777777" w:rsidR="000F73C3" w:rsidRPr="00290754" w:rsidRDefault="000F73C3" w:rsidP="000F73C3">
      <w:pPr>
        <w:rPr>
          <w:rFonts w:ascii="Arial" w:hAnsi="Arial" w:cs="Arial"/>
          <w:sz w:val="22"/>
          <w:szCs w:val="22"/>
        </w:rPr>
      </w:pPr>
    </w:p>
    <w:p w14:paraId="31BF41D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77CF8A0"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369"/>
        <w:gridCol w:w="1710"/>
        <w:gridCol w:w="1841"/>
      </w:tblGrid>
      <w:tr w:rsidR="000F73C3" w:rsidRPr="00D63B67" w14:paraId="60B5AC1D" w14:textId="77777777" w:rsidTr="00340A3A">
        <w:trPr>
          <w:tblHeader/>
        </w:trPr>
        <w:tc>
          <w:tcPr>
            <w:tcW w:w="2250" w:type="dxa"/>
            <w:tcBorders>
              <w:top w:val="double" w:sz="6" w:space="0" w:color="auto"/>
              <w:bottom w:val="double" w:sz="6" w:space="0" w:color="auto"/>
              <w:right w:val="single" w:sz="6" w:space="0" w:color="auto"/>
            </w:tcBorders>
            <w:shd w:val="pct10" w:color="auto" w:fill="auto"/>
          </w:tcPr>
          <w:p w14:paraId="305AC394" w14:textId="77777777" w:rsidR="000F73C3" w:rsidRPr="00D63B67" w:rsidRDefault="0055244E" w:rsidP="00F478F0">
            <w:pPr>
              <w:jc w:val="center"/>
              <w:rPr>
                <w:rFonts w:ascii="Arial" w:hAnsi="Arial" w:cs="Arial"/>
                <w:b/>
                <w:sz w:val="22"/>
                <w:szCs w:val="22"/>
              </w:rPr>
            </w:pPr>
            <w:r w:rsidRPr="00D63B67">
              <w:rPr>
                <w:rFonts w:ascii="Arial" w:hAnsi="Arial" w:cs="Arial"/>
                <w:b/>
                <w:sz w:val="22"/>
                <w:szCs w:val="22"/>
              </w:rPr>
              <w:t xml:space="preserve">PTI </w:t>
            </w:r>
            <w:r w:rsidR="000F73C3" w:rsidRPr="00D63B67">
              <w:rPr>
                <w:rFonts w:ascii="Arial" w:hAnsi="Arial" w:cs="Arial"/>
                <w:b/>
                <w:sz w:val="22"/>
                <w:szCs w:val="22"/>
              </w:rPr>
              <w:t>Exempt</w:t>
            </w:r>
          </w:p>
          <w:p w14:paraId="250DDA1C" w14:textId="77777777" w:rsidR="000F73C3" w:rsidRPr="00D63B67" w:rsidRDefault="000F73C3" w:rsidP="00F478F0">
            <w:pPr>
              <w:jc w:val="center"/>
              <w:rPr>
                <w:rFonts w:ascii="Arial" w:hAnsi="Arial" w:cs="Arial"/>
                <w:b/>
                <w:sz w:val="22"/>
                <w:szCs w:val="22"/>
              </w:rPr>
            </w:pPr>
            <w:r w:rsidRPr="00D63B67">
              <w:rPr>
                <w:rFonts w:ascii="Arial" w:hAnsi="Arial" w:cs="Arial"/>
                <w:b/>
                <w:sz w:val="22"/>
                <w:szCs w:val="22"/>
              </w:rPr>
              <w:t>Emission Unit ID</w:t>
            </w:r>
          </w:p>
        </w:tc>
        <w:tc>
          <w:tcPr>
            <w:tcW w:w="4369" w:type="dxa"/>
            <w:tcBorders>
              <w:top w:val="double" w:sz="6" w:space="0" w:color="auto"/>
              <w:bottom w:val="double" w:sz="6" w:space="0" w:color="auto"/>
              <w:right w:val="single" w:sz="6" w:space="0" w:color="auto"/>
            </w:tcBorders>
            <w:shd w:val="pct10" w:color="auto" w:fill="auto"/>
          </w:tcPr>
          <w:p w14:paraId="1F7539BE" w14:textId="77777777" w:rsidR="000F73C3" w:rsidRPr="00D63B67" w:rsidRDefault="000F73C3" w:rsidP="00F478F0">
            <w:pPr>
              <w:jc w:val="center"/>
              <w:rPr>
                <w:rFonts w:ascii="Arial" w:hAnsi="Arial" w:cs="Arial"/>
                <w:b/>
                <w:sz w:val="22"/>
                <w:szCs w:val="22"/>
              </w:rPr>
            </w:pPr>
            <w:r w:rsidRPr="00D63B67">
              <w:rPr>
                <w:rFonts w:ascii="Arial" w:hAnsi="Arial" w:cs="Arial"/>
                <w:b/>
                <w:sz w:val="22"/>
                <w:szCs w:val="22"/>
              </w:rPr>
              <w:t>Description of</w:t>
            </w:r>
            <w:r w:rsidR="0055244E" w:rsidRPr="00D63B67">
              <w:rPr>
                <w:rFonts w:ascii="Arial" w:hAnsi="Arial" w:cs="Arial"/>
                <w:b/>
                <w:sz w:val="22"/>
                <w:szCs w:val="22"/>
              </w:rPr>
              <w:t xml:space="preserve"> PTI</w:t>
            </w:r>
          </w:p>
          <w:p w14:paraId="6F34F221" w14:textId="77777777" w:rsidR="000F73C3" w:rsidRPr="00D63B67" w:rsidRDefault="000F73C3" w:rsidP="00F478F0">
            <w:pPr>
              <w:jc w:val="center"/>
              <w:rPr>
                <w:rFonts w:ascii="Arial" w:hAnsi="Arial" w:cs="Arial"/>
                <w:b/>
                <w:sz w:val="22"/>
                <w:szCs w:val="22"/>
              </w:rPr>
            </w:pPr>
            <w:r w:rsidRPr="00D63B67">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5D39E076" w14:textId="77777777" w:rsidR="000F73C3" w:rsidRPr="00D63B67" w:rsidRDefault="000F73C3" w:rsidP="00F478F0">
            <w:pPr>
              <w:jc w:val="center"/>
              <w:rPr>
                <w:rFonts w:ascii="Arial" w:hAnsi="Arial" w:cs="Arial"/>
                <w:b/>
                <w:sz w:val="22"/>
                <w:szCs w:val="22"/>
              </w:rPr>
            </w:pPr>
            <w:r w:rsidRPr="00D63B67">
              <w:rPr>
                <w:rFonts w:ascii="Arial" w:hAnsi="Arial" w:cs="Arial"/>
                <w:b/>
                <w:sz w:val="22"/>
                <w:szCs w:val="22"/>
              </w:rPr>
              <w:t>Rule 212(4)</w:t>
            </w:r>
          </w:p>
          <w:p w14:paraId="1064EE1B" w14:textId="77777777" w:rsidR="000F73C3" w:rsidRPr="00D63B67" w:rsidRDefault="0055244E" w:rsidP="00F478F0">
            <w:pPr>
              <w:jc w:val="center"/>
              <w:rPr>
                <w:rFonts w:ascii="Arial" w:hAnsi="Arial" w:cs="Arial"/>
                <w:b/>
                <w:sz w:val="22"/>
                <w:szCs w:val="22"/>
              </w:rPr>
            </w:pPr>
            <w:r w:rsidRPr="00D63B67">
              <w:rPr>
                <w:rFonts w:ascii="Arial" w:hAnsi="Arial" w:cs="Arial"/>
                <w:b/>
                <w:sz w:val="22"/>
                <w:szCs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0B0F301E" w14:textId="77777777" w:rsidR="000F73C3" w:rsidRPr="00D63B67" w:rsidRDefault="0055244E" w:rsidP="0055244E">
            <w:pPr>
              <w:jc w:val="center"/>
              <w:rPr>
                <w:rFonts w:ascii="Arial" w:hAnsi="Arial" w:cs="Arial"/>
                <w:b/>
                <w:sz w:val="22"/>
                <w:szCs w:val="22"/>
              </w:rPr>
            </w:pPr>
            <w:r w:rsidRPr="00D63B67">
              <w:rPr>
                <w:rFonts w:ascii="Arial" w:hAnsi="Arial" w:cs="Arial"/>
                <w:b/>
                <w:sz w:val="22"/>
                <w:szCs w:val="22"/>
              </w:rPr>
              <w:t xml:space="preserve">PTI </w:t>
            </w:r>
            <w:r w:rsidR="000F73C3" w:rsidRPr="00D63B67">
              <w:rPr>
                <w:rFonts w:ascii="Arial" w:hAnsi="Arial" w:cs="Arial"/>
                <w:b/>
                <w:sz w:val="22"/>
                <w:szCs w:val="22"/>
              </w:rPr>
              <w:t>Exemption</w:t>
            </w:r>
            <w:r w:rsidRPr="00D63B67">
              <w:rPr>
                <w:rFonts w:ascii="Arial" w:hAnsi="Arial" w:cs="Arial"/>
                <w:b/>
                <w:sz w:val="22"/>
                <w:szCs w:val="22"/>
              </w:rPr>
              <w:t xml:space="preserve"> Rule Citation</w:t>
            </w:r>
          </w:p>
        </w:tc>
      </w:tr>
      <w:tr w:rsidR="00C4005B" w:rsidRPr="00D63B67" w14:paraId="49EFC1B7" w14:textId="77777777" w:rsidTr="00340A3A">
        <w:tc>
          <w:tcPr>
            <w:tcW w:w="2250" w:type="dxa"/>
          </w:tcPr>
          <w:p w14:paraId="3498BDBC" w14:textId="032DA031" w:rsidR="00C4005B" w:rsidRPr="00D63B67" w:rsidRDefault="00C4005B" w:rsidP="00C4005B">
            <w:pPr>
              <w:rPr>
                <w:rFonts w:ascii="Arial" w:hAnsi="Arial" w:cs="Arial"/>
                <w:sz w:val="22"/>
                <w:szCs w:val="22"/>
              </w:rPr>
            </w:pPr>
            <w:r w:rsidRPr="00D63B67">
              <w:rPr>
                <w:rFonts w:ascii="Arial" w:hAnsi="Arial" w:cs="Arial"/>
                <w:sz w:val="22"/>
                <w:szCs w:val="22"/>
              </w:rPr>
              <w:t>EUHEATER#1, #2, #16, #17 ,#27</w:t>
            </w:r>
          </w:p>
        </w:tc>
        <w:tc>
          <w:tcPr>
            <w:tcW w:w="4369" w:type="dxa"/>
          </w:tcPr>
          <w:p w14:paraId="62B3B009" w14:textId="7AE27E38" w:rsidR="00C4005B" w:rsidRPr="00D63B67" w:rsidRDefault="00C4005B" w:rsidP="00C4005B">
            <w:pPr>
              <w:rPr>
                <w:rFonts w:ascii="Arial" w:hAnsi="Arial" w:cs="Arial"/>
                <w:sz w:val="22"/>
                <w:szCs w:val="22"/>
              </w:rPr>
            </w:pPr>
            <w:r w:rsidRPr="00D63B67">
              <w:rPr>
                <w:rFonts w:ascii="Arial" w:hAnsi="Arial" w:cs="Arial"/>
                <w:sz w:val="22"/>
                <w:szCs w:val="22"/>
              </w:rPr>
              <w:t xml:space="preserve">Natural gas fired space heaters. Maximum design capacity 250,000 BTU/hr (each). </w:t>
            </w:r>
          </w:p>
        </w:tc>
        <w:tc>
          <w:tcPr>
            <w:tcW w:w="1710" w:type="dxa"/>
          </w:tcPr>
          <w:p w14:paraId="227521D6" w14:textId="083639A9"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212(4)(c)</w:t>
            </w:r>
          </w:p>
        </w:tc>
        <w:tc>
          <w:tcPr>
            <w:tcW w:w="1841" w:type="dxa"/>
          </w:tcPr>
          <w:p w14:paraId="029FDD0C" w14:textId="338581ED"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282(2)(b)(i)</w:t>
            </w:r>
          </w:p>
        </w:tc>
      </w:tr>
      <w:tr w:rsidR="00C4005B" w:rsidRPr="00D63B67" w14:paraId="55DB6555" w14:textId="77777777" w:rsidTr="00340A3A">
        <w:tc>
          <w:tcPr>
            <w:tcW w:w="2250" w:type="dxa"/>
          </w:tcPr>
          <w:p w14:paraId="0DE777B5" w14:textId="6624A3E4" w:rsidR="00C4005B" w:rsidRPr="00D63B67" w:rsidRDefault="00C4005B" w:rsidP="00C4005B">
            <w:pPr>
              <w:rPr>
                <w:rFonts w:ascii="Arial" w:hAnsi="Arial" w:cs="Arial"/>
                <w:sz w:val="22"/>
                <w:szCs w:val="22"/>
              </w:rPr>
            </w:pPr>
            <w:r w:rsidRPr="00D63B67">
              <w:rPr>
                <w:rFonts w:ascii="Arial" w:hAnsi="Arial" w:cs="Arial"/>
                <w:sz w:val="22"/>
                <w:szCs w:val="22"/>
              </w:rPr>
              <w:t>EUHEATER#3, #18, #19</w:t>
            </w:r>
          </w:p>
        </w:tc>
        <w:tc>
          <w:tcPr>
            <w:tcW w:w="4369" w:type="dxa"/>
          </w:tcPr>
          <w:p w14:paraId="03E8064B" w14:textId="54972224" w:rsidR="00C4005B" w:rsidRPr="00D63B67" w:rsidRDefault="00C4005B" w:rsidP="00C4005B">
            <w:pPr>
              <w:rPr>
                <w:rFonts w:ascii="Arial" w:hAnsi="Arial" w:cs="Arial"/>
                <w:sz w:val="22"/>
                <w:szCs w:val="22"/>
              </w:rPr>
            </w:pPr>
            <w:r w:rsidRPr="00D63B67">
              <w:rPr>
                <w:rFonts w:ascii="Arial" w:hAnsi="Arial" w:cs="Arial"/>
                <w:sz w:val="22"/>
                <w:szCs w:val="22"/>
              </w:rPr>
              <w:t>Natural gas fired space heaters. Maximum design capacity 212,000 BTU/hr (each).</w:t>
            </w:r>
          </w:p>
        </w:tc>
        <w:tc>
          <w:tcPr>
            <w:tcW w:w="1710" w:type="dxa"/>
          </w:tcPr>
          <w:p w14:paraId="77460CD0" w14:textId="05A74918"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212(4)(c)</w:t>
            </w:r>
          </w:p>
        </w:tc>
        <w:tc>
          <w:tcPr>
            <w:tcW w:w="1841" w:type="dxa"/>
          </w:tcPr>
          <w:p w14:paraId="55666FC9" w14:textId="3D9DFCEA" w:rsidR="00C4005B" w:rsidRPr="00D63B67" w:rsidRDefault="00BD026F"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282(2)(b)(i)</w:t>
            </w:r>
          </w:p>
        </w:tc>
      </w:tr>
      <w:tr w:rsidR="00C4005B" w:rsidRPr="00D63B67" w14:paraId="786FA75D" w14:textId="77777777" w:rsidTr="00340A3A">
        <w:tc>
          <w:tcPr>
            <w:tcW w:w="2250" w:type="dxa"/>
          </w:tcPr>
          <w:p w14:paraId="5CCB5C9F" w14:textId="1ED1EE36" w:rsidR="00C4005B" w:rsidRPr="00D63B67" w:rsidRDefault="00C4005B" w:rsidP="00C4005B">
            <w:pPr>
              <w:rPr>
                <w:rFonts w:ascii="Arial" w:hAnsi="Arial" w:cs="Arial"/>
                <w:sz w:val="22"/>
                <w:szCs w:val="22"/>
              </w:rPr>
            </w:pPr>
            <w:r w:rsidRPr="00D63B67">
              <w:rPr>
                <w:rFonts w:ascii="Arial" w:hAnsi="Arial" w:cs="Arial"/>
                <w:sz w:val="22"/>
                <w:szCs w:val="22"/>
              </w:rPr>
              <w:t>EUHEATER#4, #23, #31</w:t>
            </w:r>
          </w:p>
        </w:tc>
        <w:tc>
          <w:tcPr>
            <w:tcW w:w="4369" w:type="dxa"/>
          </w:tcPr>
          <w:p w14:paraId="00AD2B70" w14:textId="4BAE4BD8" w:rsidR="00C4005B" w:rsidRPr="00D63B67" w:rsidRDefault="00C4005B" w:rsidP="00C4005B">
            <w:pPr>
              <w:rPr>
                <w:rFonts w:ascii="Arial" w:hAnsi="Arial" w:cs="Arial"/>
                <w:sz w:val="22"/>
                <w:szCs w:val="22"/>
              </w:rPr>
            </w:pPr>
            <w:r w:rsidRPr="00D63B67">
              <w:rPr>
                <w:rFonts w:ascii="Arial" w:hAnsi="Arial" w:cs="Arial"/>
                <w:sz w:val="22"/>
                <w:szCs w:val="22"/>
              </w:rPr>
              <w:t>Natural gas fired space heaters. Maximum design capacity 100,000 BTU/hr (each).</w:t>
            </w:r>
          </w:p>
        </w:tc>
        <w:tc>
          <w:tcPr>
            <w:tcW w:w="1710" w:type="dxa"/>
          </w:tcPr>
          <w:p w14:paraId="0E681BD7" w14:textId="698A32C6"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212(4)(c)</w:t>
            </w:r>
          </w:p>
        </w:tc>
        <w:tc>
          <w:tcPr>
            <w:tcW w:w="1841" w:type="dxa"/>
          </w:tcPr>
          <w:p w14:paraId="4B00CAC4" w14:textId="566958D5"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282(2)(b)(i)</w:t>
            </w:r>
          </w:p>
        </w:tc>
      </w:tr>
      <w:tr w:rsidR="00C4005B" w:rsidRPr="00D63B67" w14:paraId="6FB08E80" w14:textId="77777777" w:rsidTr="00340A3A">
        <w:tc>
          <w:tcPr>
            <w:tcW w:w="2250" w:type="dxa"/>
          </w:tcPr>
          <w:p w14:paraId="6E74A15B" w14:textId="6531B04E" w:rsidR="00C4005B" w:rsidRPr="00D63B67" w:rsidRDefault="00C4005B" w:rsidP="00C4005B">
            <w:pPr>
              <w:rPr>
                <w:rFonts w:ascii="Arial" w:hAnsi="Arial" w:cs="Arial"/>
                <w:sz w:val="22"/>
                <w:szCs w:val="22"/>
              </w:rPr>
            </w:pPr>
            <w:r w:rsidRPr="00D63B67">
              <w:rPr>
                <w:rFonts w:ascii="Arial" w:hAnsi="Arial" w:cs="Arial"/>
                <w:sz w:val="22"/>
                <w:szCs w:val="22"/>
              </w:rPr>
              <w:lastRenderedPageBreak/>
              <w:t>EUHEATER#5, #6, #12, #13, #14, #29, #30</w:t>
            </w:r>
          </w:p>
        </w:tc>
        <w:tc>
          <w:tcPr>
            <w:tcW w:w="4369" w:type="dxa"/>
          </w:tcPr>
          <w:p w14:paraId="0B5F0298" w14:textId="0EA5B165" w:rsidR="00C4005B" w:rsidRPr="00D63B67" w:rsidRDefault="00C4005B" w:rsidP="00C4005B">
            <w:pPr>
              <w:rPr>
                <w:rFonts w:ascii="Arial" w:hAnsi="Arial" w:cs="Arial"/>
                <w:sz w:val="22"/>
                <w:szCs w:val="22"/>
              </w:rPr>
            </w:pPr>
            <w:r w:rsidRPr="00D63B67">
              <w:rPr>
                <w:rFonts w:ascii="Arial" w:hAnsi="Arial" w:cs="Arial"/>
                <w:sz w:val="22"/>
                <w:szCs w:val="22"/>
              </w:rPr>
              <w:t xml:space="preserve">Natural gas fired space heaters. Maximum design capacity 150,000 BTU/hr (each). </w:t>
            </w:r>
          </w:p>
        </w:tc>
        <w:tc>
          <w:tcPr>
            <w:tcW w:w="1710" w:type="dxa"/>
          </w:tcPr>
          <w:p w14:paraId="56F32F4C" w14:textId="7E8FF2D5"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212(4)(c)</w:t>
            </w:r>
          </w:p>
        </w:tc>
        <w:tc>
          <w:tcPr>
            <w:tcW w:w="1841" w:type="dxa"/>
          </w:tcPr>
          <w:p w14:paraId="4A6A6BA6" w14:textId="3138007A" w:rsidR="00C4005B" w:rsidRPr="00D63B67" w:rsidRDefault="00316B1C" w:rsidP="00C4005B">
            <w:pPr>
              <w:jc w:val="center"/>
              <w:rPr>
                <w:rFonts w:ascii="Arial" w:hAnsi="Arial" w:cs="Arial"/>
                <w:sz w:val="22"/>
                <w:szCs w:val="22"/>
              </w:rPr>
            </w:pPr>
            <w:r>
              <w:rPr>
                <w:rFonts w:ascii="Arial" w:hAnsi="Arial" w:cs="Arial"/>
                <w:sz w:val="22"/>
                <w:szCs w:val="22"/>
              </w:rPr>
              <w:t xml:space="preserve">Rule </w:t>
            </w:r>
            <w:r w:rsidR="00C4005B" w:rsidRPr="00D63B67">
              <w:rPr>
                <w:rFonts w:ascii="Arial" w:hAnsi="Arial" w:cs="Arial"/>
                <w:sz w:val="22"/>
                <w:szCs w:val="22"/>
              </w:rPr>
              <w:t>282(2)(b)(i)</w:t>
            </w:r>
          </w:p>
        </w:tc>
      </w:tr>
      <w:tr w:rsidR="00316B1C" w:rsidRPr="00D63B67" w14:paraId="47BDCB8B" w14:textId="77777777" w:rsidTr="00340A3A">
        <w:tc>
          <w:tcPr>
            <w:tcW w:w="2250" w:type="dxa"/>
          </w:tcPr>
          <w:p w14:paraId="6357C47A" w14:textId="5F237B13" w:rsidR="00316B1C" w:rsidRPr="00D63B67" w:rsidRDefault="00316B1C" w:rsidP="00316B1C">
            <w:pPr>
              <w:rPr>
                <w:rFonts w:ascii="Arial" w:hAnsi="Arial" w:cs="Arial"/>
                <w:sz w:val="22"/>
                <w:szCs w:val="22"/>
              </w:rPr>
            </w:pPr>
            <w:r w:rsidRPr="00D63B67">
              <w:rPr>
                <w:rFonts w:ascii="Arial" w:hAnsi="Arial" w:cs="Arial"/>
                <w:sz w:val="22"/>
                <w:szCs w:val="22"/>
              </w:rPr>
              <w:t>EUHEATER#7, #8</w:t>
            </w:r>
          </w:p>
        </w:tc>
        <w:tc>
          <w:tcPr>
            <w:tcW w:w="4369" w:type="dxa"/>
          </w:tcPr>
          <w:p w14:paraId="39195F74" w14:textId="6EB9DEC5" w:rsidR="00316B1C" w:rsidRPr="00D63B67" w:rsidRDefault="00316B1C" w:rsidP="00316B1C">
            <w:pPr>
              <w:rPr>
                <w:rFonts w:ascii="Arial" w:hAnsi="Arial" w:cs="Arial"/>
                <w:sz w:val="22"/>
                <w:szCs w:val="22"/>
              </w:rPr>
            </w:pPr>
            <w:r w:rsidRPr="00D63B67">
              <w:rPr>
                <w:rFonts w:ascii="Arial" w:hAnsi="Arial" w:cs="Arial"/>
                <w:sz w:val="22"/>
                <w:szCs w:val="22"/>
              </w:rPr>
              <w:t xml:space="preserve">Natural gas fired space heater. Maximum design capacity 75,000 BTU/hr (each).  </w:t>
            </w:r>
          </w:p>
        </w:tc>
        <w:tc>
          <w:tcPr>
            <w:tcW w:w="1710" w:type="dxa"/>
          </w:tcPr>
          <w:p w14:paraId="1D6FA488" w14:textId="0FF4CAD6"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5F07C282" w14:textId="19757A60"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6FECDB23" w14:textId="77777777" w:rsidTr="00340A3A">
        <w:tc>
          <w:tcPr>
            <w:tcW w:w="2250" w:type="dxa"/>
          </w:tcPr>
          <w:p w14:paraId="573676ED" w14:textId="4D07DA2A" w:rsidR="00316B1C" w:rsidRPr="00D63B67" w:rsidRDefault="00316B1C" w:rsidP="00316B1C">
            <w:pPr>
              <w:rPr>
                <w:rFonts w:ascii="Arial" w:hAnsi="Arial" w:cs="Arial"/>
                <w:sz w:val="22"/>
                <w:szCs w:val="22"/>
              </w:rPr>
            </w:pPr>
            <w:r w:rsidRPr="00D63B67">
              <w:rPr>
                <w:rFonts w:ascii="Arial" w:hAnsi="Arial" w:cs="Arial"/>
                <w:sz w:val="22"/>
                <w:szCs w:val="22"/>
              </w:rPr>
              <w:t>EUHEATER#9</w:t>
            </w:r>
          </w:p>
        </w:tc>
        <w:tc>
          <w:tcPr>
            <w:tcW w:w="4369" w:type="dxa"/>
          </w:tcPr>
          <w:p w14:paraId="5F7D3D5C" w14:textId="35AAAB3D" w:rsidR="00316B1C" w:rsidRPr="00D63B67" w:rsidRDefault="00316B1C" w:rsidP="00316B1C">
            <w:pPr>
              <w:rPr>
                <w:rFonts w:ascii="Arial" w:hAnsi="Arial" w:cs="Arial"/>
                <w:sz w:val="22"/>
                <w:szCs w:val="22"/>
              </w:rPr>
            </w:pPr>
            <w:r w:rsidRPr="00D63B67">
              <w:rPr>
                <w:rFonts w:ascii="Arial" w:hAnsi="Arial" w:cs="Arial"/>
                <w:sz w:val="22"/>
                <w:szCs w:val="22"/>
              </w:rPr>
              <w:t xml:space="preserve">Natural gas fired space heater. Maximum design capacity 195,000 BTU/hr. </w:t>
            </w:r>
          </w:p>
        </w:tc>
        <w:tc>
          <w:tcPr>
            <w:tcW w:w="1710" w:type="dxa"/>
          </w:tcPr>
          <w:p w14:paraId="62A7D566" w14:textId="174CF11C"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5BB2A83C" w14:textId="38616C69"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50940ED1" w14:textId="77777777" w:rsidTr="00340A3A">
        <w:tc>
          <w:tcPr>
            <w:tcW w:w="2250" w:type="dxa"/>
          </w:tcPr>
          <w:p w14:paraId="6C9FC9A5" w14:textId="7EDA2709" w:rsidR="00316B1C" w:rsidRPr="00D63B67" w:rsidRDefault="00316B1C" w:rsidP="00316B1C">
            <w:pPr>
              <w:rPr>
                <w:rFonts w:ascii="Arial" w:hAnsi="Arial" w:cs="Arial"/>
                <w:sz w:val="22"/>
                <w:szCs w:val="22"/>
              </w:rPr>
            </w:pPr>
            <w:r w:rsidRPr="00D63B67">
              <w:rPr>
                <w:rFonts w:ascii="Arial" w:hAnsi="Arial" w:cs="Arial"/>
                <w:sz w:val="22"/>
                <w:szCs w:val="22"/>
              </w:rPr>
              <w:t>EUHEATER#10, #21</w:t>
            </w:r>
          </w:p>
        </w:tc>
        <w:tc>
          <w:tcPr>
            <w:tcW w:w="4369" w:type="dxa"/>
          </w:tcPr>
          <w:p w14:paraId="4907A990" w14:textId="5287BD27" w:rsidR="00316B1C" w:rsidRPr="00D63B67" w:rsidRDefault="00316B1C" w:rsidP="00316B1C">
            <w:pPr>
              <w:rPr>
                <w:rFonts w:ascii="Arial" w:hAnsi="Arial" w:cs="Arial"/>
                <w:sz w:val="22"/>
                <w:szCs w:val="22"/>
              </w:rPr>
            </w:pPr>
            <w:r w:rsidRPr="00D63B67">
              <w:rPr>
                <w:rFonts w:ascii="Arial" w:hAnsi="Arial" w:cs="Arial"/>
                <w:sz w:val="22"/>
                <w:szCs w:val="22"/>
              </w:rPr>
              <w:t>Natural gas fired space heaters. Maximum design capacity 200,000 BTU/hr (each)</w:t>
            </w:r>
          </w:p>
        </w:tc>
        <w:tc>
          <w:tcPr>
            <w:tcW w:w="1710" w:type="dxa"/>
          </w:tcPr>
          <w:p w14:paraId="4600E56F" w14:textId="5F1248A2"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2B6EB149" w14:textId="764BB4F8"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369B59D8" w14:textId="77777777" w:rsidTr="00340A3A">
        <w:tc>
          <w:tcPr>
            <w:tcW w:w="2250" w:type="dxa"/>
          </w:tcPr>
          <w:p w14:paraId="5B0944D6" w14:textId="444A277D" w:rsidR="00316B1C" w:rsidRPr="00D63B67" w:rsidRDefault="00316B1C" w:rsidP="00316B1C">
            <w:pPr>
              <w:rPr>
                <w:rFonts w:ascii="Arial" w:hAnsi="Arial" w:cs="Arial"/>
                <w:sz w:val="22"/>
                <w:szCs w:val="22"/>
              </w:rPr>
            </w:pPr>
            <w:r w:rsidRPr="00D63B67">
              <w:rPr>
                <w:rFonts w:ascii="Arial" w:hAnsi="Arial" w:cs="Arial"/>
                <w:sz w:val="22"/>
                <w:szCs w:val="22"/>
              </w:rPr>
              <w:t>EUHEATER#11</w:t>
            </w:r>
          </w:p>
        </w:tc>
        <w:tc>
          <w:tcPr>
            <w:tcW w:w="4369" w:type="dxa"/>
          </w:tcPr>
          <w:p w14:paraId="0DA2A893" w14:textId="1D0CF947" w:rsidR="00316B1C" w:rsidRPr="00D63B67" w:rsidRDefault="00316B1C" w:rsidP="00316B1C">
            <w:pPr>
              <w:rPr>
                <w:rFonts w:ascii="Arial" w:hAnsi="Arial" w:cs="Arial"/>
                <w:sz w:val="22"/>
                <w:szCs w:val="22"/>
              </w:rPr>
            </w:pPr>
            <w:r w:rsidRPr="00D63B67">
              <w:rPr>
                <w:rFonts w:ascii="Arial" w:hAnsi="Arial" w:cs="Arial"/>
                <w:sz w:val="22"/>
                <w:szCs w:val="22"/>
              </w:rPr>
              <w:t>Natural gas fired space heater. Maximum design capacity 72,000 BTU/hr.</w:t>
            </w:r>
          </w:p>
        </w:tc>
        <w:tc>
          <w:tcPr>
            <w:tcW w:w="1710" w:type="dxa"/>
          </w:tcPr>
          <w:p w14:paraId="3429D948" w14:textId="58E06936"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44817CBE" w14:textId="7D60C81E"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2B08CD0F" w14:textId="77777777" w:rsidTr="00340A3A">
        <w:tc>
          <w:tcPr>
            <w:tcW w:w="2250" w:type="dxa"/>
          </w:tcPr>
          <w:p w14:paraId="00D27EA0" w14:textId="07EFC844" w:rsidR="00316B1C" w:rsidRPr="00D63B67" w:rsidRDefault="00316B1C" w:rsidP="00316B1C">
            <w:pPr>
              <w:rPr>
                <w:rFonts w:ascii="Arial" w:hAnsi="Arial" w:cs="Arial"/>
                <w:sz w:val="22"/>
                <w:szCs w:val="22"/>
              </w:rPr>
            </w:pPr>
            <w:r w:rsidRPr="00D63B67">
              <w:rPr>
                <w:rFonts w:ascii="Arial" w:hAnsi="Arial" w:cs="Arial"/>
                <w:sz w:val="22"/>
                <w:szCs w:val="22"/>
              </w:rPr>
              <w:t>EUHEATER#15, #20</w:t>
            </w:r>
          </w:p>
        </w:tc>
        <w:tc>
          <w:tcPr>
            <w:tcW w:w="4369" w:type="dxa"/>
          </w:tcPr>
          <w:p w14:paraId="26507AB9" w14:textId="50BB82CE" w:rsidR="00316B1C" w:rsidRPr="00D63B67" w:rsidRDefault="00316B1C" w:rsidP="00316B1C">
            <w:pPr>
              <w:rPr>
                <w:rFonts w:ascii="Arial" w:hAnsi="Arial" w:cs="Arial"/>
                <w:sz w:val="22"/>
                <w:szCs w:val="22"/>
              </w:rPr>
            </w:pPr>
            <w:r w:rsidRPr="00D63B67">
              <w:rPr>
                <w:rFonts w:ascii="Arial" w:hAnsi="Arial" w:cs="Arial"/>
                <w:sz w:val="22"/>
                <w:szCs w:val="22"/>
              </w:rPr>
              <w:t>Natural gas fired space heaters. Maximum design capacity 120,000 BTU/hr (each).</w:t>
            </w:r>
          </w:p>
        </w:tc>
        <w:tc>
          <w:tcPr>
            <w:tcW w:w="1710" w:type="dxa"/>
          </w:tcPr>
          <w:p w14:paraId="7880C054" w14:textId="5AB012BE"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7E5F59E6" w14:textId="25978605"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40F5DF9A" w14:textId="77777777" w:rsidTr="00340A3A">
        <w:tc>
          <w:tcPr>
            <w:tcW w:w="2250" w:type="dxa"/>
          </w:tcPr>
          <w:p w14:paraId="0BAF7FB6" w14:textId="3203F5D1" w:rsidR="00316B1C" w:rsidRPr="00D63B67" w:rsidRDefault="00316B1C" w:rsidP="00316B1C">
            <w:pPr>
              <w:rPr>
                <w:rFonts w:ascii="Arial" w:hAnsi="Arial" w:cs="Arial"/>
                <w:sz w:val="22"/>
                <w:szCs w:val="22"/>
              </w:rPr>
            </w:pPr>
            <w:r w:rsidRPr="00D63B67">
              <w:rPr>
                <w:rFonts w:ascii="Arial" w:hAnsi="Arial" w:cs="Arial"/>
                <w:sz w:val="22"/>
                <w:szCs w:val="22"/>
              </w:rPr>
              <w:t>EUHEATER#22</w:t>
            </w:r>
          </w:p>
        </w:tc>
        <w:tc>
          <w:tcPr>
            <w:tcW w:w="4369" w:type="dxa"/>
          </w:tcPr>
          <w:p w14:paraId="66C312A0" w14:textId="03B3F6F7" w:rsidR="00316B1C" w:rsidRPr="00D63B67" w:rsidRDefault="00316B1C" w:rsidP="00316B1C">
            <w:pPr>
              <w:rPr>
                <w:rFonts w:ascii="Arial" w:hAnsi="Arial" w:cs="Arial"/>
                <w:sz w:val="22"/>
                <w:szCs w:val="22"/>
              </w:rPr>
            </w:pPr>
            <w:r w:rsidRPr="00D63B67">
              <w:rPr>
                <w:rFonts w:ascii="Arial" w:hAnsi="Arial" w:cs="Arial"/>
                <w:sz w:val="22"/>
                <w:szCs w:val="22"/>
              </w:rPr>
              <w:t xml:space="preserve">Natural gas fired space heater. Maximum design capacity 80,000 BTU/hr. </w:t>
            </w:r>
          </w:p>
        </w:tc>
        <w:tc>
          <w:tcPr>
            <w:tcW w:w="1710" w:type="dxa"/>
          </w:tcPr>
          <w:p w14:paraId="64AE7617" w14:textId="3DA23C67"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13F534C3" w14:textId="4CA20D02"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5F749CE8" w14:textId="77777777" w:rsidTr="00340A3A">
        <w:tc>
          <w:tcPr>
            <w:tcW w:w="2250" w:type="dxa"/>
          </w:tcPr>
          <w:p w14:paraId="338FEAB7" w14:textId="157FA57C" w:rsidR="00316B1C" w:rsidRPr="00D63B67" w:rsidRDefault="00316B1C" w:rsidP="00316B1C">
            <w:pPr>
              <w:rPr>
                <w:rFonts w:ascii="Arial" w:hAnsi="Arial" w:cs="Arial"/>
                <w:sz w:val="22"/>
                <w:szCs w:val="22"/>
              </w:rPr>
            </w:pPr>
            <w:r w:rsidRPr="00D63B67">
              <w:rPr>
                <w:rFonts w:ascii="Arial" w:hAnsi="Arial" w:cs="Arial"/>
                <w:sz w:val="22"/>
                <w:szCs w:val="22"/>
              </w:rPr>
              <w:t>EUHEATER#24</w:t>
            </w:r>
          </w:p>
        </w:tc>
        <w:tc>
          <w:tcPr>
            <w:tcW w:w="4369" w:type="dxa"/>
          </w:tcPr>
          <w:p w14:paraId="332C4B2B" w14:textId="5554030A" w:rsidR="00316B1C" w:rsidRPr="00D63B67" w:rsidRDefault="00316B1C" w:rsidP="00316B1C">
            <w:pPr>
              <w:rPr>
                <w:rFonts w:ascii="Arial" w:hAnsi="Arial" w:cs="Arial"/>
                <w:sz w:val="22"/>
                <w:szCs w:val="22"/>
              </w:rPr>
            </w:pPr>
            <w:r w:rsidRPr="00D63B67">
              <w:rPr>
                <w:rFonts w:ascii="Arial" w:hAnsi="Arial" w:cs="Arial"/>
                <w:sz w:val="22"/>
                <w:szCs w:val="22"/>
              </w:rPr>
              <w:t>Natural gas fired space heater. Maximum design capacity 170,000 BTU/hr.</w:t>
            </w:r>
          </w:p>
        </w:tc>
        <w:tc>
          <w:tcPr>
            <w:tcW w:w="1710" w:type="dxa"/>
          </w:tcPr>
          <w:p w14:paraId="454C7E8C" w14:textId="1498A565"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229F971B" w14:textId="66315A86"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r w:rsidR="00316B1C" w:rsidRPr="00D63B67" w14:paraId="2A386C2F" w14:textId="77777777" w:rsidTr="00340A3A">
        <w:tc>
          <w:tcPr>
            <w:tcW w:w="2250" w:type="dxa"/>
          </w:tcPr>
          <w:p w14:paraId="17B44FAB" w14:textId="28E43D05" w:rsidR="00316B1C" w:rsidRPr="00D63B67" w:rsidRDefault="00316B1C" w:rsidP="00316B1C">
            <w:pPr>
              <w:rPr>
                <w:rFonts w:ascii="Arial" w:hAnsi="Arial" w:cs="Arial"/>
                <w:sz w:val="22"/>
                <w:szCs w:val="22"/>
              </w:rPr>
            </w:pPr>
            <w:r w:rsidRPr="00D63B67">
              <w:rPr>
                <w:rFonts w:ascii="Arial" w:hAnsi="Arial" w:cs="Arial"/>
                <w:sz w:val="22"/>
                <w:szCs w:val="22"/>
              </w:rPr>
              <w:t>EUHEATER#25, #26, #28</w:t>
            </w:r>
          </w:p>
        </w:tc>
        <w:tc>
          <w:tcPr>
            <w:tcW w:w="4369" w:type="dxa"/>
          </w:tcPr>
          <w:p w14:paraId="7B610F5C" w14:textId="0E608E60" w:rsidR="00316B1C" w:rsidRPr="00D63B67" w:rsidRDefault="00316B1C" w:rsidP="00316B1C">
            <w:pPr>
              <w:rPr>
                <w:rFonts w:ascii="Arial" w:hAnsi="Arial" w:cs="Arial"/>
                <w:sz w:val="22"/>
                <w:szCs w:val="22"/>
              </w:rPr>
            </w:pPr>
            <w:r w:rsidRPr="00D63B67">
              <w:rPr>
                <w:rFonts w:ascii="Arial" w:hAnsi="Arial" w:cs="Arial"/>
                <w:sz w:val="22"/>
                <w:szCs w:val="22"/>
              </w:rPr>
              <w:t>Natural gas fired space heaters. Maximum design capacities of 30,000; 50,000 and 110,000 BTU/hr (respectively)</w:t>
            </w:r>
          </w:p>
        </w:tc>
        <w:tc>
          <w:tcPr>
            <w:tcW w:w="1710" w:type="dxa"/>
          </w:tcPr>
          <w:p w14:paraId="55973E1F" w14:textId="0FF77EC7" w:rsidR="00316B1C" w:rsidRPr="00D63B67" w:rsidRDefault="00316B1C" w:rsidP="00316B1C">
            <w:pPr>
              <w:jc w:val="center"/>
              <w:rPr>
                <w:rFonts w:ascii="Arial" w:hAnsi="Arial" w:cs="Arial"/>
                <w:sz w:val="22"/>
                <w:szCs w:val="22"/>
              </w:rPr>
            </w:pPr>
            <w:r w:rsidRPr="00D341B3">
              <w:rPr>
                <w:rFonts w:ascii="Arial" w:hAnsi="Arial" w:cs="Arial"/>
                <w:sz w:val="22"/>
                <w:szCs w:val="22"/>
              </w:rPr>
              <w:t>Rule 212(4)(c)</w:t>
            </w:r>
          </w:p>
        </w:tc>
        <w:tc>
          <w:tcPr>
            <w:tcW w:w="1841" w:type="dxa"/>
          </w:tcPr>
          <w:p w14:paraId="2637154A" w14:textId="2F9C31F3" w:rsidR="00316B1C" w:rsidRPr="00D63B67" w:rsidRDefault="00316B1C" w:rsidP="00316B1C">
            <w:pPr>
              <w:jc w:val="center"/>
              <w:rPr>
                <w:rFonts w:ascii="Arial" w:hAnsi="Arial" w:cs="Arial"/>
                <w:sz w:val="22"/>
                <w:szCs w:val="22"/>
              </w:rPr>
            </w:pPr>
            <w:r w:rsidRPr="000E6E5F">
              <w:rPr>
                <w:rFonts w:ascii="Arial" w:hAnsi="Arial" w:cs="Arial"/>
                <w:sz w:val="22"/>
                <w:szCs w:val="22"/>
              </w:rPr>
              <w:t>Rule 282(2)(b)(i)</w:t>
            </w:r>
          </w:p>
        </w:tc>
      </w:tr>
    </w:tbl>
    <w:p w14:paraId="519B18AC" w14:textId="77777777" w:rsidR="000F73C3" w:rsidRDefault="000F73C3" w:rsidP="000F73C3">
      <w:pPr>
        <w:rPr>
          <w:rFonts w:ascii="Arial" w:hAnsi="Arial" w:cs="Arial"/>
          <w:sz w:val="22"/>
          <w:szCs w:val="22"/>
        </w:rPr>
      </w:pPr>
    </w:p>
    <w:p w14:paraId="460E50E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E42A6A1" w14:textId="77777777" w:rsidR="000F73C3" w:rsidRPr="00290754" w:rsidRDefault="000F73C3" w:rsidP="000F73C3">
      <w:pPr>
        <w:rPr>
          <w:rFonts w:ascii="Arial" w:hAnsi="Arial" w:cs="Arial"/>
          <w:sz w:val="22"/>
          <w:szCs w:val="22"/>
        </w:rPr>
      </w:pPr>
    </w:p>
    <w:p w14:paraId="5AE868C4" w14:textId="5256DE2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B68CE63" w14:textId="77777777" w:rsidR="000F73C3" w:rsidRPr="00290754" w:rsidRDefault="000F73C3" w:rsidP="000F73C3">
      <w:pPr>
        <w:rPr>
          <w:rFonts w:ascii="Arial" w:hAnsi="Arial" w:cs="Arial"/>
          <w:sz w:val="22"/>
          <w:szCs w:val="22"/>
        </w:rPr>
      </w:pPr>
    </w:p>
    <w:p w14:paraId="4E24F1C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A5B2BFD" w14:textId="77777777" w:rsidR="000F73C3" w:rsidRPr="00EC0D9E" w:rsidRDefault="000F73C3" w:rsidP="000F73C3">
      <w:pPr>
        <w:rPr>
          <w:rFonts w:ascii="Arial" w:hAnsi="Arial" w:cs="Arial"/>
          <w:sz w:val="22"/>
          <w:szCs w:val="22"/>
        </w:rPr>
      </w:pPr>
    </w:p>
    <w:p w14:paraId="4290944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F952DA1" w14:textId="77777777" w:rsidR="000F73C3" w:rsidRDefault="000F73C3" w:rsidP="000F73C3">
      <w:pPr>
        <w:jc w:val="both"/>
        <w:rPr>
          <w:rFonts w:ascii="Arial" w:hAnsi="Arial" w:cs="Arial"/>
          <w:sz w:val="22"/>
          <w:szCs w:val="22"/>
        </w:rPr>
      </w:pPr>
    </w:p>
    <w:p w14:paraId="5904438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39F0A7A" w14:textId="77777777" w:rsidR="000F73C3" w:rsidRPr="00290754" w:rsidRDefault="000F73C3" w:rsidP="000F73C3">
      <w:pPr>
        <w:jc w:val="both"/>
        <w:rPr>
          <w:rFonts w:ascii="Arial" w:hAnsi="Arial" w:cs="Arial"/>
          <w:sz w:val="22"/>
          <w:szCs w:val="22"/>
        </w:rPr>
      </w:pPr>
    </w:p>
    <w:p w14:paraId="5761B6E5" w14:textId="67B3D142" w:rsidR="00AB4929"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16B1C">
        <w:rPr>
          <w:rFonts w:ascii="Arial" w:hAnsi="Arial" w:cs="Arial"/>
          <w:sz w:val="22"/>
          <w:szCs w:val="22"/>
        </w:rPr>
        <w:t>Christopher Ethridge, 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86FB321" w14:textId="77777777" w:rsidR="00AB4929" w:rsidRDefault="00AB4929">
      <w:pPr>
        <w:rPr>
          <w:rFonts w:ascii="Arial" w:hAnsi="Arial" w:cs="Arial"/>
          <w:sz w:val="22"/>
          <w:szCs w:val="22"/>
        </w:rPr>
      </w:pPr>
      <w:r>
        <w:rPr>
          <w:rFonts w:ascii="Arial" w:hAnsi="Arial" w:cs="Arial"/>
          <w:sz w:val="22"/>
          <w:szCs w:val="22"/>
        </w:rPr>
        <w:br w:type="page"/>
      </w:r>
    </w:p>
    <w:p w14:paraId="722B8022" w14:textId="77777777" w:rsidR="00AB4929" w:rsidRDefault="00AB4929">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B4929" w14:paraId="69D1307C" w14:textId="77777777" w:rsidTr="001F29E7">
        <w:tc>
          <w:tcPr>
            <w:tcW w:w="2250" w:type="dxa"/>
          </w:tcPr>
          <w:p w14:paraId="09DF860D" w14:textId="77777777" w:rsidR="00AB4929" w:rsidRDefault="00AB4929" w:rsidP="001F29E7">
            <w:pPr>
              <w:jc w:val="center"/>
              <w:rPr>
                <w:rFonts w:ascii="Arial" w:hAnsi="Arial"/>
                <w:sz w:val="16"/>
              </w:rPr>
            </w:pPr>
          </w:p>
        </w:tc>
        <w:tc>
          <w:tcPr>
            <w:tcW w:w="5670" w:type="dxa"/>
          </w:tcPr>
          <w:p w14:paraId="5F265133" w14:textId="77777777" w:rsidR="00AB4929" w:rsidRDefault="00AB4929" w:rsidP="001F29E7">
            <w:pPr>
              <w:ind w:left="-108" w:right="-140"/>
              <w:jc w:val="center"/>
              <w:rPr>
                <w:rFonts w:ascii="Arial" w:hAnsi="Arial"/>
              </w:rPr>
            </w:pPr>
            <w:r>
              <w:rPr>
                <w:rFonts w:ascii="Arial" w:hAnsi="Arial"/>
              </w:rPr>
              <w:t>Michigan Department of Environment, Great Lakes, and Energy</w:t>
            </w:r>
          </w:p>
          <w:p w14:paraId="5C05FF5F" w14:textId="77777777" w:rsidR="00AB4929" w:rsidRDefault="00AB4929" w:rsidP="001F29E7">
            <w:pPr>
              <w:jc w:val="center"/>
              <w:rPr>
                <w:rFonts w:ascii="Arial" w:hAnsi="Arial"/>
                <w:sz w:val="16"/>
              </w:rPr>
            </w:pPr>
            <w:r>
              <w:rPr>
                <w:rFonts w:ascii="Arial" w:hAnsi="Arial"/>
              </w:rPr>
              <w:t>Air Quality Division</w:t>
            </w:r>
          </w:p>
        </w:tc>
        <w:tc>
          <w:tcPr>
            <w:tcW w:w="2430" w:type="dxa"/>
          </w:tcPr>
          <w:p w14:paraId="6D22C44A" w14:textId="77777777" w:rsidR="00AB4929" w:rsidRDefault="00AB4929" w:rsidP="001F29E7">
            <w:pPr>
              <w:jc w:val="center"/>
              <w:rPr>
                <w:rFonts w:ascii="Arial" w:hAnsi="Arial"/>
                <w:b/>
                <w:sz w:val="24"/>
              </w:rPr>
            </w:pPr>
          </w:p>
        </w:tc>
      </w:tr>
      <w:tr w:rsidR="00AB4929" w14:paraId="061DCDBE" w14:textId="77777777" w:rsidTr="001F29E7">
        <w:trPr>
          <w:cantSplit/>
          <w:trHeight w:val="146"/>
        </w:trPr>
        <w:tc>
          <w:tcPr>
            <w:tcW w:w="2250" w:type="dxa"/>
          </w:tcPr>
          <w:p w14:paraId="193DEA94" w14:textId="77777777" w:rsidR="00AB4929" w:rsidRPr="00DB5924" w:rsidRDefault="00AB4929"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75CE7F5" w14:textId="77777777" w:rsidR="00AB4929" w:rsidRDefault="00AB4929" w:rsidP="001F29E7">
            <w:pPr>
              <w:pStyle w:val="Header"/>
              <w:jc w:val="center"/>
              <w:rPr>
                <w:rFonts w:ascii="Arial" w:hAnsi="Arial"/>
                <w:b/>
                <w:sz w:val="28"/>
              </w:rPr>
            </w:pPr>
            <w:r>
              <w:rPr>
                <w:rFonts w:ascii="Arial" w:hAnsi="Arial"/>
                <w:b/>
                <w:sz w:val="28"/>
              </w:rPr>
              <w:t>RENEWABLE OPERATING PERMIT</w:t>
            </w:r>
          </w:p>
        </w:tc>
        <w:tc>
          <w:tcPr>
            <w:tcW w:w="2430" w:type="dxa"/>
          </w:tcPr>
          <w:p w14:paraId="423BAB0C" w14:textId="77777777" w:rsidR="00AB4929" w:rsidRPr="00DB5924" w:rsidRDefault="00AB4929"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B4929" w14:paraId="1479BA67" w14:textId="77777777" w:rsidTr="001F29E7">
        <w:trPr>
          <w:cantSplit/>
          <w:trHeight w:val="145"/>
        </w:trPr>
        <w:tc>
          <w:tcPr>
            <w:tcW w:w="2250" w:type="dxa"/>
          </w:tcPr>
          <w:p w14:paraId="406AB875" w14:textId="4FAB6204" w:rsidR="00AB4929" w:rsidRPr="00910FEA" w:rsidRDefault="00FE43AA" w:rsidP="001F29E7">
            <w:pPr>
              <w:pStyle w:val="Header"/>
              <w:jc w:val="center"/>
              <w:rPr>
                <w:rFonts w:ascii="Arial" w:hAnsi="Arial"/>
                <w:sz w:val="22"/>
                <w:szCs w:val="22"/>
              </w:rPr>
            </w:pPr>
            <w:r>
              <w:rPr>
                <w:rFonts w:ascii="Arial" w:hAnsi="Arial"/>
                <w:sz w:val="22"/>
              </w:rPr>
              <w:t>A6497</w:t>
            </w:r>
          </w:p>
        </w:tc>
        <w:tc>
          <w:tcPr>
            <w:tcW w:w="5670" w:type="dxa"/>
          </w:tcPr>
          <w:p w14:paraId="59333074" w14:textId="58032F63" w:rsidR="00AB4929" w:rsidRPr="003D3F6C" w:rsidRDefault="00191121" w:rsidP="003D3F6C">
            <w:pPr>
              <w:pStyle w:val="Heading1"/>
              <w:spacing w:before="120"/>
              <w:rPr>
                <w:sz w:val="22"/>
                <w:szCs w:val="22"/>
              </w:rPr>
            </w:pPr>
            <w:bookmarkStart w:id="19" w:name="_Toc125453278"/>
            <w:r>
              <w:rPr>
                <w:sz w:val="22"/>
                <w:szCs w:val="22"/>
              </w:rPr>
              <w:t>June 14, 2022</w:t>
            </w:r>
            <w:r w:rsidR="00AB4929" w:rsidRPr="003D3F6C">
              <w:rPr>
                <w:sz w:val="22"/>
                <w:szCs w:val="22"/>
              </w:rPr>
              <w:t>- STAFF REPORT ADDENDUM</w:t>
            </w:r>
            <w:bookmarkEnd w:id="19"/>
          </w:p>
        </w:tc>
        <w:tc>
          <w:tcPr>
            <w:tcW w:w="2430" w:type="dxa"/>
          </w:tcPr>
          <w:p w14:paraId="1BD6A4B7" w14:textId="6A828995" w:rsidR="00AB4929" w:rsidRPr="00910FEA" w:rsidRDefault="00FE43AA" w:rsidP="001F29E7">
            <w:pPr>
              <w:pStyle w:val="Header"/>
              <w:jc w:val="center"/>
              <w:rPr>
                <w:rFonts w:ascii="Arial" w:hAnsi="Arial"/>
                <w:sz w:val="22"/>
                <w:szCs w:val="22"/>
              </w:rPr>
            </w:pPr>
            <w:r>
              <w:rPr>
                <w:rFonts w:ascii="Arial" w:hAnsi="Arial"/>
                <w:sz w:val="22"/>
                <w:szCs w:val="22"/>
              </w:rPr>
              <w:t>MI-ROP</w:t>
            </w:r>
            <w:r w:rsidRPr="002812D5">
              <w:rPr>
                <w:rFonts w:ascii="Arial" w:hAnsi="Arial"/>
                <w:sz w:val="22"/>
                <w:szCs w:val="22"/>
              </w:rPr>
              <w:t>-</w:t>
            </w:r>
            <w:r w:rsidR="00B92FEC" w:rsidRPr="002812D5">
              <w:rPr>
                <w:rFonts w:ascii="Arial" w:hAnsi="Arial"/>
                <w:sz w:val="22"/>
                <w:szCs w:val="22"/>
              </w:rPr>
              <w:t>A6497</w:t>
            </w:r>
            <w:r w:rsidRPr="002812D5">
              <w:rPr>
                <w:rFonts w:ascii="Arial" w:hAnsi="Arial"/>
                <w:sz w:val="22"/>
                <w:szCs w:val="22"/>
              </w:rPr>
              <w:t>-2</w:t>
            </w:r>
            <w:r>
              <w:rPr>
                <w:rFonts w:ascii="Arial" w:hAnsi="Arial"/>
                <w:sz w:val="22"/>
                <w:szCs w:val="22"/>
              </w:rPr>
              <w:t>0</w:t>
            </w:r>
            <w:r w:rsidR="00F31B1F">
              <w:rPr>
                <w:rFonts w:ascii="Arial" w:hAnsi="Arial"/>
                <w:sz w:val="22"/>
                <w:szCs w:val="22"/>
              </w:rPr>
              <w:t>22</w:t>
            </w:r>
          </w:p>
        </w:tc>
      </w:tr>
    </w:tbl>
    <w:p w14:paraId="1CF0C48E" w14:textId="77777777" w:rsidR="00AB4929" w:rsidRDefault="00AB4929">
      <w:pPr>
        <w:pStyle w:val="Header"/>
        <w:tabs>
          <w:tab w:val="clear" w:pos="4320"/>
          <w:tab w:val="clear" w:pos="8640"/>
        </w:tabs>
        <w:rPr>
          <w:rFonts w:ascii="Arial" w:hAnsi="Arial"/>
          <w:sz w:val="18"/>
        </w:rPr>
      </w:pPr>
    </w:p>
    <w:p w14:paraId="5BB14BD5" w14:textId="77777777" w:rsidR="00AB4929" w:rsidRDefault="00AB4929">
      <w:pPr>
        <w:rPr>
          <w:rFonts w:ascii="Arial" w:hAnsi="Arial"/>
          <w:sz w:val="22"/>
        </w:rPr>
      </w:pPr>
    </w:p>
    <w:p w14:paraId="3BB718D3" w14:textId="77777777" w:rsidR="00AB4929" w:rsidRDefault="00AB4929">
      <w:pPr>
        <w:rPr>
          <w:rFonts w:ascii="Arial" w:hAnsi="Arial"/>
          <w:b/>
          <w:sz w:val="22"/>
          <w:u w:val="single"/>
        </w:rPr>
      </w:pPr>
      <w:bookmarkStart w:id="20" w:name="_Toc482691122"/>
      <w:r>
        <w:rPr>
          <w:rFonts w:ascii="Arial" w:hAnsi="Arial"/>
          <w:b/>
          <w:sz w:val="22"/>
          <w:u w:val="single"/>
        </w:rPr>
        <w:t>Purpose</w:t>
      </w:r>
      <w:bookmarkEnd w:id="20"/>
    </w:p>
    <w:p w14:paraId="7A402673" w14:textId="77777777" w:rsidR="00AB4929" w:rsidRDefault="00AB4929">
      <w:pPr>
        <w:rPr>
          <w:rFonts w:ascii="Arial" w:hAnsi="Arial"/>
          <w:sz w:val="22"/>
        </w:rPr>
      </w:pPr>
    </w:p>
    <w:p w14:paraId="0A0FF4C7" w14:textId="11C346B5" w:rsidR="00AB4929" w:rsidRDefault="00AB4929">
      <w:pPr>
        <w:jc w:val="both"/>
        <w:rPr>
          <w:rFonts w:ascii="Arial" w:hAnsi="Arial"/>
          <w:sz w:val="22"/>
        </w:rPr>
      </w:pPr>
      <w:r>
        <w:rPr>
          <w:rFonts w:ascii="Arial" w:hAnsi="Arial"/>
          <w:sz w:val="22"/>
        </w:rPr>
        <w:t xml:space="preserve">A Staff Report dated </w:t>
      </w:r>
      <w:r w:rsidR="00FE43AA">
        <w:rPr>
          <w:rFonts w:ascii="Arial" w:hAnsi="Arial" w:cs="Arial"/>
          <w:sz w:val="22"/>
          <w:szCs w:val="22"/>
        </w:rPr>
        <w:t>April 4,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61D7F">
        <w:rPr>
          <w:rFonts w:ascii="Arial" w:hAnsi="Arial"/>
          <w:sz w:val="22"/>
        </w:rPr>
        <w:t>30-day public</w:t>
      </w:r>
      <w:r>
        <w:rPr>
          <w:rFonts w:ascii="Arial" w:hAnsi="Arial"/>
          <w:sz w:val="22"/>
        </w:rPr>
        <w:t xml:space="preserve"> comment period as described in </w:t>
      </w:r>
      <w:r w:rsidR="00761D7F">
        <w:rPr>
          <w:rFonts w:ascii="Arial" w:hAnsi="Arial"/>
          <w:sz w:val="22"/>
        </w:rPr>
        <w:t>Rule 214(3)</w:t>
      </w:r>
      <w:r>
        <w:rPr>
          <w:rFonts w:ascii="Arial" w:hAnsi="Arial"/>
          <w:sz w:val="22"/>
        </w:rPr>
        <w:t xml:space="preserve">.  In addition, this addendum describes any changes to the </w:t>
      </w:r>
      <w:r w:rsidR="00761D7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12E3875" w14:textId="77777777" w:rsidR="00AB4929" w:rsidRDefault="00AB4929">
      <w:pPr>
        <w:rPr>
          <w:rFonts w:ascii="Arial" w:hAnsi="Arial"/>
          <w:sz w:val="22"/>
        </w:rPr>
      </w:pPr>
    </w:p>
    <w:p w14:paraId="0538A2E5" w14:textId="77777777" w:rsidR="00AB4929" w:rsidRDefault="00AB4929">
      <w:pPr>
        <w:rPr>
          <w:rFonts w:ascii="Arial" w:hAnsi="Arial"/>
          <w:b/>
          <w:sz w:val="22"/>
          <w:u w:val="single"/>
        </w:rPr>
      </w:pPr>
      <w:r>
        <w:rPr>
          <w:rFonts w:ascii="Arial" w:hAnsi="Arial"/>
          <w:b/>
          <w:sz w:val="22"/>
          <w:u w:val="single"/>
        </w:rPr>
        <w:t>General Information</w:t>
      </w:r>
    </w:p>
    <w:p w14:paraId="68CDDC1E" w14:textId="77777777" w:rsidR="00AB4929" w:rsidRDefault="00AB492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E43AA" w14:paraId="56814AE8" w14:textId="77777777" w:rsidTr="00FE43AA">
        <w:tc>
          <w:tcPr>
            <w:tcW w:w="4464" w:type="dxa"/>
          </w:tcPr>
          <w:p w14:paraId="3C825C31" w14:textId="49532538" w:rsidR="00FE43AA" w:rsidRDefault="00FE43AA" w:rsidP="00FE43AA">
            <w:pPr>
              <w:tabs>
                <w:tab w:val="left" w:pos="3424"/>
              </w:tabs>
              <w:rPr>
                <w:rFonts w:ascii="Arial" w:hAnsi="Arial"/>
                <w:sz w:val="22"/>
              </w:rPr>
            </w:pPr>
            <w:r w:rsidRPr="00290754">
              <w:rPr>
                <w:rFonts w:ascii="Arial" w:hAnsi="Arial" w:cs="Arial"/>
                <w:sz w:val="22"/>
                <w:szCs w:val="22"/>
              </w:rPr>
              <w:t>Responsible Official:</w:t>
            </w:r>
          </w:p>
        </w:tc>
        <w:tc>
          <w:tcPr>
            <w:tcW w:w="5796" w:type="dxa"/>
          </w:tcPr>
          <w:p w14:paraId="2933A8C4" w14:textId="77777777" w:rsidR="00FE43AA" w:rsidRPr="00290754" w:rsidRDefault="00FE43AA" w:rsidP="00FE43AA">
            <w:pPr>
              <w:rPr>
                <w:rFonts w:ascii="Arial" w:hAnsi="Arial" w:cs="Arial"/>
                <w:sz w:val="22"/>
                <w:szCs w:val="22"/>
              </w:rPr>
            </w:pPr>
            <w:r w:rsidRPr="00262A6B">
              <w:rPr>
                <w:rFonts w:ascii="Arial" w:hAnsi="Arial" w:cs="Arial"/>
                <w:sz w:val="22"/>
                <w:szCs w:val="22"/>
              </w:rPr>
              <w:t>Jerry Greger</w:t>
            </w:r>
            <w:r>
              <w:rPr>
                <w:rFonts w:ascii="Arial" w:hAnsi="Arial" w:cs="Arial"/>
                <w:sz w:val="22"/>
                <w:szCs w:val="22"/>
              </w:rPr>
              <w:t xml:space="preserve">, </w:t>
            </w:r>
            <w:r w:rsidRPr="00262A6B">
              <w:rPr>
                <w:rFonts w:ascii="Arial" w:hAnsi="Arial" w:cs="Arial"/>
                <w:sz w:val="22"/>
                <w:szCs w:val="22"/>
              </w:rPr>
              <w:t>Plant Manager</w:t>
            </w:r>
          </w:p>
          <w:p w14:paraId="52F6860C" w14:textId="3DDE21DF" w:rsidR="00FE43AA" w:rsidRDefault="00FE43AA" w:rsidP="00FE43AA">
            <w:pPr>
              <w:rPr>
                <w:rFonts w:ascii="Arial" w:hAnsi="Arial"/>
                <w:sz w:val="22"/>
              </w:rPr>
            </w:pPr>
            <w:r w:rsidRPr="00262A6B">
              <w:rPr>
                <w:rFonts w:ascii="Arial" w:hAnsi="Arial" w:cs="Arial"/>
                <w:sz w:val="22"/>
                <w:szCs w:val="22"/>
              </w:rPr>
              <w:t>989-734-3444</w:t>
            </w:r>
          </w:p>
        </w:tc>
      </w:tr>
      <w:tr w:rsidR="00FE43AA" w14:paraId="7AC23F93" w14:textId="77777777" w:rsidTr="00FE43AA">
        <w:tc>
          <w:tcPr>
            <w:tcW w:w="4464" w:type="dxa"/>
          </w:tcPr>
          <w:p w14:paraId="39238A3D" w14:textId="0B23AB00" w:rsidR="00FE43AA" w:rsidRDefault="00FE43AA" w:rsidP="00FE43AA">
            <w:pPr>
              <w:rPr>
                <w:rFonts w:ascii="Arial" w:hAnsi="Arial"/>
                <w:sz w:val="22"/>
              </w:rPr>
            </w:pPr>
            <w:r w:rsidRPr="00290754">
              <w:rPr>
                <w:rFonts w:ascii="Arial" w:hAnsi="Arial" w:cs="Arial"/>
                <w:sz w:val="22"/>
                <w:szCs w:val="22"/>
              </w:rPr>
              <w:t>AQD Contact</w:t>
            </w:r>
            <w:r>
              <w:rPr>
                <w:rFonts w:ascii="Arial" w:hAnsi="Arial" w:cs="Arial"/>
                <w:sz w:val="22"/>
                <w:szCs w:val="22"/>
              </w:rPr>
              <w:t>: District Inspector:</w:t>
            </w:r>
          </w:p>
        </w:tc>
        <w:tc>
          <w:tcPr>
            <w:tcW w:w="5796" w:type="dxa"/>
          </w:tcPr>
          <w:p w14:paraId="7874DC2C" w14:textId="77777777" w:rsidR="00FE43AA" w:rsidRPr="00EF4F3C" w:rsidRDefault="00FE43AA" w:rsidP="00FE43AA">
            <w:pPr>
              <w:rPr>
                <w:rFonts w:ascii="Arial" w:hAnsi="Arial" w:cs="Arial"/>
                <w:sz w:val="22"/>
                <w:szCs w:val="22"/>
              </w:rPr>
            </w:pPr>
            <w:r w:rsidRPr="00EF4F3C">
              <w:rPr>
                <w:rFonts w:ascii="Arial" w:hAnsi="Arial" w:cs="Arial"/>
                <w:sz w:val="22"/>
                <w:szCs w:val="22"/>
              </w:rPr>
              <w:t>Michelle Luplow, Environmental Quality Analyst</w:t>
            </w:r>
          </w:p>
          <w:p w14:paraId="418DDF74" w14:textId="362F872F" w:rsidR="00FE43AA" w:rsidRDefault="00FE43AA" w:rsidP="00FE43AA">
            <w:pPr>
              <w:rPr>
                <w:rFonts w:ascii="Arial" w:hAnsi="Arial"/>
                <w:sz w:val="22"/>
              </w:rPr>
            </w:pPr>
            <w:r w:rsidRPr="00EF4F3C">
              <w:rPr>
                <w:rFonts w:ascii="Arial" w:hAnsi="Arial" w:cs="Arial"/>
                <w:sz w:val="22"/>
                <w:szCs w:val="22"/>
              </w:rPr>
              <w:t>517-294-9294</w:t>
            </w:r>
          </w:p>
        </w:tc>
      </w:tr>
      <w:tr w:rsidR="00FE43AA" w14:paraId="30AE2AE1" w14:textId="77777777" w:rsidTr="00FE43AA">
        <w:tc>
          <w:tcPr>
            <w:tcW w:w="4464" w:type="dxa"/>
          </w:tcPr>
          <w:p w14:paraId="771EA6D7" w14:textId="5861F203" w:rsidR="00FE43AA" w:rsidRDefault="00FE43AA" w:rsidP="00FE43AA">
            <w:pPr>
              <w:rPr>
                <w:rFonts w:ascii="Arial" w:hAnsi="Arial"/>
                <w:sz w:val="22"/>
              </w:rPr>
            </w:pPr>
            <w:r>
              <w:rPr>
                <w:rFonts w:ascii="Arial" w:hAnsi="Arial" w:cs="Arial"/>
                <w:sz w:val="22"/>
                <w:szCs w:val="22"/>
              </w:rPr>
              <w:t>AQD Contact: ROP Writer:</w:t>
            </w:r>
          </w:p>
        </w:tc>
        <w:tc>
          <w:tcPr>
            <w:tcW w:w="5796" w:type="dxa"/>
          </w:tcPr>
          <w:p w14:paraId="408E320F" w14:textId="77777777" w:rsidR="00FE43AA" w:rsidRPr="00EF4F3C" w:rsidRDefault="00FE43AA" w:rsidP="00FE43AA">
            <w:pPr>
              <w:rPr>
                <w:rFonts w:ascii="Arial" w:hAnsi="Arial" w:cs="Arial"/>
                <w:sz w:val="22"/>
                <w:szCs w:val="22"/>
              </w:rPr>
            </w:pPr>
            <w:r w:rsidRPr="00EF4F3C">
              <w:rPr>
                <w:rFonts w:ascii="Arial" w:hAnsi="Arial" w:cs="Arial"/>
                <w:sz w:val="22"/>
                <w:szCs w:val="22"/>
              </w:rPr>
              <w:t>Matt Karl, Environmental Quality Analyst</w:t>
            </w:r>
          </w:p>
          <w:p w14:paraId="6DF37A77" w14:textId="2A23428A" w:rsidR="00FE43AA" w:rsidRDefault="00FE43AA" w:rsidP="00FE43AA">
            <w:pPr>
              <w:rPr>
                <w:rFonts w:ascii="Arial" w:hAnsi="Arial" w:cs="Arial"/>
                <w:sz w:val="22"/>
                <w:szCs w:val="22"/>
              </w:rPr>
            </w:pPr>
            <w:r w:rsidRPr="00EF4F3C">
              <w:rPr>
                <w:rFonts w:ascii="Arial" w:hAnsi="Arial" w:cs="Arial"/>
                <w:sz w:val="22"/>
                <w:szCs w:val="22"/>
              </w:rPr>
              <w:t>517-282-2126</w:t>
            </w:r>
          </w:p>
        </w:tc>
      </w:tr>
    </w:tbl>
    <w:p w14:paraId="090DF3D3" w14:textId="77777777" w:rsidR="00AB4929" w:rsidRDefault="00AB4929">
      <w:pPr>
        <w:jc w:val="both"/>
        <w:rPr>
          <w:rFonts w:ascii="Arial" w:hAnsi="Arial"/>
          <w:sz w:val="22"/>
        </w:rPr>
      </w:pPr>
    </w:p>
    <w:p w14:paraId="774F9E38" w14:textId="77777777" w:rsidR="00AB4929" w:rsidRDefault="00AB4929">
      <w:pPr>
        <w:rPr>
          <w:rFonts w:ascii="Arial" w:hAnsi="Arial"/>
          <w:b/>
          <w:sz w:val="22"/>
          <w:u w:val="single"/>
        </w:rPr>
      </w:pPr>
      <w:bookmarkStart w:id="21" w:name="_Toc482691123"/>
      <w:r>
        <w:rPr>
          <w:rFonts w:ascii="Arial" w:hAnsi="Arial"/>
          <w:b/>
          <w:sz w:val="22"/>
          <w:u w:val="single"/>
        </w:rPr>
        <w:t>Summary of Pertinent Comments</w:t>
      </w:r>
      <w:bookmarkEnd w:id="21"/>
    </w:p>
    <w:p w14:paraId="4475CFDE" w14:textId="77777777" w:rsidR="00AB4929" w:rsidRDefault="00AB4929">
      <w:pPr>
        <w:rPr>
          <w:rFonts w:ascii="Arial" w:hAnsi="Arial"/>
          <w:b/>
          <w:sz w:val="22"/>
          <w:u w:val="single"/>
        </w:rPr>
      </w:pPr>
    </w:p>
    <w:p w14:paraId="76B4457F" w14:textId="57B3944D" w:rsidR="00AB4929" w:rsidRDefault="004D618F" w:rsidP="00B41916">
      <w:pPr>
        <w:jc w:val="both"/>
        <w:outlineLvl w:val="0"/>
        <w:rPr>
          <w:rFonts w:ascii="Arial" w:hAnsi="Arial"/>
          <w:sz w:val="22"/>
        </w:rPr>
      </w:pPr>
      <w:r>
        <w:rPr>
          <w:rFonts w:ascii="Arial" w:hAnsi="Arial"/>
          <w:sz w:val="22"/>
        </w:rPr>
        <w:t>The following comments</w:t>
      </w:r>
      <w:r w:rsidR="00AB4929">
        <w:rPr>
          <w:rFonts w:ascii="Arial" w:hAnsi="Arial"/>
          <w:sz w:val="22"/>
        </w:rPr>
        <w:t xml:space="preserve"> were received during the </w:t>
      </w:r>
      <w:r w:rsidRPr="004D618F">
        <w:rPr>
          <w:rFonts w:ascii="Arial" w:hAnsi="Arial"/>
          <w:sz w:val="22"/>
        </w:rPr>
        <w:t>30-day public</w:t>
      </w:r>
      <w:r w:rsidR="00AB4929">
        <w:rPr>
          <w:rFonts w:ascii="Arial" w:hAnsi="Arial"/>
          <w:sz w:val="22"/>
        </w:rPr>
        <w:t xml:space="preserve"> comment period</w:t>
      </w:r>
      <w:r>
        <w:rPr>
          <w:rFonts w:ascii="Arial" w:hAnsi="Arial"/>
          <w:sz w:val="22"/>
        </w:rPr>
        <w:t xml:space="preserve"> from USEPA Region 5 staff:</w:t>
      </w:r>
    </w:p>
    <w:p w14:paraId="66BE7E68" w14:textId="5337A591" w:rsidR="004D618F" w:rsidRDefault="004D618F" w:rsidP="00B41916">
      <w:pPr>
        <w:jc w:val="both"/>
        <w:outlineLvl w:val="0"/>
        <w:rPr>
          <w:rFonts w:ascii="Arial" w:hAnsi="Arial"/>
          <w:sz w:val="22"/>
        </w:rPr>
      </w:pPr>
    </w:p>
    <w:p w14:paraId="3B52260A" w14:textId="77777777" w:rsidR="00897F90" w:rsidRPr="00897F90" w:rsidRDefault="00897F90" w:rsidP="00B41916">
      <w:pPr>
        <w:jc w:val="both"/>
        <w:outlineLvl w:val="0"/>
        <w:rPr>
          <w:rFonts w:ascii="Arial" w:hAnsi="Arial"/>
          <w:sz w:val="22"/>
          <w:u w:val="single"/>
        </w:rPr>
      </w:pPr>
      <w:r w:rsidRPr="00897F90">
        <w:rPr>
          <w:rFonts w:ascii="Arial" w:hAnsi="Arial"/>
          <w:sz w:val="22"/>
          <w:u w:val="single"/>
        </w:rPr>
        <w:t>US</w:t>
      </w:r>
      <w:r w:rsidR="00B41916" w:rsidRPr="00897F90">
        <w:rPr>
          <w:rFonts w:ascii="Arial" w:hAnsi="Arial"/>
          <w:sz w:val="22"/>
          <w:u w:val="single"/>
        </w:rPr>
        <w:t xml:space="preserve">EPA </w:t>
      </w:r>
      <w:r w:rsidR="004D618F" w:rsidRPr="00897F90">
        <w:rPr>
          <w:rFonts w:ascii="Arial" w:hAnsi="Arial"/>
          <w:sz w:val="22"/>
          <w:u w:val="single"/>
        </w:rPr>
        <w:t>Comment</w:t>
      </w:r>
      <w:r w:rsidR="00255CD6" w:rsidRPr="00897F90">
        <w:rPr>
          <w:rFonts w:ascii="Arial" w:hAnsi="Arial"/>
          <w:sz w:val="22"/>
          <w:u w:val="single"/>
        </w:rPr>
        <w:t xml:space="preserve"> 1</w:t>
      </w:r>
    </w:p>
    <w:p w14:paraId="341E532D" w14:textId="598A2FB6" w:rsidR="00B41916" w:rsidRDefault="00B41916" w:rsidP="00B41916">
      <w:pPr>
        <w:jc w:val="both"/>
        <w:outlineLvl w:val="0"/>
        <w:rPr>
          <w:rFonts w:ascii="Arial" w:hAnsi="Arial"/>
          <w:sz w:val="22"/>
        </w:rPr>
      </w:pPr>
    </w:p>
    <w:p w14:paraId="7903F63E" w14:textId="795BF42E" w:rsidR="004D618F" w:rsidRDefault="004D618F" w:rsidP="00B41916">
      <w:pPr>
        <w:jc w:val="both"/>
        <w:outlineLvl w:val="0"/>
        <w:rPr>
          <w:rFonts w:ascii="Arial" w:hAnsi="Arial"/>
          <w:sz w:val="22"/>
        </w:rPr>
      </w:pPr>
      <w:r w:rsidRPr="004D618F">
        <w:rPr>
          <w:rFonts w:ascii="Arial" w:hAnsi="Arial"/>
          <w:sz w:val="22"/>
        </w:rPr>
        <w:t>In Section 6 (Monitoring/Recordkeeping) of EUCRUSHING, EUTRUCKTRAFFIC, EUSTORAGE, and EUPUG-90, it states that Method 22 visible emission observations will be conducted monthly and Method 9 observations will be conducted if any visible emissions are observed during the Method 22 observation. However, it is not clear what corrective actions will be conducted if visible emission</w:t>
      </w:r>
      <w:r w:rsidR="008407D1">
        <w:rPr>
          <w:rFonts w:ascii="Arial" w:hAnsi="Arial"/>
          <w:sz w:val="22"/>
        </w:rPr>
        <w:t>s</w:t>
      </w:r>
      <w:r w:rsidRPr="004D618F">
        <w:rPr>
          <w:rFonts w:ascii="Arial" w:hAnsi="Arial"/>
          <w:sz w:val="22"/>
        </w:rPr>
        <w:t xml:space="preserve"> are observed during the Method 9 observation. </w:t>
      </w:r>
      <w:r w:rsidR="00B41916">
        <w:rPr>
          <w:rFonts w:ascii="Arial" w:hAnsi="Arial"/>
          <w:sz w:val="22"/>
        </w:rPr>
        <w:t xml:space="preserve"> </w:t>
      </w:r>
      <w:r w:rsidRPr="004D618F">
        <w:rPr>
          <w:rFonts w:ascii="Arial" w:hAnsi="Arial"/>
          <w:sz w:val="22"/>
        </w:rPr>
        <w:t>Please describe within the permit conditions or the off-permit plan (Abatement and Equipment Monitoring Program/Preventative Maintenance Program) what corrective actions must be taken after visible emissions are recorded with the Method 9 observation in order to ensure compliance with the opacity limits established in the permit.</w:t>
      </w:r>
    </w:p>
    <w:p w14:paraId="7CDB0EC5" w14:textId="5CB639C2" w:rsidR="00AB4929" w:rsidRDefault="00AB4929" w:rsidP="00B41916">
      <w:pPr>
        <w:jc w:val="both"/>
        <w:rPr>
          <w:rFonts w:ascii="Arial" w:hAnsi="Arial"/>
          <w:sz w:val="22"/>
        </w:rPr>
      </w:pPr>
    </w:p>
    <w:p w14:paraId="6CCE92AB" w14:textId="42B34E37" w:rsidR="00897F90" w:rsidRPr="00897F90" w:rsidRDefault="00897F90" w:rsidP="00897F90">
      <w:pPr>
        <w:jc w:val="both"/>
        <w:rPr>
          <w:rFonts w:ascii="Arial" w:hAnsi="Arial" w:cs="Arial"/>
          <w:sz w:val="22"/>
          <w:szCs w:val="22"/>
          <w:u w:val="single"/>
        </w:rPr>
      </w:pPr>
      <w:r w:rsidRPr="00897F90">
        <w:rPr>
          <w:rFonts w:ascii="Arial" w:hAnsi="Arial" w:cs="Arial"/>
          <w:sz w:val="22"/>
          <w:szCs w:val="22"/>
          <w:u w:val="single"/>
        </w:rPr>
        <w:t xml:space="preserve">AQD Response </w:t>
      </w:r>
    </w:p>
    <w:p w14:paraId="12631DE6" w14:textId="77777777" w:rsidR="00897F90" w:rsidRDefault="00897F90" w:rsidP="00897F90">
      <w:pPr>
        <w:jc w:val="both"/>
        <w:rPr>
          <w:rFonts w:ascii="Arial" w:hAnsi="Arial" w:cs="Arial"/>
          <w:sz w:val="22"/>
          <w:szCs w:val="22"/>
        </w:rPr>
      </w:pPr>
    </w:p>
    <w:p w14:paraId="2CEF3911" w14:textId="49AC4527" w:rsidR="00897F90" w:rsidRPr="00B924CC" w:rsidRDefault="00897F90" w:rsidP="00897F90">
      <w:pPr>
        <w:jc w:val="both"/>
        <w:rPr>
          <w:rFonts w:ascii="Arial" w:hAnsi="Arial" w:cs="Arial"/>
          <w:sz w:val="22"/>
          <w:szCs w:val="22"/>
        </w:rPr>
      </w:pPr>
      <w:r w:rsidRPr="00B924CC">
        <w:rPr>
          <w:rFonts w:ascii="Arial" w:hAnsi="Arial" w:cs="Arial"/>
          <w:sz w:val="22"/>
          <w:szCs w:val="22"/>
        </w:rPr>
        <w:t xml:space="preserve">Updated </w:t>
      </w:r>
      <w:r>
        <w:rPr>
          <w:rFonts w:ascii="Arial" w:hAnsi="Arial" w:cs="Arial"/>
          <w:sz w:val="22"/>
          <w:szCs w:val="22"/>
        </w:rPr>
        <w:t xml:space="preserve">the </w:t>
      </w:r>
      <w:r w:rsidRPr="00B924CC">
        <w:rPr>
          <w:rFonts w:ascii="Arial" w:hAnsi="Arial" w:cs="Arial"/>
          <w:sz w:val="22"/>
          <w:szCs w:val="22"/>
        </w:rPr>
        <w:t xml:space="preserve">Appendix 10 Fugitive Dust Plan to include specific emission unit/flexible group </w:t>
      </w:r>
      <w:r>
        <w:rPr>
          <w:rFonts w:ascii="Arial" w:hAnsi="Arial" w:cs="Arial"/>
          <w:sz w:val="22"/>
          <w:szCs w:val="22"/>
        </w:rPr>
        <w:t>identification.</w:t>
      </w:r>
      <w:r w:rsidRPr="00B924CC">
        <w:rPr>
          <w:rFonts w:ascii="Arial" w:hAnsi="Arial" w:cs="Arial"/>
          <w:sz w:val="22"/>
          <w:szCs w:val="22"/>
        </w:rPr>
        <w:t xml:space="preserve"> </w:t>
      </w:r>
      <w:r>
        <w:rPr>
          <w:rFonts w:ascii="Arial" w:hAnsi="Arial" w:cs="Arial"/>
          <w:sz w:val="22"/>
          <w:szCs w:val="22"/>
        </w:rPr>
        <w:t>A</w:t>
      </w:r>
      <w:r w:rsidRPr="00B924CC">
        <w:rPr>
          <w:rFonts w:ascii="Arial" w:hAnsi="Arial" w:cs="Arial"/>
          <w:sz w:val="22"/>
          <w:szCs w:val="22"/>
        </w:rPr>
        <w:t xml:space="preserve">dded “See Appendix 10” in emission unit/flexible groups </w:t>
      </w:r>
      <w:r>
        <w:rPr>
          <w:rFonts w:ascii="Arial" w:hAnsi="Arial" w:cs="Arial"/>
          <w:sz w:val="22"/>
          <w:szCs w:val="22"/>
        </w:rPr>
        <w:t xml:space="preserve">with conditions to observe the opacity of visible emissions </w:t>
      </w:r>
      <w:r w:rsidRPr="00B924CC">
        <w:rPr>
          <w:rFonts w:ascii="Arial" w:hAnsi="Arial" w:cs="Arial"/>
          <w:sz w:val="22"/>
          <w:szCs w:val="22"/>
        </w:rPr>
        <w:t>to better tie together the corrective actions that should be taken if excess</w:t>
      </w:r>
      <w:r>
        <w:rPr>
          <w:rFonts w:ascii="Arial" w:hAnsi="Arial" w:cs="Arial"/>
          <w:sz w:val="22"/>
          <w:szCs w:val="22"/>
        </w:rPr>
        <w:t>ive</w:t>
      </w:r>
      <w:r w:rsidRPr="00B924CC">
        <w:rPr>
          <w:rFonts w:ascii="Arial" w:hAnsi="Arial" w:cs="Arial"/>
          <w:sz w:val="22"/>
          <w:szCs w:val="22"/>
        </w:rPr>
        <w:t xml:space="preserve"> opacity visible emissions are observed. </w:t>
      </w:r>
      <w:r w:rsidR="008407D1">
        <w:rPr>
          <w:rFonts w:ascii="Arial" w:hAnsi="Arial" w:cs="Arial"/>
          <w:sz w:val="22"/>
          <w:szCs w:val="22"/>
        </w:rPr>
        <w:t xml:space="preserve"> </w:t>
      </w:r>
      <w:r>
        <w:rPr>
          <w:rFonts w:ascii="Arial" w:hAnsi="Arial" w:cs="Arial"/>
          <w:sz w:val="22"/>
          <w:szCs w:val="22"/>
        </w:rPr>
        <w:t xml:space="preserve">The company confirmed </w:t>
      </w:r>
      <w:r w:rsidRPr="00B924CC">
        <w:rPr>
          <w:rFonts w:ascii="Arial" w:hAnsi="Arial" w:cs="Arial"/>
          <w:sz w:val="22"/>
          <w:szCs w:val="22"/>
        </w:rPr>
        <w:t>the</w:t>
      </w:r>
      <w:r>
        <w:rPr>
          <w:rFonts w:ascii="Arial" w:hAnsi="Arial" w:cs="Arial"/>
          <w:sz w:val="22"/>
          <w:szCs w:val="22"/>
        </w:rPr>
        <w:t>se</w:t>
      </w:r>
      <w:r w:rsidRPr="00B924CC">
        <w:rPr>
          <w:rFonts w:ascii="Arial" w:hAnsi="Arial" w:cs="Arial"/>
          <w:sz w:val="22"/>
          <w:szCs w:val="22"/>
        </w:rPr>
        <w:t xml:space="preserve"> proposed changes to </w:t>
      </w:r>
      <w:r>
        <w:rPr>
          <w:rFonts w:ascii="Arial" w:hAnsi="Arial" w:cs="Arial"/>
          <w:sz w:val="22"/>
          <w:szCs w:val="22"/>
        </w:rPr>
        <w:t xml:space="preserve">the </w:t>
      </w:r>
      <w:r w:rsidRPr="00B924CC">
        <w:rPr>
          <w:rFonts w:ascii="Arial" w:hAnsi="Arial" w:cs="Arial"/>
          <w:sz w:val="22"/>
          <w:szCs w:val="22"/>
        </w:rPr>
        <w:t xml:space="preserve">Appendix 10 </w:t>
      </w:r>
      <w:r>
        <w:rPr>
          <w:rFonts w:ascii="Arial" w:hAnsi="Arial" w:cs="Arial"/>
          <w:sz w:val="22"/>
          <w:szCs w:val="22"/>
        </w:rPr>
        <w:t xml:space="preserve">Fugitive Dust Plan </w:t>
      </w:r>
      <w:r w:rsidRPr="00B924CC">
        <w:rPr>
          <w:rFonts w:ascii="Arial" w:hAnsi="Arial" w:cs="Arial"/>
          <w:sz w:val="22"/>
          <w:szCs w:val="22"/>
        </w:rPr>
        <w:t xml:space="preserve">were acceptable. </w:t>
      </w:r>
      <w:r w:rsidR="008407D1">
        <w:rPr>
          <w:rFonts w:ascii="Arial" w:hAnsi="Arial" w:cs="Arial"/>
          <w:sz w:val="22"/>
          <w:szCs w:val="22"/>
        </w:rPr>
        <w:t xml:space="preserve"> </w:t>
      </w:r>
      <w:r>
        <w:rPr>
          <w:rFonts w:ascii="Arial" w:hAnsi="Arial" w:cs="Arial"/>
          <w:sz w:val="22"/>
          <w:szCs w:val="22"/>
        </w:rPr>
        <w:t>Revised EUCRUSHING, SC VI.1, EUTRUCKTRAFFIC, SC VI.1, EUSTORAGE</w:t>
      </w:r>
      <w:r w:rsidR="008407D1">
        <w:rPr>
          <w:rFonts w:ascii="Arial" w:hAnsi="Arial" w:cs="Arial"/>
          <w:sz w:val="22"/>
          <w:szCs w:val="22"/>
        </w:rPr>
        <w:t>,</w:t>
      </w:r>
      <w:r>
        <w:rPr>
          <w:rFonts w:ascii="Arial" w:hAnsi="Arial" w:cs="Arial"/>
          <w:sz w:val="22"/>
          <w:szCs w:val="22"/>
        </w:rPr>
        <w:t xml:space="preserve"> SC VI.1, and EUPUG-90</w:t>
      </w:r>
      <w:r w:rsidR="008407D1">
        <w:rPr>
          <w:rFonts w:ascii="Arial" w:hAnsi="Arial" w:cs="Arial"/>
          <w:sz w:val="22"/>
          <w:szCs w:val="22"/>
        </w:rPr>
        <w:t>,</w:t>
      </w:r>
      <w:r>
        <w:rPr>
          <w:rFonts w:ascii="Arial" w:hAnsi="Arial" w:cs="Arial"/>
          <w:sz w:val="22"/>
          <w:szCs w:val="22"/>
        </w:rPr>
        <w:t xml:space="preserve"> SC VI.2 to specify corrective actions if observed opacities exceed opacity limits. </w:t>
      </w:r>
      <w:r w:rsidR="008407D1">
        <w:rPr>
          <w:rFonts w:ascii="Arial" w:hAnsi="Arial" w:cs="Arial"/>
          <w:sz w:val="22"/>
          <w:szCs w:val="22"/>
        </w:rPr>
        <w:t xml:space="preserve"> </w:t>
      </w:r>
    </w:p>
    <w:p w14:paraId="55D2BF10" w14:textId="05D24C57" w:rsidR="00DC3084" w:rsidRDefault="00DC3084">
      <w:pPr>
        <w:rPr>
          <w:rFonts w:ascii="Arial" w:hAnsi="Arial"/>
          <w:sz w:val="22"/>
        </w:rPr>
      </w:pPr>
      <w:r>
        <w:rPr>
          <w:rFonts w:ascii="Arial" w:hAnsi="Arial"/>
          <w:sz w:val="22"/>
        </w:rPr>
        <w:br w:type="page"/>
      </w:r>
    </w:p>
    <w:p w14:paraId="6FC7600C" w14:textId="77777777" w:rsidR="00897F90" w:rsidRDefault="00897F90" w:rsidP="00B41916">
      <w:pPr>
        <w:jc w:val="both"/>
        <w:rPr>
          <w:rFonts w:ascii="Arial" w:hAnsi="Arial"/>
          <w:sz w:val="22"/>
        </w:rPr>
      </w:pPr>
    </w:p>
    <w:p w14:paraId="78C756CF" w14:textId="1DBE0D08" w:rsidR="00B41916" w:rsidRDefault="00B41916" w:rsidP="00B41916">
      <w:pPr>
        <w:jc w:val="both"/>
        <w:rPr>
          <w:rFonts w:ascii="Arial" w:hAnsi="Arial"/>
          <w:sz w:val="22"/>
        </w:rPr>
      </w:pPr>
      <w:r w:rsidRPr="00DC3084">
        <w:rPr>
          <w:rFonts w:ascii="Arial" w:hAnsi="Arial"/>
          <w:sz w:val="22"/>
          <w:u w:val="single"/>
        </w:rPr>
        <w:t xml:space="preserve">EPA </w:t>
      </w:r>
      <w:r w:rsidR="004D618F" w:rsidRPr="00DC3084">
        <w:rPr>
          <w:rFonts w:ascii="Arial" w:hAnsi="Arial"/>
          <w:sz w:val="22"/>
          <w:u w:val="single"/>
        </w:rPr>
        <w:t>Comment</w:t>
      </w:r>
      <w:r w:rsidR="00255CD6" w:rsidRPr="00DC3084">
        <w:rPr>
          <w:rFonts w:ascii="Arial" w:hAnsi="Arial"/>
          <w:sz w:val="22"/>
          <w:u w:val="single"/>
        </w:rPr>
        <w:t xml:space="preserve"> 2</w:t>
      </w:r>
    </w:p>
    <w:p w14:paraId="5F78BD9A" w14:textId="77777777" w:rsidR="00DC3084" w:rsidRDefault="00DC3084" w:rsidP="00B41916">
      <w:pPr>
        <w:jc w:val="both"/>
        <w:rPr>
          <w:rFonts w:ascii="Arial" w:hAnsi="Arial"/>
          <w:sz w:val="22"/>
        </w:rPr>
      </w:pPr>
    </w:p>
    <w:p w14:paraId="716F8977" w14:textId="12D8F2B9" w:rsidR="004D618F" w:rsidRDefault="004D618F" w:rsidP="00B41916">
      <w:pPr>
        <w:jc w:val="both"/>
        <w:rPr>
          <w:rFonts w:ascii="Arial" w:hAnsi="Arial"/>
          <w:sz w:val="22"/>
        </w:rPr>
      </w:pPr>
      <w:r w:rsidRPr="004D618F">
        <w:rPr>
          <w:rFonts w:ascii="Arial" w:hAnsi="Arial"/>
          <w:sz w:val="22"/>
        </w:rPr>
        <w:t>Condition III</w:t>
      </w:r>
      <w:r w:rsidR="0038775E">
        <w:rPr>
          <w:rFonts w:ascii="Arial" w:hAnsi="Arial"/>
          <w:sz w:val="22"/>
        </w:rPr>
        <w:t xml:space="preserve"> </w:t>
      </w:r>
      <w:r w:rsidRPr="004D618F">
        <w:rPr>
          <w:rFonts w:ascii="Arial" w:hAnsi="Arial"/>
          <w:sz w:val="22"/>
        </w:rPr>
        <w:t xml:space="preserve">(1) of EUPUG-90 states that the emission unit shall not operate unless the associated baghouse collector is installed and operating properly. </w:t>
      </w:r>
      <w:r w:rsidR="00B41916">
        <w:rPr>
          <w:rFonts w:ascii="Arial" w:hAnsi="Arial"/>
          <w:sz w:val="22"/>
        </w:rPr>
        <w:t xml:space="preserve"> </w:t>
      </w:r>
      <w:r w:rsidRPr="004D618F">
        <w:rPr>
          <w:rFonts w:ascii="Arial" w:hAnsi="Arial"/>
          <w:sz w:val="22"/>
        </w:rPr>
        <w:t xml:space="preserve">However, there is no operating ranges established within the permit or supporting documentation. </w:t>
      </w:r>
      <w:r w:rsidR="00B41916">
        <w:rPr>
          <w:rFonts w:ascii="Arial" w:hAnsi="Arial"/>
          <w:sz w:val="22"/>
        </w:rPr>
        <w:t xml:space="preserve"> </w:t>
      </w:r>
      <w:r w:rsidRPr="004D618F">
        <w:rPr>
          <w:rFonts w:ascii="Arial" w:hAnsi="Arial"/>
          <w:sz w:val="22"/>
        </w:rPr>
        <w:t>Please indicate the operating ranges (temperature and pressure drop) for this baghouse within the permit conditions or the off-permit plan (Abatement and Equipment Monitoring Program/Preventative Maintenance Program) in order to ensure practical enforceability of the PM limit established in the permit and continued integrity of the baghouse.</w:t>
      </w:r>
    </w:p>
    <w:p w14:paraId="4922273A" w14:textId="2AE3217B" w:rsidR="004D618F" w:rsidRDefault="004D618F" w:rsidP="00B41916">
      <w:pPr>
        <w:ind w:left="1080" w:hanging="1080"/>
        <w:jc w:val="both"/>
        <w:rPr>
          <w:rFonts w:ascii="Arial" w:hAnsi="Arial"/>
          <w:sz w:val="22"/>
        </w:rPr>
      </w:pPr>
    </w:p>
    <w:p w14:paraId="3C2466BE" w14:textId="2712170D" w:rsidR="00DC3084" w:rsidRDefault="00DC3084" w:rsidP="00DC3084">
      <w:pPr>
        <w:jc w:val="both"/>
        <w:rPr>
          <w:rFonts w:ascii="Arial" w:hAnsi="Arial"/>
          <w:sz w:val="22"/>
        </w:rPr>
      </w:pPr>
      <w:r w:rsidRPr="00DC3084">
        <w:rPr>
          <w:rFonts w:ascii="Arial" w:hAnsi="Arial"/>
          <w:sz w:val="22"/>
          <w:u w:val="single"/>
        </w:rPr>
        <w:t>AQD Response</w:t>
      </w:r>
    </w:p>
    <w:p w14:paraId="66ABD869" w14:textId="77777777" w:rsidR="00DC3084" w:rsidRDefault="00DC3084" w:rsidP="00DC3084">
      <w:pPr>
        <w:jc w:val="both"/>
        <w:rPr>
          <w:rFonts w:ascii="Arial" w:hAnsi="Arial"/>
          <w:sz w:val="22"/>
        </w:rPr>
      </w:pPr>
    </w:p>
    <w:p w14:paraId="6DBA9524" w14:textId="5546F6F4" w:rsidR="00DC3084" w:rsidRDefault="00DC3084" w:rsidP="00DC3084">
      <w:pPr>
        <w:jc w:val="both"/>
        <w:rPr>
          <w:rFonts w:ascii="Arial" w:hAnsi="Arial"/>
          <w:sz w:val="22"/>
        </w:rPr>
      </w:pPr>
      <w:r>
        <w:rPr>
          <w:rFonts w:ascii="Arial" w:hAnsi="Arial"/>
          <w:sz w:val="22"/>
        </w:rPr>
        <w:t xml:space="preserve">The company informed AQD staff that the EUPUG-90 baghouse control device does not have a pressure drop gauge. </w:t>
      </w:r>
      <w:r w:rsidR="008407D1">
        <w:rPr>
          <w:rFonts w:ascii="Arial" w:hAnsi="Arial"/>
          <w:sz w:val="22"/>
        </w:rPr>
        <w:t xml:space="preserve"> </w:t>
      </w:r>
      <w:r>
        <w:rPr>
          <w:rFonts w:ascii="Arial" w:hAnsi="Arial"/>
          <w:sz w:val="22"/>
        </w:rPr>
        <w:t>Company staff perform visible emissions observations and conduct inspections to confirm the baghouse control is working properly.</w:t>
      </w:r>
      <w:r w:rsidR="008407D1">
        <w:rPr>
          <w:rFonts w:ascii="Arial" w:hAnsi="Arial"/>
          <w:sz w:val="22"/>
        </w:rPr>
        <w:t xml:space="preserve"> </w:t>
      </w:r>
      <w:r>
        <w:rPr>
          <w:rFonts w:ascii="Arial" w:hAnsi="Arial"/>
          <w:sz w:val="22"/>
        </w:rPr>
        <w:t xml:space="preserve"> In the company’s Preventative Maintenance Plan (PMP) under “Baghouse Collector-90 Pug Mill Semi-Annual Maintenance Check/Repairs” lists equipment, items to be inspected, the date of the inspection, </w:t>
      </w:r>
      <w:r w:rsidRPr="000B5FA0">
        <w:rPr>
          <w:rFonts w:ascii="Arial" w:hAnsi="Arial"/>
          <w:sz w:val="22"/>
        </w:rPr>
        <w:t>comments on the condition and repairs made and operator’s initials.</w:t>
      </w:r>
      <w:r w:rsidR="008407D1">
        <w:rPr>
          <w:rFonts w:ascii="Arial" w:hAnsi="Arial"/>
          <w:sz w:val="22"/>
        </w:rPr>
        <w:t xml:space="preserve"> </w:t>
      </w:r>
      <w:r w:rsidRPr="000B5FA0">
        <w:rPr>
          <w:rFonts w:ascii="Arial" w:hAnsi="Arial"/>
          <w:sz w:val="22"/>
        </w:rPr>
        <w:t xml:space="preserve"> For the baghouse, items to be inspected include condition of the bags, condition of the hangers, the side wall integrity, and the condition of the ductwork.</w:t>
      </w:r>
      <w:r w:rsidR="008407D1">
        <w:rPr>
          <w:rFonts w:ascii="Arial" w:hAnsi="Arial"/>
          <w:sz w:val="22"/>
        </w:rPr>
        <w:t xml:space="preserve"> </w:t>
      </w:r>
      <w:r>
        <w:rPr>
          <w:rFonts w:ascii="Arial" w:hAnsi="Arial"/>
          <w:sz w:val="22"/>
        </w:rPr>
        <w:t xml:space="preserve"> Added EUPUG-90</w:t>
      </w:r>
      <w:r w:rsidR="008407D1">
        <w:rPr>
          <w:rFonts w:ascii="Arial" w:hAnsi="Arial"/>
          <w:sz w:val="22"/>
        </w:rPr>
        <w:t>,</w:t>
      </w:r>
      <w:r>
        <w:rPr>
          <w:rFonts w:ascii="Arial" w:hAnsi="Arial"/>
          <w:sz w:val="22"/>
        </w:rPr>
        <w:t xml:space="preserve"> SC III.2 to ensure proper operation of the baghouse.</w:t>
      </w:r>
    </w:p>
    <w:p w14:paraId="060252EE" w14:textId="3780BEBB" w:rsidR="00DC3084" w:rsidRDefault="00DC3084" w:rsidP="00B41916">
      <w:pPr>
        <w:ind w:left="1080" w:hanging="1080"/>
        <w:jc w:val="both"/>
        <w:rPr>
          <w:rFonts w:ascii="Arial" w:hAnsi="Arial"/>
          <w:sz w:val="22"/>
        </w:rPr>
      </w:pPr>
    </w:p>
    <w:p w14:paraId="153B3490" w14:textId="330B1482" w:rsidR="00DC3084" w:rsidRPr="0082476F" w:rsidRDefault="00DC3084" w:rsidP="00DC3084">
      <w:pPr>
        <w:jc w:val="both"/>
        <w:rPr>
          <w:rFonts w:ascii="Arial" w:hAnsi="Arial"/>
          <w:sz w:val="22"/>
        </w:rPr>
      </w:pPr>
      <w:r>
        <w:rPr>
          <w:rFonts w:ascii="Arial" w:hAnsi="Arial"/>
          <w:sz w:val="22"/>
        </w:rPr>
        <w:t>Additionally, made corrections to FGPLANT1</w:t>
      </w:r>
      <w:r w:rsidR="00745E25">
        <w:rPr>
          <w:rFonts w:ascii="Arial" w:hAnsi="Arial"/>
          <w:sz w:val="22"/>
        </w:rPr>
        <w:t>, SC</w:t>
      </w:r>
      <w:r>
        <w:rPr>
          <w:rFonts w:ascii="Arial" w:hAnsi="Arial"/>
          <w:sz w:val="22"/>
        </w:rPr>
        <w:t xml:space="preserve"> VI.3. to clarify proper operating pressure drop range for the baghouse control. </w:t>
      </w:r>
    </w:p>
    <w:p w14:paraId="26653F54" w14:textId="77777777" w:rsidR="00DC3084" w:rsidRDefault="00DC3084" w:rsidP="00B41916">
      <w:pPr>
        <w:ind w:left="1080" w:hanging="1080"/>
        <w:jc w:val="both"/>
        <w:rPr>
          <w:rFonts w:ascii="Arial" w:hAnsi="Arial"/>
          <w:sz w:val="22"/>
        </w:rPr>
      </w:pPr>
    </w:p>
    <w:p w14:paraId="634C21F5" w14:textId="7C0B05EA" w:rsidR="00B41916" w:rsidRPr="00DC3084" w:rsidRDefault="00B41916" w:rsidP="00B41916">
      <w:pPr>
        <w:ind w:left="1080" w:hanging="1080"/>
        <w:jc w:val="both"/>
        <w:rPr>
          <w:rFonts w:ascii="Arial" w:hAnsi="Arial"/>
          <w:sz w:val="22"/>
          <w:u w:val="single"/>
        </w:rPr>
      </w:pPr>
      <w:r w:rsidRPr="00DC3084">
        <w:rPr>
          <w:rFonts w:ascii="Arial" w:hAnsi="Arial"/>
          <w:sz w:val="22"/>
          <w:u w:val="single"/>
        </w:rPr>
        <w:t xml:space="preserve">EPA </w:t>
      </w:r>
      <w:r w:rsidR="004D618F" w:rsidRPr="00DC3084">
        <w:rPr>
          <w:rFonts w:ascii="Arial" w:hAnsi="Arial"/>
          <w:sz w:val="22"/>
          <w:u w:val="single"/>
        </w:rPr>
        <w:t>Comment</w:t>
      </w:r>
      <w:r w:rsidR="00B924CC" w:rsidRPr="00DC3084">
        <w:rPr>
          <w:rFonts w:ascii="Arial" w:hAnsi="Arial"/>
          <w:sz w:val="22"/>
          <w:u w:val="single"/>
        </w:rPr>
        <w:t xml:space="preserve"> 3</w:t>
      </w:r>
    </w:p>
    <w:p w14:paraId="61BC341A" w14:textId="77777777" w:rsidR="00DC3084" w:rsidRDefault="00DC3084" w:rsidP="00B41916">
      <w:pPr>
        <w:ind w:left="1080" w:hanging="1080"/>
        <w:jc w:val="both"/>
        <w:rPr>
          <w:rFonts w:ascii="Arial" w:hAnsi="Arial"/>
          <w:sz w:val="22"/>
        </w:rPr>
      </w:pPr>
    </w:p>
    <w:p w14:paraId="5F3D32BD" w14:textId="4DEEEB0D" w:rsidR="004D618F" w:rsidRDefault="004D618F" w:rsidP="00B41916">
      <w:pPr>
        <w:ind w:left="1080" w:hanging="1080"/>
        <w:jc w:val="both"/>
        <w:rPr>
          <w:rFonts w:ascii="Arial" w:hAnsi="Arial"/>
          <w:sz w:val="22"/>
        </w:rPr>
      </w:pPr>
      <w:r w:rsidRPr="004D618F">
        <w:rPr>
          <w:rFonts w:ascii="Arial" w:hAnsi="Arial"/>
          <w:sz w:val="22"/>
        </w:rPr>
        <w:t>Please ensure that all off-permit plans are made available as part of the public record.</w:t>
      </w:r>
    </w:p>
    <w:p w14:paraId="3ACC2D43" w14:textId="77777777" w:rsidR="00DC3084" w:rsidRDefault="00DC3084">
      <w:pPr>
        <w:rPr>
          <w:rFonts w:ascii="Arial" w:hAnsi="Arial"/>
          <w:b/>
          <w:sz w:val="22"/>
        </w:rPr>
      </w:pPr>
    </w:p>
    <w:p w14:paraId="66DFDF0A" w14:textId="77777777" w:rsidR="00DC3084" w:rsidRPr="00DC3084" w:rsidRDefault="00DC3084" w:rsidP="00DC3084">
      <w:pPr>
        <w:jc w:val="both"/>
        <w:rPr>
          <w:rFonts w:ascii="Arial" w:hAnsi="Arial" w:cs="Arial"/>
          <w:sz w:val="22"/>
          <w:szCs w:val="22"/>
          <w:u w:val="single"/>
        </w:rPr>
      </w:pPr>
      <w:r w:rsidRPr="00DC3084">
        <w:rPr>
          <w:rFonts w:ascii="Arial" w:hAnsi="Arial" w:cs="Arial"/>
          <w:sz w:val="22"/>
          <w:szCs w:val="22"/>
          <w:u w:val="single"/>
        </w:rPr>
        <w:t>AQD Response</w:t>
      </w:r>
    </w:p>
    <w:p w14:paraId="24C3FBA1" w14:textId="77777777" w:rsidR="00DC3084" w:rsidRDefault="00DC3084" w:rsidP="00DC3084">
      <w:pPr>
        <w:jc w:val="both"/>
        <w:rPr>
          <w:rFonts w:ascii="Arial" w:hAnsi="Arial" w:cs="Arial"/>
          <w:sz w:val="22"/>
          <w:szCs w:val="22"/>
        </w:rPr>
      </w:pPr>
    </w:p>
    <w:p w14:paraId="50F33455" w14:textId="35067378" w:rsidR="00DC3084" w:rsidRDefault="00DC3084" w:rsidP="00DC3084">
      <w:pPr>
        <w:jc w:val="both"/>
        <w:rPr>
          <w:rFonts w:ascii="Arial" w:hAnsi="Arial"/>
          <w:b/>
          <w:sz w:val="22"/>
        </w:rPr>
      </w:pPr>
      <w:r w:rsidRPr="00C65FFB">
        <w:rPr>
          <w:rFonts w:ascii="Arial" w:hAnsi="Arial" w:cs="Arial"/>
          <w:sz w:val="22"/>
          <w:szCs w:val="22"/>
        </w:rPr>
        <w:t xml:space="preserve">The AQD does not post Compliance Assurance Monitoring (CAM) plans. </w:t>
      </w:r>
      <w:r>
        <w:rPr>
          <w:rFonts w:ascii="Arial" w:hAnsi="Arial" w:cs="Arial"/>
          <w:sz w:val="22"/>
          <w:szCs w:val="22"/>
        </w:rPr>
        <w:t xml:space="preserve"> </w:t>
      </w:r>
      <w:r w:rsidRPr="00C65FFB">
        <w:rPr>
          <w:rFonts w:ascii="Arial" w:hAnsi="Arial" w:cs="Arial"/>
          <w:sz w:val="22"/>
          <w:szCs w:val="22"/>
        </w:rPr>
        <w:t>However, this facility also has a Preventative Maintenance Plan (PMP).</w:t>
      </w:r>
      <w:r>
        <w:rPr>
          <w:rFonts w:ascii="Arial" w:hAnsi="Arial" w:cs="Arial"/>
          <w:sz w:val="22"/>
          <w:szCs w:val="22"/>
        </w:rPr>
        <w:t xml:space="preserve"> </w:t>
      </w:r>
      <w:r w:rsidRPr="00C65FFB">
        <w:rPr>
          <w:rFonts w:ascii="Arial" w:hAnsi="Arial" w:cs="Arial"/>
          <w:sz w:val="22"/>
          <w:szCs w:val="22"/>
        </w:rPr>
        <w:t xml:space="preserve"> It was an oversight that the PMP was not posted with the draft</w:t>
      </w:r>
      <w:r w:rsidR="00745E25">
        <w:rPr>
          <w:rFonts w:ascii="Arial" w:hAnsi="Arial" w:cs="Arial"/>
          <w:sz w:val="22"/>
          <w:szCs w:val="22"/>
        </w:rPr>
        <w:t xml:space="preserve"> ROP and </w:t>
      </w:r>
      <w:r w:rsidRPr="00C65FFB">
        <w:rPr>
          <w:rFonts w:ascii="Arial" w:hAnsi="Arial" w:cs="Arial"/>
          <w:sz w:val="22"/>
          <w:szCs w:val="22"/>
        </w:rPr>
        <w:t>staff report during the public comment period.</w:t>
      </w:r>
      <w:r>
        <w:rPr>
          <w:rFonts w:ascii="Arial" w:hAnsi="Arial" w:cs="Arial"/>
          <w:sz w:val="22"/>
          <w:szCs w:val="22"/>
        </w:rPr>
        <w:t xml:space="preserve"> </w:t>
      </w:r>
      <w:r w:rsidRPr="00C65FFB">
        <w:rPr>
          <w:rFonts w:ascii="Arial" w:hAnsi="Arial" w:cs="Arial"/>
          <w:sz w:val="22"/>
          <w:szCs w:val="22"/>
        </w:rPr>
        <w:t xml:space="preserve"> In the future, off permit plans such as the PMP will be posted during the public comment period</w:t>
      </w:r>
      <w:r>
        <w:rPr>
          <w:rFonts w:ascii="Arial" w:hAnsi="Arial" w:cs="Arial"/>
          <w:sz w:val="22"/>
          <w:szCs w:val="22"/>
        </w:rPr>
        <w:t xml:space="preserve"> and will be included on the AQD’s website</w:t>
      </w:r>
      <w:r w:rsidRPr="00C65FFB">
        <w:rPr>
          <w:rFonts w:ascii="Arial" w:hAnsi="Arial" w:cs="Arial"/>
          <w:sz w:val="22"/>
          <w:szCs w:val="22"/>
        </w:rPr>
        <w:t xml:space="preserve">.  </w:t>
      </w:r>
    </w:p>
    <w:p w14:paraId="7E26D8FA" w14:textId="77777777" w:rsidR="00B924CC" w:rsidRDefault="00B924CC">
      <w:pPr>
        <w:rPr>
          <w:rFonts w:ascii="Arial" w:hAnsi="Arial"/>
          <w:b/>
          <w:sz w:val="22"/>
        </w:rPr>
      </w:pPr>
    </w:p>
    <w:p w14:paraId="1E97531D" w14:textId="00417E17" w:rsidR="00AB4929" w:rsidRDefault="00AB4929">
      <w:pPr>
        <w:rPr>
          <w:rFonts w:ascii="Arial" w:hAnsi="Arial"/>
          <w:b/>
          <w:sz w:val="22"/>
          <w:u w:val="single"/>
        </w:rPr>
      </w:pPr>
      <w:bookmarkStart w:id="22" w:name="_Toc482691124"/>
      <w:r>
        <w:rPr>
          <w:rFonts w:ascii="Arial" w:hAnsi="Arial"/>
          <w:b/>
          <w:sz w:val="22"/>
          <w:u w:val="single"/>
        </w:rPr>
        <w:t xml:space="preserve">Changes to the </w:t>
      </w:r>
      <w:r w:rsidR="00FE43AA">
        <w:rPr>
          <w:rFonts w:ascii="Arial" w:hAnsi="Arial" w:cs="Arial"/>
          <w:b/>
          <w:sz w:val="22"/>
          <w:szCs w:val="22"/>
          <w:u w:val="single"/>
        </w:rPr>
        <w:t>April 4, 2022</w:t>
      </w:r>
      <w:r>
        <w:rPr>
          <w:rFonts w:ascii="Arial" w:hAnsi="Arial"/>
          <w:b/>
          <w:sz w:val="22"/>
          <w:u w:val="single"/>
        </w:rPr>
        <w:t xml:space="preserve"> </w:t>
      </w:r>
      <w:r w:rsidR="00FE43A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2"/>
    </w:p>
    <w:p w14:paraId="2E5C4811" w14:textId="2E9BF8B7" w:rsidR="00AB4929" w:rsidRDefault="00AB4929">
      <w:pPr>
        <w:rPr>
          <w:rFonts w:ascii="Arial" w:hAnsi="Arial"/>
          <w:b/>
          <w:sz w:val="22"/>
        </w:rPr>
      </w:pPr>
    </w:p>
    <w:p w14:paraId="3E26DE2E" w14:textId="4302905E" w:rsidR="00DC3084" w:rsidRDefault="00DC3084" w:rsidP="00DC3084">
      <w:pPr>
        <w:rPr>
          <w:rFonts w:ascii="Arial" w:hAnsi="Arial"/>
          <w:sz w:val="22"/>
        </w:rPr>
      </w:pPr>
      <w:r>
        <w:rPr>
          <w:rFonts w:ascii="Arial" w:hAnsi="Arial"/>
          <w:sz w:val="22"/>
        </w:rPr>
        <w:t xml:space="preserve">All changes proposed by USEPA </w:t>
      </w:r>
      <w:r w:rsidR="00EF79AC">
        <w:rPr>
          <w:rFonts w:ascii="Arial" w:hAnsi="Arial"/>
          <w:sz w:val="22"/>
        </w:rPr>
        <w:t xml:space="preserve">in the 30-day public comment period </w:t>
      </w:r>
      <w:r>
        <w:rPr>
          <w:rFonts w:ascii="Arial" w:hAnsi="Arial"/>
          <w:sz w:val="22"/>
        </w:rPr>
        <w:t xml:space="preserve">as addressed by the AQD responses above have been incorporated into the </w:t>
      </w:r>
      <w:r w:rsidR="00EF79AC">
        <w:rPr>
          <w:rFonts w:ascii="Arial" w:hAnsi="Arial"/>
          <w:sz w:val="22"/>
        </w:rPr>
        <w:t xml:space="preserve">draft </w:t>
      </w:r>
      <w:r>
        <w:rPr>
          <w:rFonts w:ascii="Arial" w:hAnsi="Arial"/>
          <w:sz w:val="22"/>
        </w:rPr>
        <w:t>ROP.</w:t>
      </w:r>
    </w:p>
    <w:p w14:paraId="30A151CF" w14:textId="03044538" w:rsidR="00761D7F" w:rsidRDefault="00761D7F">
      <w:pPr>
        <w:rPr>
          <w:rFonts w:ascii="Arial" w:hAnsi="Arial"/>
          <w:b/>
          <w:sz w:val="22"/>
        </w:rPr>
      </w:pPr>
      <w:r>
        <w:rPr>
          <w:rFonts w:ascii="Arial" w:hAnsi="Arial"/>
          <w:b/>
          <w:sz w:val="22"/>
        </w:rPr>
        <w:br w:type="page"/>
      </w:r>
    </w:p>
    <w:p w14:paraId="22AEE864" w14:textId="77777777" w:rsidR="00761D7F" w:rsidRDefault="00761D7F" w:rsidP="00761D7F">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761D7F" w14:paraId="4589C22C" w14:textId="77777777" w:rsidTr="00BC61C8">
        <w:tc>
          <w:tcPr>
            <w:tcW w:w="2250" w:type="dxa"/>
          </w:tcPr>
          <w:p w14:paraId="2B16103B" w14:textId="77777777" w:rsidR="00761D7F" w:rsidRDefault="00761D7F" w:rsidP="00BC61C8">
            <w:pPr>
              <w:jc w:val="center"/>
              <w:rPr>
                <w:rFonts w:ascii="Arial" w:hAnsi="Arial"/>
                <w:sz w:val="16"/>
              </w:rPr>
            </w:pPr>
          </w:p>
        </w:tc>
        <w:tc>
          <w:tcPr>
            <w:tcW w:w="5670" w:type="dxa"/>
          </w:tcPr>
          <w:p w14:paraId="0879815A" w14:textId="77777777" w:rsidR="00761D7F" w:rsidRDefault="00761D7F" w:rsidP="00BC61C8">
            <w:pPr>
              <w:ind w:left="-108" w:right="-140"/>
              <w:jc w:val="center"/>
              <w:rPr>
                <w:rFonts w:ascii="Arial" w:hAnsi="Arial"/>
              </w:rPr>
            </w:pPr>
            <w:r>
              <w:rPr>
                <w:rFonts w:ascii="Arial" w:hAnsi="Arial"/>
              </w:rPr>
              <w:t>Michigan Department of Environment, Great Lakes, and Energy</w:t>
            </w:r>
          </w:p>
          <w:p w14:paraId="38640BF9" w14:textId="77777777" w:rsidR="00761D7F" w:rsidRDefault="00761D7F" w:rsidP="00BC61C8">
            <w:pPr>
              <w:jc w:val="center"/>
              <w:rPr>
                <w:rFonts w:ascii="Arial" w:hAnsi="Arial"/>
                <w:sz w:val="16"/>
              </w:rPr>
            </w:pPr>
            <w:r>
              <w:rPr>
                <w:rFonts w:ascii="Arial" w:hAnsi="Arial"/>
              </w:rPr>
              <w:t>Air Quality Division</w:t>
            </w:r>
          </w:p>
        </w:tc>
        <w:tc>
          <w:tcPr>
            <w:tcW w:w="2430" w:type="dxa"/>
          </w:tcPr>
          <w:p w14:paraId="712C24B9" w14:textId="77777777" w:rsidR="00761D7F" w:rsidRDefault="00761D7F" w:rsidP="00BC61C8">
            <w:pPr>
              <w:jc w:val="center"/>
              <w:rPr>
                <w:rFonts w:ascii="Arial" w:hAnsi="Arial"/>
                <w:b/>
                <w:sz w:val="24"/>
              </w:rPr>
            </w:pPr>
          </w:p>
        </w:tc>
      </w:tr>
      <w:tr w:rsidR="00761D7F" w14:paraId="32285F46" w14:textId="77777777" w:rsidTr="00BC61C8">
        <w:trPr>
          <w:cantSplit/>
          <w:trHeight w:val="146"/>
        </w:trPr>
        <w:tc>
          <w:tcPr>
            <w:tcW w:w="2250" w:type="dxa"/>
          </w:tcPr>
          <w:p w14:paraId="50EADA4A" w14:textId="77777777" w:rsidR="00761D7F" w:rsidRPr="00DB5924" w:rsidRDefault="00761D7F" w:rsidP="00BC61C8">
            <w:pPr>
              <w:pStyle w:val="Header"/>
              <w:jc w:val="center"/>
              <w:rPr>
                <w:rFonts w:ascii="Arial" w:hAnsi="Arial"/>
                <w:b/>
                <w:sz w:val="16"/>
              </w:rPr>
            </w:pPr>
            <w:r w:rsidRPr="00DB5924">
              <w:rPr>
                <w:rFonts w:ascii="Arial" w:hAnsi="Arial"/>
                <w:b/>
                <w:sz w:val="16"/>
              </w:rPr>
              <w:t>State Registration Number</w:t>
            </w:r>
          </w:p>
        </w:tc>
        <w:tc>
          <w:tcPr>
            <w:tcW w:w="5670" w:type="dxa"/>
          </w:tcPr>
          <w:p w14:paraId="5CC52D96" w14:textId="77777777" w:rsidR="00761D7F" w:rsidRDefault="00761D7F" w:rsidP="00BC61C8">
            <w:pPr>
              <w:pStyle w:val="Header"/>
              <w:jc w:val="center"/>
              <w:rPr>
                <w:rFonts w:ascii="Arial" w:hAnsi="Arial"/>
                <w:b/>
                <w:sz w:val="28"/>
              </w:rPr>
            </w:pPr>
            <w:r>
              <w:rPr>
                <w:rFonts w:ascii="Arial" w:hAnsi="Arial"/>
                <w:b/>
                <w:sz w:val="28"/>
              </w:rPr>
              <w:t>RENEWABLE OPERATING PERMIT</w:t>
            </w:r>
          </w:p>
        </w:tc>
        <w:tc>
          <w:tcPr>
            <w:tcW w:w="2430" w:type="dxa"/>
          </w:tcPr>
          <w:p w14:paraId="1372B221" w14:textId="77777777" w:rsidR="00761D7F" w:rsidRPr="00DB5924" w:rsidRDefault="00761D7F" w:rsidP="00BC61C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61D7F" w:rsidRPr="002812D5" w14:paraId="142792C9" w14:textId="77777777" w:rsidTr="00BC61C8">
        <w:trPr>
          <w:cantSplit/>
          <w:trHeight w:val="145"/>
        </w:trPr>
        <w:tc>
          <w:tcPr>
            <w:tcW w:w="2250" w:type="dxa"/>
          </w:tcPr>
          <w:p w14:paraId="51DBDE9D" w14:textId="77777777" w:rsidR="00761D7F" w:rsidRPr="002812D5" w:rsidRDefault="00761D7F" w:rsidP="00BC61C8">
            <w:pPr>
              <w:pStyle w:val="Header"/>
              <w:jc w:val="center"/>
              <w:rPr>
                <w:rFonts w:ascii="Arial" w:hAnsi="Arial"/>
                <w:sz w:val="22"/>
                <w:szCs w:val="22"/>
              </w:rPr>
            </w:pPr>
            <w:r w:rsidRPr="002812D5">
              <w:rPr>
                <w:rFonts w:ascii="Arial" w:hAnsi="Arial"/>
                <w:sz w:val="22"/>
                <w:szCs w:val="22"/>
              </w:rPr>
              <w:t>A6497</w:t>
            </w:r>
          </w:p>
        </w:tc>
        <w:tc>
          <w:tcPr>
            <w:tcW w:w="5670" w:type="dxa"/>
          </w:tcPr>
          <w:p w14:paraId="7AF8133C" w14:textId="05251F34" w:rsidR="00761D7F" w:rsidRPr="002812D5" w:rsidRDefault="00B3584F" w:rsidP="00BC61C8">
            <w:pPr>
              <w:pStyle w:val="Heading1"/>
              <w:spacing w:before="120"/>
              <w:rPr>
                <w:sz w:val="22"/>
                <w:szCs w:val="22"/>
              </w:rPr>
            </w:pPr>
            <w:bookmarkStart w:id="23" w:name="_Toc125453279"/>
            <w:r w:rsidRPr="002812D5">
              <w:rPr>
                <w:noProof/>
                <w:sz w:val="22"/>
                <w:szCs w:val="22"/>
              </w:rPr>
              <w:t>January 2</w:t>
            </w:r>
            <w:r w:rsidR="003600B9" w:rsidRPr="002812D5">
              <w:rPr>
                <w:noProof/>
                <w:sz w:val="22"/>
                <w:szCs w:val="22"/>
              </w:rPr>
              <w:t>5</w:t>
            </w:r>
            <w:r w:rsidRPr="002812D5">
              <w:rPr>
                <w:noProof/>
                <w:sz w:val="22"/>
                <w:szCs w:val="22"/>
              </w:rPr>
              <w:t>, 2023</w:t>
            </w:r>
            <w:r w:rsidR="00761D7F" w:rsidRPr="002812D5">
              <w:rPr>
                <w:sz w:val="22"/>
                <w:szCs w:val="22"/>
              </w:rPr>
              <w:t xml:space="preserve"> - STAFF REPORT FOR RULE 216(1)(a)(i)-(iv) ADMINISTRATIVE AMENDMENT</w:t>
            </w:r>
            <w:bookmarkEnd w:id="23"/>
          </w:p>
        </w:tc>
        <w:tc>
          <w:tcPr>
            <w:tcW w:w="2430" w:type="dxa"/>
          </w:tcPr>
          <w:p w14:paraId="1A06DBB6" w14:textId="2F48EBDA" w:rsidR="00761D7F" w:rsidRPr="002812D5" w:rsidRDefault="00761D7F" w:rsidP="00BC61C8">
            <w:pPr>
              <w:pStyle w:val="Header"/>
              <w:jc w:val="center"/>
              <w:rPr>
                <w:rFonts w:ascii="Arial" w:hAnsi="Arial"/>
                <w:sz w:val="22"/>
                <w:szCs w:val="22"/>
              </w:rPr>
            </w:pPr>
            <w:r w:rsidRPr="002812D5">
              <w:rPr>
                <w:rFonts w:ascii="Arial" w:hAnsi="Arial"/>
                <w:sz w:val="22"/>
                <w:szCs w:val="22"/>
              </w:rPr>
              <w:t>MI-ROP-</w:t>
            </w:r>
            <w:r w:rsidR="00B92FEC" w:rsidRPr="002812D5">
              <w:rPr>
                <w:rFonts w:ascii="Arial" w:hAnsi="Arial"/>
                <w:sz w:val="22"/>
                <w:szCs w:val="22"/>
              </w:rPr>
              <w:t>A6497</w:t>
            </w:r>
            <w:r w:rsidRPr="002812D5">
              <w:rPr>
                <w:rFonts w:ascii="Arial" w:hAnsi="Arial"/>
                <w:sz w:val="22"/>
                <w:szCs w:val="22"/>
              </w:rPr>
              <w:t>-2022a</w:t>
            </w:r>
          </w:p>
        </w:tc>
      </w:tr>
    </w:tbl>
    <w:p w14:paraId="4D36EF4D" w14:textId="77777777" w:rsidR="00761D7F" w:rsidRPr="002812D5" w:rsidRDefault="00761D7F" w:rsidP="00761D7F">
      <w:pPr>
        <w:pStyle w:val="Header"/>
        <w:tabs>
          <w:tab w:val="clear" w:pos="4320"/>
          <w:tab w:val="clear" w:pos="8640"/>
        </w:tabs>
        <w:rPr>
          <w:rFonts w:ascii="Arial" w:hAnsi="Arial" w:cs="Arial"/>
          <w:sz w:val="18"/>
        </w:rPr>
      </w:pPr>
    </w:p>
    <w:p w14:paraId="4F874559" w14:textId="77777777" w:rsidR="00761D7F" w:rsidRPr="002812D5" w:rsidRDefault="00761D7F" w:rsidP="00761D7F">
      <w:pPr>
        <w:pStyle w:val="Header"/>
        <w:tabs>
          <w:tab w:val="clear" w:pos="4320"/>
          <w:tab w:val="clear" w:pos="8640"/>
        </w:tabs>
        <w:rPr>
          <w:rFonts w:ascii="Arial" w:hAnsi="Arial" w:cs="Arial"/>
          <w:sz w:val="18"/>
        </w:rPr>
      </w:pPr>
    </w:p>
    <w:p w14:paraId="137C4226" w14:textId="77777777" w:rsidR="00761D7F" w:rsidRPr="002812D5" w:rsidRDefault="00761D7F" w:rsidP="00761D7F">
      <w:pPr>
        <w:rPr>
          <w:rFonts w:ascii="Arial" w:hAnsi="Arial" w:cs="Arial"/>
          <w:b/>
          <w:sz w:val="22"/>
          <w:szCs w:val="22"/>
          <w:u w:val="single"/>
        </w:rPr>
      </w:pPr>
      <w:bookmarkStart w:id="24" w:name="_Toc482691145"/>
      <w:r w:rsidRPr="002812D5">
        <w:rPr>
          <w:rFonts w:ascii="Arial" w:hAnsi="Arial" w:cs="Arial"/>
          <w:b/>
          <w:sz w:val="22"/>
          <w:szCs w:val="22"/>
          <w:u w:val="single"/>
        </w:rPr>
        <w:t>Purpose</w:t>
      </w:r>
      <w:bookmarkEnd w:id="24"/>
    </w:p>
    <w:p w14:paraId="210264FA" w14:textId="77777777" w:rsidR="00761D7F" w:rsidRPr="002812D5" w:rsidRDefault="00761D7F" w:rsidP="00761D7F">
      <w:pPr>
        <w:jc w:val="both"/>
        <w:rPr>
          <w:rFonts w:ascii="Arial" w:hAnsi="Arial" w:cs="Arial"/>
          <w:sz w:val="22"/>
          <w:szCs w:val="22"/>
        </w:rPr>
      </w:pPr>
    </w:p>
    <w:p w14:paraId="73E894FF" w14:textId="05CFBBC8" w:rsidR="00761D7F" w:rsidRPr="002812D5" w:rsidRDefault="00761D7F" w:rsidP="00761D7F">
      <w:pPr>
        <w:jc w:val="both"/>
        <w:rPr>
          <w:rFonts w:ascii="Arial" w:hAnsi="Arial" w:cs="Arial"/>
          <w:sz w:val="22"/>
          <w:szCs w:val="22"/>
        </w:rPr>
      </w:pPr>
      <w:r w:rsidRPr="002812D5">
        <w:rPr>
          <w:rFonts w:ascii="Arial" w:hAnsi="Arial" w:cs="Arial"/>
          <w:sz w:val="22"/>
          <w:szCs w:val="22"/>
        </w:rPr>
        <w:t xml:space="preserve">On </w:t>
      </w:r>
      <w:bookmarkStart w:id="25" w:name="Text19"/>
      <w:r w:rsidRPr="002812D5">
        <w:rPr>
          <w:rFonts w:ascii="Arial" w:hAnsi="Arial" w:cs="Arial"/>
          <w:noProof/>
          <w:sz w:val="22"/>
          <w:szCs w:val="22"/>
        </w:rPr>
        <w:t>August 3, 2022</w:t>
      </w:r>
      <w:bookmarkEnd w:id="25"/>
      <w:r w:rsidRPr="002812D5">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2812D5">
          <w:rPr>
            <w:rFonts w:ascii="Arial" w:hAnsi="Arial" w:cs="Arial"/>
            <w:sz w:val="22"/>
            <w:szCs w:val="22"/>
          </w:rPr>
          <w:t>ROP</w:t>
        </w:r>
      </w:smartTag>
      <w:r w:rsidRPr="002812D5">
        <w:rPr>
          <w:rFonts w:ascii="Arial" w:hAnsi="Arial" w:cs="Arial"/>
          <w:sz w:val="22"/>
          <w:szCs w:val="22"/>
        </w:rPr>
        <w:t xml:space="preserve">) No. </w:t>
      </w:r>
      <w:r w:rsidRPr="002812D5">
        <w:rPr>
          <w:rFonts w:ascii="Arial" w:hAnsi="Arial" w:cs="Arial"/>
          <w:noProof/>
          <w:sz w:val="22"/>
          <w:szCs w:val="22"/>
        </w:rPr>
        <w:t>MI-ROP-</w:t>
      </w:r>
      <w:r w:rsidR="00B92FEC" w:rsidRPr="002812D5">
        <w:rPr>
          <w:rFonts w:ascii="Arial" w:hAnsi="Arial"/>
          <w:sz w:val="22"/>
          <w:szCs w:val="22"/>
        </w:rPr>
        <w:t>A6497</w:t>
      </w:r>
      <w:r w:rsidRPr="002812D5">
        <w:rPr>
          <w:rFonts w:ascii="Arial" w:hAnsi="Arial" w:cs="Arial"/>
          <w:noProof/>
          <w:sz w:val="22"/>
          <w:szCs w:val="22"/>
        </w:rPr>
        <w:t>-2022</w:t>
      </w:r>
      <w:r w:rsidRPr="002812D5">
        <w:rPr>
          <w:rFonts w:ascii="Arial" w:hAnsi="Arial" w:cs="Arial"/>
          <w:sz w:val="22"/>
          <w:szCs w:val="22"/>
        </w:rPr>
        <w:t xml:space="preserve"> to </w:t>
      </w:r>
      <w:bookmarkStart w:id="26" w:name="Text21"/>
      <w:r w:rsidRPr="002812D5">
        <w:rPr>
          <w:rFonts w:ascii="Arial" w:hAnsi="Arial" w:cs="Arial"/>
          <w:noProof/>
          <w:sz w:val="22"/>
          <w:szCs w:val="22"/>
        </w:rPr>
        <w:t>Meridian Brick LLC – Michigan Plant</w:t>
      </w:r>
      <w:bookmarkEnd w:id="26"/>
      <w:r w:rsidRPr="002812D5">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2812D5">
          <w:rPr>
            <w:rFonts w:ascii="Arial" w:hAnsi="Arial" w:cs="Arial"/>
            <w:sz w:val="22"/>
            <w:szCs w:val="22"/>
          </w:rPr>
          <w:t>ROP</w:t>
        </w:r>
      </w:smartTag>
      <w:r w:rsidRPr="002812D5">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2812D5">
          <w:rPr>
            <w:rFonts w:ascii="Arial" w:hAnsi="Arial" w:cs="Arial"/>
            <w:sz w:val="22"/>
            <w:szCs w:val="22"/>
          </w:rPr>
          <w:t>ROP</w:t>
        </w:r>
      </w:smartTag>
      <w:r w:rsidRPr="002812D5">
        <w:rPr>
          <w:rFonts w:ascii="Arial" w:hAnsi="Arial" w:cs="Arial"/>
          <w:sz w:val="22"/>
          <w:szCs w:val="22"/>
        </w:rPr>
        <w:t xml:space="preserve"> pursuant to Rule 216(1)(a)(i-iv).</w:t>
      </w:r>
    </w:p>
    <w:p w14:paraId="3CA8F419" w14:textId="77777777" w:rsidR="00761D7F" w:rsidRPr="002812D5" w:rsidRDefault="00761D7F" w:rsidP="00761D7F">
      <w:pPr>
        <w:rPr>
          <w:rFonts w:ascii="Arial" w:hAnsi="Arial" w:cs="Arial"/>
          <w:sz w:val="22"/>
          <w:szCs w:val="22"/>
        </w:rPr>
      </w:pPr>
    </w:p>
    <w:p w14:paraId="38A9277E" w14:textId="77777777" w:rsidR="00761D7F" w:rsidRPr="002812D5" w:rsidRDefault="00761D7F" w:rsidP="00761D7F">
      <w:pPr>
        <w:rPr>
          <w:rFonts w:ascii="Arial" w:hAnsi="Arial" w:cs="Arial"/>
          <w:b/>
          <w:sz w:val="22"/>
          <w:szCs w:val="22"/>
          <w:u w:val="single"/>
        </w:rPr>
      </w:pPr>
      <w:r w:rsidRPr="002812D5">
        <w:rPr>
          <w:rFonts w:ascii="Arial" w:hAnsi="Arial" w:cs="Arial"/>
          <w:b/>
          <w:sz w:val="22"/>
          <w:szCs w:val="22"/>
          <w:u w:val="single"/>
        </w:rPr>
        <w:t>General Information</w:t>
      </w:r>
    </w:p>
    <w:p w14:paraId="4C5CE065" w14:textId="77777777" w:rsidR="00761D7F" w:rsidRPr="002812D5" w:rsidRDefault="00761D7F" w:rsidP="00761D7F">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812D5" w:rsidRPr="002812D5" w14:paraId="0CEFEC40" w14:textId="77777777" w:rsidTr="00BC61C8">
        <w:tc>
          <w:tcPr>
            <w:tcW w:w="4464" w:type="dxa"/>
          </w:tcPr>
          <w:p w14:paraId="22195171" w14:textId="77777777" w:rsidR="00761D7F" w:rsidRPr="002812D5" w:rsidRDefault="00761D7F" w:rsidP="00BC61C8">
            <w:pPr>
              <w:rPr>
                <w:rFonts w:ascii="Arial" w:hAnsi="Arial" w:cs="Arial"/>
                <w:sz w:val="22"/>
                <w:szCs w:val="22"/>
              </w:rPr>
            </w:pPr>
            <w:r w:rsidRPr="002812D5">
              <w:rPr>
                <w:rFonts w:ascii="Arial" w:hAnsi="Arial" w:cs="Arial"/>
                <w:sz w:val="22"/>
                <w:szCs w:val="22"/>
              </w:rPr>
              <w:t>Responsible Official:</w:t>
            </w:r>
          </w:p>
        </w:tc>
        <w:tc>
          <w:tcPr>
            <w:tcW w:w="5796" w:type="dxa"/>
          </w:tcPr>
          <w:p w14:paraId="40563238" w14:textId="21F492CC" w:rsidR="00761D7F" w:rsidRPr="002812D5" w:rsidRDefault="0013123A" w:rsidP="00BC61C8">
            <w:pPr>
              <w:rPr>
                <w:rFonts w:ascii="Arial" w:hAnsi="Arial" w:cs="Arial"/>
                <w:noProof/>
                <w:sz w:val="22"/>
                <w:szCs w:val="22"/>
              </w:rPr>
            </w:pPr>
            <w:r w:rsidRPr="002812D5">
              <w:rPr>
                <w:rFonts w:ascii="Arial" w:hAnsi="Arial" w:cs="Arial"/>
                <w:noProof/>
                <w:sz w:val="22"/>
                <w:szCs w:val="22"/>
              </w:rPr>
              <w:t>J</w:t>
            </w:r>
            <w:r w:rsidR="002812D5">
              <w:rPr>
                <w:rFonts w:ascii="Arial" w:hAnsi="Arial" w:cs="Arial"/>
                <w:noProof/>
                <w:sz w:val="22"/>
                <w:szCs w:val="22"/>
              </w:rPr>
              <w:t>.</w:t>
            </w:r>
            <w:r w:rsidRPr="002812D5">
              <w:rPr>
                <w:rFonts w:ascii="Arial" w:hAnsi="Arial" w:cs="Arial"/>
                <w:noProof/>
                <w:sz w:val="22"/>
                <w:szCs w:val="22"/>
              </w:rPr>
              <w:t xml:space="preserve"> David McKeown</w:t>
            </w:r>
            <w:r w:rsidR="00761D7F" w:rsidRPr="002812D5">
              <w:rPr>
                <w:rFonts w:ascii="Arial" w:hAnsi="Arial" w:cs="Arial"/>
                <w:noProof/>
                <w:sz w:val="22"/>
                <w:szCs w:val="22"/>
              </w:rPr>
              <w:t xml:space="preserve">, </w:t>
            </w:r>
            <w:r w:rsidRPr="002812D5">
              <w:rPr>
                <w:rFonts w:ascii="Arial" w:hAnsi="Arial" w:cs="Arial"/>
                <w:noProof/>
                <w:sz w:val="22"/>
                <w:szCs w:val="22"/>
              </w:rPr>
              <w:t>Director, Environmental Compliance</w:t>
            </w:r>
          </w:p>
          <w:p w14:paraId="45D163D6" w14:textId="698B3251" w:rsidR="00761D7F" w:rsidRPr="002812D5" w:rsidRDefault="0013123A" w:rsidP="00BC61C8">
            <w:pPr>
              <w:rPr>
                <w:rFonts w:ascii="Arial" w:hAnsi="Arial" w:cs="Arial"/>
                <w:sz w:val="22"/>
                <w:szCs w:val="22"/>
                <w:highlight w:val="yellow"/>
              </w:rPr>
            </w:pPr>
            <w:r w:rsidRPr="002812D5">
              <w:rPr>
                <w:rFonts w:ascii="Arial" w:hAnsi="Arial" w:cs="Arial"/>
                <w:noProof/>
                <w:sz w:val="22"/>
                <w:szCs w:val="22"/>
              </w:rPr>
              <w:t>803</w:t>
            </w:r>
            <w:r w:rsidR="002812D5">
              <w:rPr>
                <w:rFonts w:ascii="Arial" w:hAnsi="Arial" w:cs="Arial"/>
                <w:noProof/>
                <w:sz w:val="22"/>
                <w:szCs w:val="22"/>
              </w:rPr>
              <w:t>-</w:t>
            </w:r>
            <w:r w:rsidRPr="002812D5">
              <w:rPr>
                <w:rFonts w:ascii="Arial" w:hAnsi="Arial" w:cs="Arial"/>
                <w:noProof/>
                <w:sz w:val="22"/>
                <w:szCs w:val="22"/>
              </w:rPr>
              <w:t>691</w:t>
            </w:r>
            <w:r w:rsidR="002812D5">
              <w:rPr>
                <w:rFonts w:ascii="Arial" w:hAnsi="Arial" w:cs="Arial"/>
                <w:noProof/>
                <w:sz w:val="22"/>
                <w:szCs w:val="22"/>
              </w:rPr>
              <w:t>-</w:t>
            </w:r>
            <w:r w:rsidRPr="002812D5">
              <w:rPr>
                <w:rFonts w:ascii="Arial" w:hAnsi="Arial" w:cs="Arial"/>
                <w:noProof/>
                <w:sz w:val="22"/>
                <w:szCs w:val="22"/>
              </w:rPr>
              <w:t>3121</w:t>
            </w:r>
          </w:p>
        </w:tc>
      </w:tr>
      <w:tr w:rsidR="002812D5" w:rsidRPr="002812D5" w14:paraId="208883B0" w14:textId="77777777" w:rsidTr="00BC61C8">
        <w:tc>
          <w:tcPr>
            <w:tcW w:w="4464" w:type="dxa"/>
          </w:tcPr>
          <w:p w14:paraId="6B470F1E" w14:textId="77777777" w:rsidR="00761D7F" w:rsidRPr="002812D5" w:rsidRDefault="00761D7F" w:rsidP="00BC61C8">
            <w:pPr>
              <w:tabs>
                <w:tab w:val="center" w:pos="2124"/>
              </w:tabs>
              <w:rPr>
                <w:rFonts w:ascii="Arial" w:hAnsi="Arial" w:cs="Arial"/>
                <w:sz w:val="22"/>
                <w:szCs w:val="22"/>
              </w:rPr>
            </w:pPr>
            <w:r w:rsidRPr="002812D5">
              <w:rPr>
                <w:rFonts w:ascii="Arial" w:hAnsi="Arial" w:cs="Arial"/>
                <w:sz w:val="22"/>
                <w:szCs w:val="22"/>
              </w:rPr>
              <w:t>AQD Contact:</w:t>
            </w:r>
          </w:p>
        </w:tc>
        <w:tc>
          <w:tcPr>
            <w:tcW w:w="5796" w:type="dxa"/>
          </w:tcPr>
          <w:p w14:paraId="201BD0C3" w14:textId="77777777" w:rsidR="00761D7F" w:rsidRPr="002812D5" w:rsidRDefault="00761D7F" w:rsidP="00BC61C8">
            <w:pPr>
              <w:rPr>
                <w:rFonts w:ascii="Arial" w:hAnsi="Arial" w:cs="Arial"/>
                <w:sz w:val="22"/>
                <w:szCs w:val="22"/>
              </w:rPr>
            </w:pPr>
            <w:r w:rsidRPr="002812D5">
              <w:rPr>
                <w:rFonts w:ascii="Arial" w:hAnsi="Arial" w:cs="Arial"/>
                <w:noProof/>
                <w:sz w:val="22"/>
                <w:szCs w:val="22"/>
              </w:rPr>
              <w:t>Caryn Owens</w:t>
            </w:r>
            <w:r w:rsidRPr="002812D5">
              <w:rPr>
                <w:rFonts w:ascii="Arial" w:hAnsi="Arial" w:cs="Arial"/>
                <w:sz w:val="22"/>
                <w:szCs w:val="22"/>
              </w:rPr>
              <w:t xml:space="preserve">, </w:t>
            </w:r>
            <w:r w:rsidRPr="002812D5">
              <w:rPr>
                <w:rFonts w:ascii="Arial" w:hAnsi="Arial" w:cs="Arial"/>
                <w:noProof/>
                <w:sz w:val="22"/>
                <w:szCs w:val="22"/>
              </w:rPr>
              <w:t>Senior Environmental Engineer</w:t>
            </w:r>
          </w:p>
          <w:p w14:paraId="66247AD1" w14:textId="77777777" w:rsidR="00761D7F" w:rsidRPr="002812D5" w:rsidRDefault="00761D7F" w:rsidP="00BC61C8">
            <w:pPr>
              <w:rPr>
                <w:rFonts w:ascii="Arial" w:hAnsi="Arial" w:cs="Arial"/>
                <w:sz w:val="22"/>
                <w:szCs w:val="22"/>
              </w:rPr>
            </w:pPr>
            <w:r w:rsidRPr="002812D5">
              <w:rPr>
                <w:rFonts w:ascii="Arial" w:hAnsi="Arial" w:cs="Arial"/>
                <w:noProof/>
                <w:sz w:val="22"/>
                <w:szCs w:val="22"/>
              </w:rPr>
              <w:t>231-878-6688</w:t>
            </w:r>
          </w:p>
        </w:tc>
      </w:tr>
      <w:tr w:rsidR="002812D5" w:rsidRPr="002812D5" w14:paraId="78319072" w14:textId="77777777" w:rsidTr="00BC61C8">
        <w:tc>
          <w:tcPr>
            <w:tcW w:w="4464" w:type="dxa"/>
          </w:tcPr>
          <w:p w14:paraId="3030AFA9" w14:textId="77777777" w:rsidR="00761D7F" w:rsidRPr="002812D5" w:rsidRDefault="00761D7F" w:rsidP="00BC61C8">
            <w:pPr>
              <w:rPr>
                <w:rFonts w:ascii="Arial" w:hAnsi="Arial" w:cs="Arial"/>
                <w:sz w:val="22"/>
                <w:szCs w:val="22"/>
              </w:rPr>
            </w:pPr>
            <w:r w:rsidRPr="002812D5">
              <w:rPr>
                <w:rFonts w:ascii="Arial" w:hAnsi="Arial" w:cs="Arial"/>
                <w:sz w:val="22"/>
                <w:szCs w:val="22"/>
              </w:rPr>
              <w:t>Application Number:</w:t>
            </w:r>
          </w:p>
        </w:tc>
        <w:tc>
          <w:tcPr>
            <w:tcW w:w="5796" w:type="dxa"/>
          </w:tcPr>
          <w:p w14:paraId="56CFAD20" w14:textId="77777777" w:rsidR="00761D7F" w:rsidRPr="002812D5" w:rsidRDefault="00761D7F" w:rsidP="00BC61C8">
            <w:pPr>
              <w:rPr>
                <w:rFonts w:ascii="Arial" w:hAnsi="Arial" w:cs="Arial"/>
                <w:sz w:val="22"/>
                <w:szCs w:val="22"/>
              </w:rPr>
            </w:pPr>
            <w:bookmarkStart w:id="27" w:name="Text16"/>
            <w:r w:rsidRPr="002812D5">
              <w:rPr>
                <w:rFonts w:ascii="Arial" w:hAnsi="Arial" w:cs="Arial"/>
                <w:noProof/>
                <w:sz w:val="22"/>
                <w:szCs w:val="22"/>
              </w:rPr>
              <w:t>202200218</w:t>
            </w:r>
            <w:bookmarkEnd w:id="27"/>
          </w:p>
        </w:tc>
      </w:tr>
      <w:tr w:rsidR="00761D7F" w:rsidRPr="002812D5" w14:paraId="70552B30" w14:textId="77777777" w:rsidTr="00BC61C8">
        <w:tc>
          <w:tcPr>
            <w:tcW w:w="4464" w:type="dxa"/>
          </w:tcPr>
          <w:p w14:paraId="207F4DDE" w14:textId="77777777" w:rsidR="00761D7F" w:rsidRPr="002812D5" w:rsidRDefault="00761D7F" w:rsidP="00BC61C8">
            <w:pPr>
              <w:rPr>
                <w:rFonts w:ascii="Arial" w:hAnsi="Arial" w:cs="Arial"/>
                <w:sz w:val="22"/>
                <w:szCs w:val="22"/>
              </w:rPr>
            </w:pPr>
            <w:r w:rsidRPr="002812D5">
              <w:rPr>
                <w:rFonts w:ascii="Arial" w:hAnsi="Arial" w:cs="Arial"/>
                <w:sz w:val="22"/>
                <w:szCs w:val="22"/>
              </w:rPr>
              <w:t>Date Application for Administrative Amendment was Submitted:</w:t>
            </w:r>
          </w:p>
        </w:tc>
        <w:tc>
          <w:tcPr>
            <w:tcW w:w="5796" w:type="dxa"/>
          </w:tcPr>
          <w:p w14:paraId="41979C54" w14:textId="77777777" w:rsidR="00761D7F" w:rsidRPr="002812D5" w:rsidRDefault="00761D7F" w:rsidP="00BC61C8">
            <w:pPr>
              <w:rPr>
                <w:rFonts w:ascii="Arial" w:hAnsi="Arial" w:cs="Arial"/>
                <w:sz w:val="22"/>
                <w:szCs w:val="22"/>
              </w:rPr>
            </w:pPr>
            <w:bookmarkStart w:id="28" w:name="Rule216_Ap_Date1"/>
            <w:r w:rsidRPr="002812D5">
              <w:rPr>
                <w:rFonts w:ascii="Arial" w:hAnsi="Arial" w:cs="Arial"/>
                <w:noProof/>
                <w:sz w:val="22"/>
                <w:szCs w:val="22"/>
              </w:rPr>
              <w:t>November 20,2022</w:t>
            </w:r>
            <w:bookmarkEnd w:id="28"/>
          </w:p>
        </w:tc>
      </w:tr>
    </w:tbl>
    <w:p w14:paraId="0E66C721" w14:textId="77777777" w:rsidR="00761D7F" w:rsidRPr="002812D5" w:rsidRDefault="00761D7F" w:rsidP="00761D7F">
      <w:pPr>
        <w:rPr>
          <w:rFonts w:ascii="Arial" w:hAnsi="Arial" w:cs="Arial"/>
          <w:sz w:val="22"/>
          <w:szCs w:val="22"/>
        </w:rPr>
      </w:pPr>
    </w:p>
    <w:p w14:paraId="17F1E5AD" w14:textId="77777777" w:rsidR="00761D7F" w:rsidRPr="00CA06E7" w:rsidRDefault="00761D7F" w:rsidP="00761D7F">
      <w:pPr>
        <w:rPr>
          <w:rFonts w:ascii="Arial" w:hAnsi="Arial" w:cs="Arial"/>
          <w:b/>
          <w:sz w:val="22"/>
          <w:szCs w:val="22"/>
          <w:u w:val="single"/>
        </w:rPr>
      </w:pPr>
      <w:r w:rsidRPr="00CA06E7">
        <w:rPr>
          <w:rFonts w:ascii="Arial" w:hAnsi="Arial" w:cs="Arial"/>
          <w:b/>
          <w:sz w:val="22"/>
          <w:szCs w:val="22"/>
          <w:u w:val="single"/>
        </w:rPr>
        <w:t>Regulatory Analysis</w:t>
      </w:r>
    </w:p>
    <w:p w14:paraId="3604E987" w14:textId="77777777" w:rsidR="00761D7F" w:rsidRPr="00CA06E7" w:rsidRDefault="00761D7F" w:rsidP="00761D7F">
      <w:pPr>
        <w:rPr>
          <w:rFonts w:ascii="Arial" w:hAnsi="Arial" w:cs="Arial"/>
          <w:sz w:val="22"/>
          <w:szCs w:val="22"/>
        </w:rPr>
      </w:pPr>
    </w:p>
    <w:p w14:paraId="757FA50D" w14:textId="77777777" w:rsidR="00761D7F" w:rsidRPr="002812D5" w:rsidRDefault="00761D7F" w:rsidP="00761D7F">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Pr="002812D5">
        <w:rPr>
          <w:rFonts w:ascii="Arial" w:hAnsi="Arial" w:cs="Arial"/>
          <w:sz w:val="22"/>
          <w:szCs w:val="22"/>
        </w:rPr>
        <w:t>Rule 216(1)(a)(iv).</w:t>
      </w:r>
    </w:p>
    <w:p w14:paraId="3CEBC8BA" w14:textId="77777777" w:rsidR="00761D7F" w:rsidRPr="00CA06E7" w:rsidRDefault="00761D7F" w:rsidP="00761D7F">
      <w:pPr>
        <w:rPr>
          <w:rFonts w:ascii="Arial" w:hAnsi="Arial" w:cs="Arial"/>
          <w:b/>
          <w:sz w:val="22"/>
          <w:szCs w:val="22"/>
        </w:rPr>
      </w:pPr>
    </w:p>
    <w:p w14:paraId="3C805BB7" w14:textId="77777777" w:rsidR="00761D7F" w:rsidRPr="00CA06E7" w:rsidRDefault="00761D7F" w:rsidP="00761D7F">
      <w:pPr>
        <w:rPr>
          <w:rFonts w:ascii="Arial" w:hAnsi="Arial" w:cs="Arial"/>
          <w:b/>
          <w:sz w:val="22"/>
          <w:szCs w:val="22"/>
          <w:u w:val="single"/>
        </w:rPr>
      </w:pPr>
      <w:bookmarkStart w:id="29" w:name="_Toc482691146"/>
      <w:r w:rsidRPr="00CA06E7">
        <w:rPr>
          <w:rFonts w:ascii="Arial" w:hAnsi="Arial" w:cs="Arial"/>
          <w:b/>
          <w:sz w:val="22"/>
          <w:szCs w:val="22"/>
          <w:u w:val="single"/>
        </w:rPr>
        <w:t>Description of Changes to the ROP</w:t>
      </w:r>
      <w:bookmarkEnd w:id="29"/>
    </w:p>
    <w:p w14:paraId="234B54A6" w14:textId="77777777" w:rsidR="00761D7F" w:rsidRPr="0043448C" w:rsidRDefault="00761D7F" w:rsidP="00761D7F">
      <w:pPr>
        <w:rPr>
          <w:rFonts w:ascii="Arial" w:hAnsi="Arial" w:cs="Arial"/>
          <w:sz w:val="22"/>
          <w:szCs w:val="22"/>
        </w:rPr>
      </w:pPr>
    </w:p>
    <w:p w14:paraId="1BFB1DA1" w14:textId="734DC298" w:rsidR="00761D7F" w:rsidRPr="0043448C" w:rsidRDefault="00761D7F" w:rsidP="00761D7F">
      <w:pPr>
        <w:jc w:val="both"/>
        <w:rPr>
          <w:rFonts w:ascii="Arial" w:hAnsi="Arial" w:cs="Arial"/>
          <w:sz w:val="22"/>
          <w:szCs w:val="22"/>
        </w:rPr>
      </w:pPr>
      <w:bookmarkStart w:id="30" w:name="Text14"/>
      <w:r w:rsidRPr="0043448C">
        <w:rPr>
          <w:rFonts w:ascii="Arial" w:hAnsi="Arial" w:cs="Arial"/>
          <w:noProof/>
          <w:sz w:val="22"/>
          <w:szCs w:val="22"/>
        </w:rPr>
        <w:t>This Administrative Amendment was for a transfer of ownership from Meridian Brick LLC - Michigan Plant to General Shale Brick, Inc</w:t>
      </w:r>
      <w:r w:rsidR="002812D5" w:rsidRPr="0043448C">
        <w:rPr>
          <w:rFonts w:ascii="Arial" w:hAnsi="Arial" w:cs="Arial"/>
          <w:noProof/>
          <w:sz w:val="22"/>
          <w:szCs w:val="22"/>
        </w:rPr>
        <w:t>.</w:t>
      </w:r>
      <w:r w:rsidRPr="0043448C">
        <w:rPr>
          <w:rFonts w:ascii="Arial" w:hAnsi="Arial" w:cs="Arial"/>
          <w:noProof/>
          <w:sz w:val="22"/>
          <w:szCs w:val="22"/>
        </w:rPr>
        <w:t xml:space="preserve"> - Michigan Plant. </w:t>
      </w:r>
      <w:r w:rsidR="002812D5" w:rsidRPr="0043448C">
        <w:rPr>
          <w:rFonts w:ascii="Arial" w:hAnsi="Arial" w:cs="Arial"/>
          <w:noProof/>
          <w:sz w:val="22"/>
          <w:szCs w:val="22"/>
        </w:rPr>
        <w:t xml:space="preserve"> </w:t>
      </w:r>
      <w:r w:rsidRPr="0043448C">
        <w:rPr>
          <w:rFonts w:ascii="Arial" w:hAnsi="Arial" w:cs="Arial"/>
          <w:noProof/>
          <w:sz w:val="22"/>
          <w:szCs w:val="22"/>
        </w:rPr>
        <w:t>The name on the ROP and Staff Report have been changed from "Meridian Brick LLC - Michigan Plant" to "General Shale Brick, Inc. (Plant 66) - DBA Michigan Brick</w:t>
      </w:r>
      <w:r w:rsidR="0043448C" w:rsidRPr="0043448C">
        <w:rPr>
          <w:rFonts w:ascii="Arial" w:hAnsi="Arial" w:cs="Arial"/>
          <w:noProof/>
          <w:sz w:val="22"/>
          <w:szCs w:val="22"/>
        </w:rPr>
        <w:t>.</w:t>
      </w:r>
      <w:r w:rsidRPr="0043448C">
        <w:rPr>
          <w:rFonts w:ascii="Arial" w:hAnsi="Arial" w:cs="Arial"/>
          <w:noProof/>
          <w:sz w:val="22"/>
          <w:szCs w:val="22"/>
        </w:rPr>
        <w:t>"</w:t>
      </w:r>
      <w:bookmarkEnd w:id="30"/>
    </w:p>
    <w:p w14:paraId="0BAC5B3F" w14:textId="77777777" w:rsidR="00761D7F" w:rsidRPr="0043448C" w:rsidRDefault="00761D7F" w:rsidP="00761D7F">
      <w:pPr>
        <w:rPr>
          <w:rFonts w:ascii="Arial" w:hAnsi="Arial" w:cs="Arial"/>
          <w:sz w:val="22"/>
          <w:szCs w:val="22"/>
        </w:rPr>
      </w:pPr>
    </w:p>
    <w:p w14:paraId="6E352460" w14:textId="77777777" w:rsidR="00761D7F" w:rsidRPr="00CA06E7" w:rsidRDefault="00761D7F" w:rsidP="00761D7F">
      <w:pPr>
        <w:rPr>
          <w:rFonts w:ascii="Arial" w:hAnsi="Arial" w:cs="Arial"/>
          <w:b/>
          <w:sz w:val="22"/>
          <w:szCs w:val="22"/>
          <w:u w:val="single"/>
        </w:rPr>
      </w:pPr>
      <w:r w:rsidRPr="00CA06E7">
        <w:rPr>
          <w:rFonts w:ascii="Arial" w:hAnsi="Arial" w:cs="Arial"/>
          <w:b/>
          <w:sz w:val="22"/>
          <w:szCs w:val="22"/>
          <w:u w:val="single"/>
        </w:rPr>
        <w:t>Compliance Status</w:t>
      </w:r>
    </w:p>
    <w:p w14:paraId="07C16253" w14:textId="77777777" w:rsidR="00761D7F" w:rsidRPr="00CA06E7" w:rsidRDefault="00761D7F" w:rsidP="00761D7F">
      <w:pPr>
        <w:rPr>
          <w:rFonts w:ascii="Arial" w:hAnsi="Arial" w:cs="Arial"/>
          <w:sz w:val="22"/>
          <w:szCs w:val="22"/>
        </w:rPr>
      </w:pPr>
    </w:p>
    <w:p w14:paraId="20E5CFEA" w14:textId="77777777" w:rsidR="00761D7F" w:rsidRPr="00CA06E7" w:rsidRDefault="00761D7F" w:rsidP="00761D7F">
      <w:pPr>
        <w:jc w:val="both"/>
        <w:rPr>
          <w:rFonts w:ascii="Arial" w:hAnsi="Arial" w:cs="Arial"/>
          <w:sz w:val="22"/>
          <w:szCs w:val="22"/>
        </w:rPr>
      </w:pPr>
      <w:r w:rsidRPr="00CA06E7">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2B65FB9B" w14:textId="77777777" w:rsidR="00761D7F" w:rsidRPr="00CA06E7" w:rsidRDefault="00761D7F" w:rsidP="00761D7F">
      <w:pPr>
        <w:jc w:val="both"/>
        <w:rPr>
          <w:rFonts w:ascii="Arial" w:hAnsi="Arial" w:cs="Arial"/>
          <w:sz w:val="22"/>
          <w:szCs w:val="22"/>
        </w:rPr>
      </w:pPr>
    </w:p>
    <w:p w14:paraId="02723A9C" w14:textId="77777777" w:rsidR="00761D7F" w:rsidRPr="00CA06E7" w:rsidRDefault="00761D7F" w:rsidP="00761D7F">
      <w:pPr>
        <w:rPr>
          <w:rFonts w:ascii="Arial" w:hAnsi="Arial" w:cs="Arial"/>
          <w:b/>
          <w:sz w:val="22"/>
          <w:szCs w:val="22"/>
          <w:u w:val="single"/>
        </w:rPr>
      </w:pPr>
      <w:r w:rsidRPr="00CA06E7">
        <w:rPr>
          <w:rFonts w:ascii="Arial" w:hAnsi="Arial" w:cs="Arial"/>
          <w:b/>
          <w:sz w:val="22"/>
          <w:szCs w:val="22"/>
          <w:u w:val="single"/>
        </w:rPr>
        <w:t xml:space="preserve">Action Taken by </w:t>
      </w:r>
      <w:r>
        <w:rPr>
          <w:rFonts w:ascii="Arial" w:hAnsi="Arial" w:cs="Arial"/>
          <w:b/>
          <w:sz w:val="22"/>
          <w:szCs w:val="22"/>
          <w:u w:val="single"/>
        </w:rPr>
        <w:t>EGLE</w:t>
      </w:r>
    </w:p>
    <w:p w14:paraId="733F2938" w14:textId="77777777" w:rsidR="00761D7F" w:rsidRPr="00CA06E7" w:rsidRDefault="00761D7F" w:rsidP="00761D7F">
      <w:pPr>
        <w:rPr>
          <w:rFonts w:ascii="Arial" w:hAnsi="Arial" w:cs="Arial"/>
          <w:sz w:val="22"/>
          <w:szCs w:val="22"/>
        </w:rPr>
      </w:pPr>
    </w:p>
    <w:p w14:paraId="591D2C2D" w14:textId="6C1414D4" w:rsidR="00761D7F" w:rsidRPr="00CA06E7" w:rsidRDefault="00761D7F" w:rsidP="00761D7F">
      <w:pPr>
        <w:jc w:val="both"/>
        <w:rPr>
          <w:rFonts w:ascii="Arial" w:hAnsi="Arial" w:cs="Arial"/>
          <w:sz w:val="22"/>
          <w:szCs w:val="22"/>
        </w:rPr>
      </w:pPr>
      <w:r w:rsidRPr="00CA06E7">
        <w:rPr>
          <w:rFonts w:ascii="Arial" w:hAnsi="Arial" w:cs="Arial"/>
          <w:sz w:val="22"/>
          <w:szCs w:val="22"/>
        </w:rPr>
        <w:t xml:space="preserve">The AQD approved an Administrative Amendment to ROP No. </w:t>
      </w:r>
      <w:r w:rsidRPr="0043448C">
        <w:rPr>
          <w:rFonts w:ascii="Arial" w:hAnsi="Arial" w:cs="Arial"/>
          <w:noProof/>
          <w:sz w:val="22"/>
          <w:szCs w:val="22"/>
        </w:rPr>
        <w:t>MI-ROP-</w:t>
      </w:r>
      <w:r w:rsidR="00B92FEC" w:rsidRPr="0043448C">
        <w:rPr>
          <w:rFonts w:ascii="Arial" w:hAnsi="Arial"/>
          <w:sz w:val="22"/>
          <w:szCs w:val="22"/>
        </w:rPr>
        <w:t>A6497</w:t>
      </w:r>
      <w:r w:rsidRPr="0043448C">
        <w:rPr>
          <w:rFonts w:ascii="Arial" w:hAnsi="Arial" w:cs="Arial"/>
          <w:noProof/>
          <w:sz w:val="22"/>
          <w:szCs w:val="22"/>
        </w:rPr>
        <w:t>-2022</w:t>
      </w:r>
      <w:r w:rsidRPr="0043448C">
        <w:rPr>
          <w:rFonts w:ascii="Arial" w:hAnsi="Arial" w:cs="Arial"/>
          <w:sz w:val="22"/>
          <w:szCs w:val="22"/>
        </w:rPr>
        <w:t xml:space="preserve">, </w:t>
      </w:r>
      <w:r w:rsidRPr="00CA06E7">
        <w:rPr>
          <w:rFonts w:ascii="Arial" w:hAnsi="Arial" w:cs="Arial"/>
          <w:sz w:val="22"/>
          <w:szCs w:val="22"/>
        </w:rPr>
        <w:t>as requested by the stationary source.  The delegated decision maker for the AQD is the District Supervisor.</w:t>
      </w:r>
    </w:p>
    <w:p w14:paraId="55E024B3" w14:textId="77777777" w:rsidR="00DC3084" w:rsidRDefault="00DC3084">
      <w:pPr>
        <w:rPr>
          <w:rFonts w:ascii="Arial" w:hAnsi="Arial"/>
          <w:b/>
          <w:sz w:val="22"/>
        </w:rPr>
      </w:pPr>
    </w:p>
    <w:sectPr w:rsidR="00DC308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9A45" w14:textId="77777777" w:rsidR="00914466" w:rsidRDefault="00914466">
      <w:r>
        <w:separator/>
      </w:r>
    </w:p>
  </w:endnote>
  <w:endnote w:type="continuationSeparator" w:id="0">
    <w:p w14:paraId="6ABA1C70" w14:textId="77777777" w:rsidR="00914466" w:rsidRDefault="0091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31F"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182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64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4BFC9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213B" w14:textId="77777777" w:rsidR="00914466" w:rsidRDefault="00914466">
      <w:r>
        <w:separator/>
      </w:r>
    </w:p>
  </w:footnote>
  <w:footnote w:type="continuationSeparator" w:id="0">
    <w:p w14:paraId="4C9E0072" w14:textId="77777777" w:rsidR="00914466" w:rsidRDefault="0091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14B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02E7"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E3B3"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16330"/>
    <w:multiLevelType w:val="hybridMultilevel"/>
    <w:tmpl w:val="1CEC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1466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9473966">
    <w:abstractNumId w:val="1"/>
  </w:num>
  <w:num w:numId="3" w16cid:durableId="2090036553">
    <w:abstractNumId w:val="3"/>
  </w:num>
  <w:num w:numId="4" w16cid:durableId="2089844515">
    <w:abstractNumId w:val="8"/>
  </w:num>
  <w:num w:numId="5" w16cid:durableId="2006320433">
    <w:abstractNumId w:val="5"/>
  </w:num>
  <w:num w:numId="6" w16cid:durableId="1052732581">
    <w:abstractNumId w:val="6"/>
  </w:num>
  <w:num w:numId="7" w16cid:durableId="938416311">
    <w:abstractNumId w:val="10"/>
  </w:num>
  <w:num w:numId="8" w16cid:durableId="719213761">
    <w:abstractNumId w:val="7"/>
  </w:num>
  <w:num w:numId="9" w16cid:durableId="558052505">
    <w:abstractNumId w:val="11"/>
  </w:num>
  <w:num w:numId="10" w16cid:durableId="814569720">
    <w:abstractNumId w:val="12"/>
  </w:num>
  <w:num w:numId="11" w16cid:durableId="899904708">
    <w:abstractNumId w:val="2"/>
  </w:num>
  <w:num w:numId="12" w16cid:durableId="1373962649">
    <w:abstractNumId w:val="4"/>
  </w:num>
  <w:num w:numId="13" w16cid:durableId="225990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00071F"/>
    <w:rsid w:val="00002399"/>
    <w:rsid w:val="0000357D"/>
    <w:rsid w:val="00003880"/>
    <w:rsid w:val="00006751"/>
    <w:rsid w:val="00006A34"/>
    <w:rsid w:val="00010B28"/>
    <w:rsid w:val="0001165D"/>
    <w:rsid w:val="000135AB"/>
    <w:rsid w:val="00013B2D"/>
    <w:rsid w:val="0001414F"/>
    <w:rsid w:val="00015B63"/>
    <w:rsid w:val="00015BCA"/>
    <w:rsid w:val="00015E48"/>
    <w:rsid w:val="00016147"/>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5E4"/>
    <w:rsid w:val="00057978"/>
    <w:rsid w:val="00060FD0"/>
    <w:rsid w:val="0006352F"/>
    <w:rsid w:val="00064B51"/>
    <w:rsid w:val="00070B20"/>
    <w:rsid w:val="00082A06"/>
    <w:rsid w:val="00083979"/>
    <w:rsid w:val="00086493"/>
    <w:rsid w:val="000901C4"/>
    <w:rsid w:val="0009079D"/>
    <w:rsid w:val="0009302A"/>
    <w:rsid w:val="00097642"/>
    <w:rsid w:val="000A3504"/>
    <w:rsid w:val="000A463D"/>
    <w:rsid w:val="000B2A4E"/>
    <w:rsid w:val="000B39F7"/>
    <w:rsid w:val="000B5FA0"/>
    <w:rsid w:val="000B78C9"/>
    <w:rsid w:val="000C1E62"/>
    <w:rsid w:val="000C2478"/>
    <w:rsid w:val="000C35CB"/>
    <w:rsid w:val="000C4F65"/>
    <w:rsid w:val="000C6F59"/>
    <w:rsid w:val="000C7F27"/>
    <w:rsid w:val="000D2DDD"/>
    <w:rsid w:val="000D6F52"/>
    <w:rsid w:val="000E1BBC"/>
    <w:rsid w:val="000E2E60"/>
    <w:rsid w:val="000E43A8"/>
    <w:rsid w:val="000E73AD"/>
    <w:rsid w:val="000E781D"/>
    <w:rsid w:val="000E7AED"/>
    <w:rsid w:val="000F32F4"/>
    <w:rsid w:val="000F73C3"/>
    <w:rsid w:val="001002E3"/>
    <w:rsid w:val="00100562"/>
    <w:rsid w:val="0010219F"/>
    <w:rsid w:val="00102B51"/>
    <w:rsid w:val="0010361E"/>
    <w:rsid w:val="00106314"/>
    <w:rsid w:val="001111DD"/>
    <w:rsid w:val="00111DE5"/>
    <w:rsid w:val="00113B82"/>
    <w:rsid w:val="00114F58"/>
    <w:rsid w:val="001159B4"/>
    <w:rsid w:val="00115DF5"/>
    <w:rsid w:val="00123005"/>
    <w:rsid w:val="0012305E"/>
    <w:rsid w:val="001269C0"/>
    <w:rsid w:val="001301E9"/>
    <w:rsid w:val="0013123A"/>
    <w:rsid w:val="001331D8"/>
    <w:rsid w:val="00135426"/>
    <w:rsid w:val="00137218"/>
    <w:rsid w:val="001429D1"/>
    <w:rsid w:val="00142DA1"/>
    <w:rsid w:val="00142E85"/>
    <w:rsid w:val="00145093"/>
    <w:rsid w:val="0014659D"/>
    <w:rsid w:val="001466BD"/>
    <w:rsid w:val="001466CA"/>
    <w:rsid w:val="001473BF"/>
    <w:rsid w:val="00150784"/>
    <w:rsid w:val="001528FB"/>
    <w:rsid w:val="00153D66"/>
    <w:rsid w:val="00154568"/>
    <w:rsid w:val="00161412"/>
    <w:rsid w:val="00161D0E"/>
    <w:rsid w:val="001647D7"/>
    <w:rsid w:val="0016540F"/>
    <w:rsid w:val="0016574C"/>
    <w:rsid w:val="00167B85"/>
    <w:rsid w:val="00172178"/>
    <w:rsid w:val="001723A8"/>
    <w:rsid w:val="00172BD9"/>
    <w:rsid w:val="00175DF5"/>
    <w:rsid w:val="00177285"/>
    <w:rsid w:val="001801BE"/>
    <w:rsid w:val="00182993"/>
    <w:rsid w:val="00185993"/>
    <w:rsid w:val="001900AD"/>
    <w:rsid w:val="00191106"/>
    <w:rsid w:val="00191121"/>
    <w:rsid w:val="00194F92"/>
    <w:rsid w:val="00196B29"/>
    <w:rsid w:val="001A0A00"/>
    <w:rsid w:val="001A21E9"/>
    <w:rsid w:val="001A6D8D"/>
    <w:rsid w:val="001B4EAB"/>
    <w:rsid w:val="001B5B85"/>
    <w:rsid w:val="001B5D76"/>
    <w:rsid w:val="001B634B"/>
    <w:rsid w:val="001C1687"/>
    <w:rsid w:val="001C45A8"/>
    <w:rsid w:val="001D0502"/>
    <w:rsid w:val="001D0646"/>
    <w:rsid w:val="001D6B5F"/>
    <w:rsid w:val="001D7607"/>
    <w:rsid w:val="001E35CF"/>
    <w:rsid w:val="001E3D60"/>
    <w:rsid w:val="001E6273"/>
    <w:rsid w:val="001F1448"/>
    <w:rsid w:val="001F287A"/>
    <w:rsid w:val="001F2F32"/>
    <w:rsid w:val="001F3B26"/>
    <w:rsid w:val="001F3BCE"/>
    <w:rsid w:val="001F70BB"/>
    <w:rsid w:val="001F742A"/>
    <w:rsid w:val="001F7B43"/>
    <w:rsid w:val="00201CC7"/>
    <w:rsid w:val="00202045"/>
    <w:rsid w:val="0020224E"/>
    <w:rsid w:val="00203061"/>
    <w:rsid w:val="00203E24"/>
    <w:rsid w:val="00204A58"/>
    <w:rsid w:val="002065AF"/>
    <w:rsid w:val="002070FA"/>
    <w:rsid w:val="00207271"/>
    <w:rsid w:val="002179E7"/>
    <w:rsid w:val="00222544"/>
    <w:rsid w:val="002229BE"/>
    <w:rsid w:val="00226144"/>
    <w:rsid w:val="00226B87"/>
    <w:rsid w:val="00226BBE"/>
    <w:rsid w:val="0022752F"/>
    <w:rsid w:val="002315E7"/>
    <w:rsid w:val="00231A25"/>
    <w:rsid w:val="0023247F"/>
    <w:rsid w:val="00237F04"/>
    <w:rsid w:val="00240431"/>
    <w:rsid w:val="00243979"/>
    <w:rsid w:val="0024506D"/>
    <w:rsid w:val="002477C2"/>
    <w:rsid w:val="00250171"/>
    <w:rsid w:val="00251166"/>
    <w:rsid w:val="0025199F"/>
    <w:rsid w:val="002519D9"/>
    <w:rsid w:val="00252680"/>
    <w:rsid w:val="00255CD6"/>
    <w:rsid w:val="00255E2E"/>
    <w:rsid w:val="00257D28"/>
    <w:rsid w:val="00262557"/>
    <w:rsid w:val="00262A6B"/>
    <w:rsid w:val="002728F4"/>
    <w:rsid w:val="00273E90"/>
    <w:rsid w:val="002744B8"/>
    <w:rsid w:val="002745BB"/>
    <w:rsid w:val="00280A1C"/>
    <w:rsid w:val="002812D5"/>
    <w:rsid w:val="00283DF7"/>
    <w:rsid w:val="00284660"/>
    <w:rsid w:val="002903A5"/>
    <w:rsid w:val="00290754"/>
    <w:rsid w:val="002910E1"/>
    <w:rsid w:val="002920A4"/>
    <w:rsid w:val="00295FBF"/>
    <w:rsid w:val="002961E7"/>
    <w:rsid w:val="002A2CD3"/>
    <w:rsid w:val="002A418D"/>
    <w:rsid w:val="002A48ED"/>
    <w:rsid w:val="002A4D61"/>
    <w:rsid w:val="002A55C8"/>
    <w:rsid w:val="002A5B17"/>
    <w:rsid w:val="002B074D"/>
    <w:rsid w:val="002B092A"/>
    <w:rsid w:val="002B11E3"/>
    <w:rsid w:val="002B2C2C"/>
    <w:rsid w:val="002B4B0E"/>
    <w:rsid w:val="002B5D3B"/>
    <w:rsid w:val="002B7F84"/>
    <w:rsid w:val="002C0333"/>
    <w:rsid w:val="002C52A0"/>
    <w:rsid w:val="002C5D44"/>
    <w:rsid w:val="002C5D5E"/>
    <w:rsid w:val="002C652F"/>
    <w:rsid w:val="002D06FC"/>
    <w:rsid w:val="002D097F"/>
    <w:rsid w:val="002D10C6"/>
    <w:rsid w:val="002D148E"/>
    <w:rsid w:val="002D3017"/>
    <w:rsid w:val="002D6ACE"/>
    <w:rsid w:val="002E0E12"/>
    <w:rsid w:val="002E368F"/>
    <w:rsid w:val="002F0CC3"/>
    <w:rsid w:val="002F13C4"/>
    <w:rsid w:val="002F1D39"/>
    <w:rsid w:val="002F5B86"/>
    <w:rsid w:val="00300D63"/>
    <w:rsid w:val="003023FC"/>
    <w:rsid w:val="00302FA1"/>
    <w:rsid w:val="00303D68"/>
    <w:rsid w:val="0030434B"/>
    <w:rsid w:val="003049AC"/>
    <w:rsid w:val="003061C0"/>
    <w:rsid w:val="00306FD5"/>
    <w:rsid w:val="00310006"/>
    <w:rsid w:val="0031080C"/>
    <w:rsid w:val="00316B1C"/>
    <w:rsid w:val="003173E8"/>
    <w:rsid w:val="00333AE9"/>
    <w:rsid w:val="00335641"/>
    <w:rsid w:val="00337750"/>
    <w:rsid w:val="00340A3A"/>
    <w:rsid w:val="00340C1D"/>
    <w:rsid w:val="0034464E"/>
    <w:rsid w:val="00345D9F"/>
    <w:rsid w:val="0034680F"/>
    <w:rsid w:val="00346E24"/>
    <w:rsid w:val="00347E5D"/>
    <w:rsid w:val="00350573"/>
    <w:rsid w:val="00351F7C"/>
    <w:rsid w:val="003533D0"/>
    <w:rsid w:val="00354260"/>
    <w:rsid w:val="00355F38"/>
    <w:rsid w:val="003600B9"/>
    <w:rsid w:val="00362B5A"/>
    <w:rsid w:val="00363292"/>
    <w:rsid w:val="003637D0"/>
    <w:rsid w:val="0036784E"/>
    <w:rsid w:val="00371521"/>
    <w:rsid w:val="0037164F"/>
    <w:rsid w:val="00372E82"/>
    <w:rsid w:val="00374042"/>
    <w:rsid w:val="003741D7"/>
    <w:rsid w:val="00376EC9"/>
    <w:rsid w:val="00376F31"/>
    <w:rsid w:val="00377200"/>
    <w:rsid w:val="00377850"/>
    <w:rsid w:val="00383482"/>
    <w:rsid w:val="00383DD1"/>
    <w:rsid w:val="00383E34"/>
    <w:rsid w:val="00385544"/>
    <w:rsid w:val="00386EFD"/>
    <w:rsid w:val="0038775E"/>
    <w:rsid w:val="00387A7B"/>
    <w:rsid w:val="00392731"/>
    <w:rsid w:val="003946CC"/>
    <w:rsid w:val="003950E9"/>
    <w:rsid w:val="0039520D"/>
    <w:rsid w:val="003955A4"/>
    <w:rsid w:val="003A0C78"/>
    <w:rsid w:val="003A1467"/>
    <w:rsid w:val="003A2108"/>
    <w:rsid w:val="003A4C60"/>
    <w:rsid w:val="003A75B8"/>
    <w:rsid w:val="003B36CE"/>
    <w:rsid w:val="003B3A3A"/>
    <w:rsid w:val="003B430D"/>
    <w:rsid w:val="003B5E83"/>
    <w:rsid w:val="003C14C6"/>
    <w:rsid w:val="003C2B59"/>
    <w:rsid w:val="003C4B9D"/>
    <w:rsid w:val="003D6336"/>
    <w:rsid w:val="003D6A01"/>
    <w:rsid w:val="003D6B07"/>
    <w:rsid w:val="003D6C8F"/>
    <w:rsid w:val="003E1953"/>
    <w:rsid w:val="003E3ECF"/>
    <w:rsid w:val="003E4D2C"/>
    <w:rsid w:val="003E54BC"/>
    <w:rsid w:val="003E6F49"/>
    <w:rsid w:val="003F08FC"/>
    <w:rsid w:val="003F16E7"/>
    <w:rsid w:val="003F18CA"/>
    <w:rsid w:val="003F318D"/>
    <w:rsid w:val="0040112A"/>
    <w:rsid w:val="00402D14"/>
    <w:rsid w:val="00403632"/>
    <w:rsid w:val="004039E8"/>
    <w:rsid w:val="00411971"/>
    <w:rsid w:val="004127B6"/>
    <w:rsid w:val="0042481A"/>
    <w:rsid w:val="00425C80"/>
    <w:rsid w:val="004266E1"/>
    <w:rsid w:val="0043034F"/>
    <w:rsid w:val="00433BF1"/>
    <w:rsid w:val="00433C6D"/>
    <w:rsid w:val="0043448C"/>
    <w:rsid w:val="00436CA9"/>
    <w:rsid w:val="00441393"/>
    <w:rsid w:val="00443561"/>
    <w:rsid w:val="00444D94"/>
    <w:rsid w:val="00444F0F"/>
    <w:rsid w:val="004454BE"/>
    <w:rsid w:val="00445883"/>
    <w:rsid w:val="00451C04"/>
    <w:rsid w:val="004541F4"/>
    <w:rsid w:val="00455F45"/>
    <w:rsid w:val="004577DE"/>
    <w:rsid w:val="004628A4"/>
    <w:rsid w:val="00462EF7"/>
    <w:rsid w:val="004670B5"/>
    <w:rsid w:val="00470765"/>
    <w:rsid w:val="00474ADF"/>
    <w:rsid w:val="00474C32"/>
    <w:rsid w:val="004759EA"/>
    <w:rsid w:val="00475BD8"/>
    <w:rsid w:val="00477C93"/>
    <w:rsid w:val="00481F2F"/>
    <w:rsid w:val="0048277E"/>
    <w:rsid w:val="00482E94"/>
    <w:rsid w:val="00485373"/>
    <w:rsid w:val="00485F9B"/>
    <w:rsid w:val="004864C0"/>
    <w:rsid w:val="0049047E"/>
    <w:rsid w:val="00491EF2"/>
    <w:rsid w:val="0049200A"/>
    <w:rsid w:val="00493484"/>
    <w:rsid w:val="004948C1"/>
    <w:rsid w:val="004A6FD2"/>
    <w:rsid w:val="004B24F9"/>
    <w:rsid w:val="004B2A6F"/>
    <w:rsid w:val="004B3242"/>
    <w:rsid w:val="004B44A9"/>
    <w:rsid w:val="004B4D8B"/>
    <w:rsid w:val="004B6B17"/>
    <w:rsid w:val="004C39E7"/>
    <w:rsid w:val="004C46DF"/>
    <w:rsid w:val="004C48F7"/>
    <w:rsid w:val="004C51C5"/>
    <w:rsid w:val="004C5A6B"/>
    <w:rsid w:val="004C7125"/>
    <w:rsid w:val="004C78FD"/>
    <w:rsid w:val="004D18A5"/>
    <w:rsid w:val="004D1F5F"/>
    <w:rsid w:val="004D323C"/>
    <w:rsid w:val="004D4B7D"/>
    <w:rsid w:val="004D5012"/>
    <w:rsid w:val="004D618F"/>
    <w:rsid w:val="004D7ACD"/>
    <w:rsid w:val="004E0003"/>
    <w:rsid w:val="004E13FD"/>
    <w:rsid w:val="004E3413"/>
    <w:rsid w:val="004E713D"/>
    <w:rsid w:val="004F0976"/>
    <w:rsid w:val="004F1389"/>
    <w:rsid w:val="004F15A2"/>
    <w:rsid w:val="004F283B"/>
    <w:rsid w:val="004F2DF2"/>
    <w:rsid w:val="004F6C98"/>
    <w:rsid w:val="004F7C06"/>
    <w:rsid w:val="00500E48"/>
    <w:rsid w:val="00502068"/>
    <w:rsid w:val="0050260F"/>
    <w:rsid w:val="00506F9E"/>
    <w:rsid w:val="0050744F"/>
    <w:rsid w:val="005122AD"/>
    <w:rsid w:val="005204BA"/>
    <w:rsid w:val="005224A0"/>
    <w:rsid w:val="00532985"/>
    <w:rsid w:val="0053606A"/>
    <w:rsid w:val="00537997"/>
    <w:rsid w:val="0054081F"/>
    <w:rsid w:val="005426C1"/>
    <w:rsid w:val="00543DF8"/>
    <w:rsid w:val="005451BC"/>
    <w:rsid w:val="0055232C"/>
    <w:rsid w:val="0055244E"/>
    <w:rsid w:val="005553AB"/>
    <w:rsid w:val="0055687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1AB3"/>
    <w:rsid w:val="005A222E"/>
    <w:rsid w:val="005A3642"/>
    <w:rsid w:val="005A5063"/>
    <w:rsid w:val="005A6987"/>
    <w:rsid w:val="005A6EA0"/>
    <w:rsid w:val="005B08A1"/>
    <w:rsid w:val="005B162E"/>
    <w:rsid w:val="005B3B35"/>
    <w:rsid w:val="005B4FCA"/>
    <w:rsid w:val="005B7C1C"/>
    <w:rsid w:val="005C4415"/>
    <w:rsid w:val="005C6DFC"/>
    <w:rsid w:val="005C79D1"/>
    <w:rsid w:val="005D0722"/>
    <w:rsid w:val="005D3DDD"/>
    <w:rsid w:val="005D47A9"/>
    <w:rsid w:val="005E2621"/>
    <w:rsid w:val="005E288A"/>
    <w:rsid w:val="005E485F"/>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201E"/>
    <w:rsid w:val="006335CA"/>
    <w:rsid w:val="00633724"/>
    <w:rsid w:val="00635F0E"/>
    <w:rsid w:val="006414DE"/>
    <w:rsid w:val="00643E45"/>
    <w:rsid w:val="00643FF9"/>
    <w:rsid w:val="00644884"/>
    <w:rsid w:val="00644FAC"/>
    <w:rsid w:val="006461E5"/>
    <w:rsid w:val="00647809"/>
    <w:rsid w:val="00651564"/>
    <w:rsid w:val="00651709"/>
    <w:rsid w:val="00651F0D"/>
    <w:rsid w:val="00654F9E"/>
    <w:rsid w:val="006552A6"/>
    <w:rsid w:val="00655AFA"/>
    <w:rsid w:val="00656000"/>
    <w:rsid w:val="00656E14"/>
    <w:rsid w:val="00657A60"/>
    <w:rsid w:val="00660CFE"/>
    <w:rsid w:val="00660FC2"/>
    <w:rsid w:val="00663230"/>
    <w:rsid w:val="00665986"/>
    <w:rsid w:val="00666157"/>
    <w:rsid w:val="00667959"/>
    <w:rsid w:val="00670DC2"/>
    <w:rsid w:val="00672218"/>
    <w:rsid w:val="00675B1A"/>
    <w:rsid w:val="00676680"/>
    <w:rsid w:val="00676CAB"/>
    <w:rsid w:val="00680643"/>
    <w:rsid w:val="006811DD"/>
    <w:rsid w:val="00683CEC"/>
    <w:rsid w:val="0068402B"/>
    <w:rsid w:val="006841A1"/>
    <w:rsid w:val="00684786"/>
    <w:rsid w:val="0068541F"/>
    <w:rsid w:val="00690FF9"/>
    <w:rsid w:val="006959CC"/>
    <w:rsid w:val="0069759E"/>
    <w:rsid w:val="006978FD"/>
    <w:rsid w:val="00697E2F"/>
    <w:rsid w:val="006A2CA7"/>
    <w:rsid w:val="006A43CB"/>
    <w:rsid w:val="006B24D8"/>
    <w:rsid w:val="006B4DBB"/>
    <w:rsid w:val="006B5B0B"/>
    <w:rsid w:val="006B7EC5"/>
    <w:rsid w:val="006C0886"/>
    <w:rsid w:val="006C5DF1"/>
    <w:rsid w:val="006C7488"/>
    <w:rsid w:val="006D57EE"/>
    <w:rsid w:val="006D59AE"/>
    <w:rsid w:val="006D7383"/>
    <w:rsid w:val="006D7684"/>
    <w:rsid w:val="006E04EE"/>
    <w:rsid w:val="006E3E47"/>
    <w:rsid w:val="006F1886"/>
    <w:rsid w:val="006F61D2"/>
    <w:rsid w:val="006F719A"/>
    <w:rsid w:val="00701F63"/>
    <w:rsid w:val="0070306D"/>
    <w:rsid w:val="00703588"/>
    <w:rsid w:val="00703F50"/>
    <w:rsid w:val="00710154"/>
    <w:rsid w:val="00710F06"/>
    <w:rsid w:val="007129B8"/>
    <w:rsid w:val="007140AB"/>
    <w:rsid w:val="00716DF1"/>
    <w:rsid w:val="007174AF"/>
    <w:rsid w:val="00720743"/>
    <w:rsid w:val="0072074B"/>
    <w:rsid w:val="00720E5F"/>
    <w:rsid w:val="007248FE"/>
    <w:rsid w:val="00726518"/>
    <w:rsid w:val="00735DA9"/>
    <w:rsid w:val="00736652"/>
    <w:rsid w:val="00740674"/>
    <w:rsid w:val="00742DEE"/>
    <w:rsid w:val="00743A66"/>
    <w:rsid w:val="00745E25"/>
    <w:rsid w:val="007460BC"/>
    <w:rsid w:val="0074639E"/>
    <w:rsid w:val="00746F0A"/>
    <w:rsid w:val="0075342F"/>
    <w:rsid w:val="00757FEB"/>
    <w:rsid w:val="00760484"/>
    <w:rsid w:val="00761D7F"/>
    <w:rsid w:val="00762A17"/>
    <w:rsid w:val="00770706"/>
    <w:rsid w:val="00770784"/>
    <w:rsid w:val="007737A7"/>
    <w:rsid w:val="00773C90"/>
    <w:rsid w:val="00777549"/>
    <w:rsid w:val="007805D9"/>
    <w:rsid w:val="00781399"/>
    <w:rsid w:val="00781A20"/>
    <w:rsid w:val="00785AEC"/>
    <w:rsid w:val="007870F6"/>
    <w:rsid w:val="0079109F"/>
    <w:rsid w:val="00795CB5"/>
    <w:rsid w:val="00795D6C"/>
    <w:rsid w:val="00796375"/>
    <w:rsid w:val="00796F90"/>
    <w:rsid w:val="007A0BE8"/>
    <w:rsid w:val="007A22BD"/>
    <w:rsid w:val="007A6504"/>
    <w:rsid w:val="007A77F1"/>
    <w:rsid w:val="007B199C"/>
    <w:rsid w:val="007B41C7"/>
    <w:rsid w:val="007B565A"/>
    <w:rsid w:val="007C0501"/>
    <w:rsid w:val="007C19FD"/>
    <w:rsid w:val="007C2B15"/>
    <w:rsid w:val="007C416D"/>
    <w:rsid w:val="007C66EE"/>
    <w:rsid w:val="007C7308"/>
    <w:rsid w:val="007C7D91"/>
    <w:rsid w:val="007D067F"/>
    <w:rsid w:val="007D09D9"/>
    <w:rsid w:val="007D3294"/>
    <w:rsid w:val="007D3B50"/>
    <w:rsid w:val="007D429F"/>
    <w:rsid w:val="007D4663"/>
    <w:rsid w:val="007D7915"/>
    <w:rsid w:val="007E09A0"/>
    <w:rsid w:val="007E0BD7"/>
    <w:rsid w:val="007E2987"/>
    <w:rsid w:val="007E39D1"/>
    <w:rsid w:val="007F2752"/>
    <w:rsid w:val="007F3C6F"/>
    <w:rsid w:val="007F3FBA"/>
    <w:rsid w:val="007F62B1"/>
    <w:rsid w:val="007F63D6"/>
    <w:rsid w:val="007F73D0"/>
    <w:rsid w:val="00800330"/>
    <w:rsid w:val="00805D25"/>
    <w:rsid w:val="008120EC"/>
    <w:rsid w:val="00813FB1"/>
    <w:rsid w:val="0082064B"/>
    <w:rsid w:val="0082476F"/>
    <w:rsid w:val="00827EF4"/>
    <w:rsid w:val="008317F4"/>
    <w:rsid w:val="00832626"/>
    <w:rsid w:val="00833053"/>
    <w:rsid w:val="008407D1"/>
    <w:rsid w:val="00840CB9"/>
    <w:rsid w:val="008418BB"/>
    <w:rsid w:val="008419E3"/>
    <w:rsid w:val="00844DE4"/>
    <w:rsid w:val="00846C89"/>
    <w:rsid w:val="0084712F"/>
    <w:rsid w:val="0084741D"/>
    <w:rsid w:val="0085138A"/>
    <w:rsid w:val="00852E57"/>
    <w:rsid w:val="008537FA"/>
    <w:rsid w:val="00853AF4"/>
    <w:rsid w:val="00854273"/>
    <w:rsid w:val="00854F8B"/>
    <w:rsid w:val="0085642C"/>
    <w:rsid w:val="00857B39"/>
    <w:rsid w:val="00861C6E"/>
    <w:rsid w:val="00862EC5"/>
    <w:rsid w:val="00863EC3"/>
    <w:rsid w:val="00863FDC"/>
    <w:rsid w:val="008677AC"/>
    <w:rsid w:val="00870AC1"/>
    <w:rsid w:val="00873B63"/>
    <w:rsid w:val="00874CB0"/>
    <w:rsid w:val="00875D1C"/>
    <w:rsid w:val="00875FB3"/>
    <w:rsid w:val="00876226"/>
    <w:rsid w:val="00876E17"/>
    <w:rsid w:val="00877770"/>
    <w:rsid w:val="00880972"/>
    <w:rsid w:val="0088138C"/>
    <w:rsid w:val="00882FFA"/>
    <w:rsid w:val="00884CC7"/>
    <w:rsid w:val="008902C9"/>
    <w:rsid w:val="008906DF"/>
    <w:rsid w:val="008929F9"/>
    <w:rsid w:val="0089312A"/>
    <w:rsid w:val="00893B36"/>
    <w:rsid w:val="00893BBA"/>
    <w:rsid w:val="00893F56"/>
    <w:rsid w:val="00895282"/>
    <w:rsid w:val="00897F90"/>
    <w:rsid w:val="008A0380"/>
    <w:rsid w:val="008A0FF1"/>
    <w:rsid w:val="008A1834"/>
    <w:rsid w:val="008A38F5"/>
    <w:rsid w:val="008B0AB4"/>
    <w:rsid w:val="008B1972"/>
    <w:rsid w:val="008B2440"/>
    <w:rsid w:val="008B41E5"/>
    <w:rsid w:val="008B70E2"/>
    <w:rsid w:val="008B7F9F"/>
    <w:rsid w:val="008C0B0C"/>
    <w:rsid w:val="008C0BEF"/>
    <w:rsid w:val="008C0EAF"/>
    <w:rsid w:val="008C3D85"/>
    <w:rsid w:val="008C63A7"/>
    <w:rsid w:val="008C70BB"/>
    <w:rsid w:val="008C73B2"/>
    <w:rsid w:val="008D0C75"/>
    <w:rsid w:val="008D30F9"/>
    <w:rsid w:val="008D382A"/>
    <w:rsid w:val="008D7CDB"/>
    <w:rsid w:val="008E1371"/>
    <w:rsid w:val="008E1AD6"/>
    <w:rsid w:val="008E5110"/>
    <w:rsid w:val="008E5C4C"/>
    <w:rsid w:val="008E5EC0"/>
    <w:rsid w:val="008E71A2"/>
    <w:rsid w:val="008F142A"/>
    <w:rsid w:val="008F61DC"/>
    <w:rsid w:val="008F69B6"/>
    <w:rsid w:val="0090224B"/>
    <w:rsid w:val="00903A1A"/>
    <w:rsid w:val="00905F9C"/>
    <w:rsid w:val="00906AE8"/>
    <w:rsid w:val="00906D69"/>
    <w:rsid w:val="009108A8"/>
    <w:rsid w:val="00910D69"/>
    <w:rsid w:val="00910FEA"/>
    <w:rsid w:val="00914466"/>
    <w:rsid w:val="009158BE"/>
    <w:rsid w:val="00923129"/>
    <w:rsid w:val="00923ADB"/>
    <w:rsid w:val="00923ED1"/>
    <w:rsid w:val="00935F15"/>
    <w:rsid w:val="0094046A"/>
    <w:rsid w:val="009406CD"/>
    <w:rsid w:val="00943279"/>
    <w:rsid w:val="00946B41"/>
    <w:rsid w:val="0095100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097"/>
    <w:rsid w:val="009819CF"/>
    <w:rsid w:val="00982658"/>
    <w:rsid w:val="00983014"/>
    <w:rsid w:val="009830F9"/>
    <w:rsid w:val="0098464A"/>
    <w:rsid w:val="00985FF1"/>
    <w:rsid w:val="009876A9"/>
    <w:rsid w:val="00991BCF"/>
    <w:rsid w:val="00991E9D"/>
    <w:rsid w:val="00991F5C"/>
    <w:rsid w:val="00993DE0"/>
    <w:rsid w:val="00995DE1"/>
    <w:rsid w:val="009970EC"/>
    <w:rsid w:val="009A000C"/>
    <w:rsid w:val="009A58E1"/>
    <w:rsid w:val="009A5F7D"/>
    <w:rsid w:val="009A6697"/>
    <w:rsid w:val="009A6835"/>
    <w:rsid w:val="009B2268"/>
    <w:rsid w:val="009B3617"/>
    <w:rsid w:val="009B4308"/>
    <w:rsid w:val="009B61FB"/>
    <w:rsid w:val="009C19C6"/>
    <w:rsid w:val="009C27E2"/>
    <w:rsid w:val="009C4E62"/>
    <w:rsid w:val="009C5CE5"/>
    <w:rsid w:val="009C76F1"/>
    <w:rsid w:val="009D0C37"/>
    <w:rsid w:val="009D4A1A"/>
    <w:rsid w:val="009D5EBC"/>
    <w:rsid w:val="009E10CB"/>
    <w:rsid w:val="009E2122"/>
    <w:rsid w:val="009E4796"/>
    <w:rsid w:val="009E5683"/>
    <w:rsid w:val="009F0909"/>
    <w:rsid w:val="009F584A"/>
    <w:rsid w:val="00A0363B"/>
    <w:rsid w:val="00A04B84"/>
    <w:rsid w:val="00A05E44"/>
    <w:rsid w:val="00A14AE7"/>
    <w:rsid w:val="00A15A87"/>
    <w:rsid w:val="00A16A4A"/>
    <w:rsid w:val="00A21F9D"/>
    <w:rsid w:val="00A27D2C"/>
    <w:rsid w:val="00A30B26"/>
    <w:rsid w:val="00A30B5F"/>
    <w:rsid w:val="00A320C2"/>
    <w:rsid w:val="00A35A5F"/>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950"/>
    <w:rsid w:val="00A711AB"/>
    <w:rsid w:val="00A72A9A"/>
    <w:rsid w:val="00A73320"/>
    <w:rsid w:val="00A7562C"/>
    <w:rsid w:val="00A757D5"/>
    <w:rsid w:val="00A75C83"/>
    <w:rsid w:val="00A8189C"/>
    <w:rsid w:val="00A82D08"/>
    <w:rsid w:val="00A85B58"/>
    <w:rsid w:val="00A8755E"/>
    <w:rsid w:val="00A94AEF"/>
    <w:rsid w:val="00A9700A"/>
    <w:rsid w:val="00AA0D6E"/>
    <w:rsid w:val="00AA184F"/>
    <w:rsid w:val="00AA4AB0"/>
    <w:rsid w:val="00AB1054"/>
    <w:rsid w:val="00AB1DA1"/>
    <w:rsid w:val="00AB4929"/>
    <w:rsid w:val="00AB5A05"/>
    <w:rsid w:val="00AC069D"/>
    <w:rsid w:val="00AC0D86"/>
    <w:rsid w:val="00AC4036"/>
    <w:rsid w:val="00AC4235"/>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7E75"/>
    <w:rsid w:val="00B008B3"/>
    <w:rsid w:val="00B03D3A"/>
    <w:rsid w:val="00B1547C"/>
    <w:rsid w:val="00B17134"/>
    <w:rsid w:val="00B17711"/>
    <w:rsid w:val="00B20017"/>
    <w:rsid w:val="00B20A6D"/>
    <w:rsid w:val="00B2681D"/>
    <w:rsid w:val="00B30263"/>
    <w:rsid w:val="00B3117B"/>
    <w:rsid w:val="00B333DF"/>
    <w:rsid w:val="00B336B9"/>
    <w:rsid w:val="00B3584F"/>
    <w:rsid w:val="00B37F1A"/>
    <w:rsid w:val="00B400BA"/>
    <w:rsid w:val="00B41916"/>
    <w:rsid w:val="00B45992"/>
    <w:rsid w:val="00B45FCC"/>
    <w:rsid w:val="00B50C3F"/>
    <w:rsid w:val="00B547BF"/>
    <w:rsid w:val="00B54C93"/>
    <w:rsid w:val="00B60C54"/>
    <w:rsid w:val="00B63414"/>
    <w:rsid w:val="00B65CBF"/>
    <w:rsid w:val="00B66B39"/>
    <w:rsid w:val="00B72733"/>
    <w:rsid w:val="00B72FDA"/>
    <w:rsid w:val="00B73643"/>
    <w:rsid w:val="00B7712B"/>
    <w:rsid w:val="00B83795"/>
    <w:rsid w:val="00B90A5D"/>
    <w:rsid w:val="00B91559"/>
    <w:rsid w:val="00B922A0"/>
    <w:rsid w:val="00B924CC"/>
    <w:rsid w:val="00B92FEC"/>
    <w:rsid w:val="00BA40DE"/>
    <w:rsid w:val="00BB20D6"/>
    <w:rsid w:val="00BB3412"/>
    <w:rsid w:val="00BB4D1B"/>
    <w:rsid w:val="00BB5F1F"/>
    <w:rsid w:val="00BB6928"/>
    <w:rsid w:val="00BC4F1E"/>
    <w:rsid w:val="00BC5143"/>
    <w:rsid w:val="00BC7D2D"/>
    <w:rsid w:val="00BD026F"/>
    <w:rsid w:val="00BD0797"/>
    <w:rsid w:val="00BD0E65"/>
    <w:rsid w:val="00BD1497"/>
    <w:rsid w:val="00BD2DFE"/>
    <w:rsid w:val="00BD7123"/>
    <w:rsid w:val="00BE14CD"/>
    <w:rsid w:val="00BE5F90"/>
    <w:rsid w:val="00BF4919"/>
    <w:rsid w:val="00C0589B"/>
    <w:rsid w:val="00C0723D"/>
    <w:rsid w:val="00C113BC"/>
    <w:rsid w:val="00C12BAA"/>
    <w:rsid w:val="00C155CA"/>
    <w:rsid w:val="00C164A0"/>
    <w:rsid w:val="00C205E5"/>
    <w:rsid w:val="00C23A6C"/>
    <w:rsid w:val="00C24C83"/>
    <w:rsid w:val="00C25C9E"/>
    <w:rsid w:val="00C260E0"/>
    <w:rsid w:val="00C32CBF"/>
    <w:rsid w:val="00C342AF"/>
    <w:rsid w:val="00C35AAB"/>
    <w:rsid w:val="00C35E94"/>
    <w:rsid w:val="00C4005B"/>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5FFB"/>
    <w:rsid w:val="00C66375"/>
    <w:rsid w:val="00C66BD6"/>
    <w:rsid w:val="00C67104"/>
    <w:rsid w:val="00C677A9"/>
    <w:rsid w:val="00C70E47"/>
    <w:rsid w:val="00C7295A"/>
    <w:rsid w:val="00C72A47"/>
    <w:rsid w:val="00C73FBD"/>
    <w:rsid w:val="00C744F8"/>
    <w:rsid w:val="00C76E93"/>
    <w:rsid w:val="00C77458"/>
    <w:rsid w:val="00C778B8"/>
    <w:rsid w:val="00C801D0"/>
    <w:rsid w:val="00C802FD"/>
    <w:rsid w:val="00C812D3"/>
    <w:rsid w:val="00C82E70"/>
    <w:rsid w:val="00C82F1E"/>
    <w:rsid w:val="00C84243"/>
    <w:rsid w:val="00C923CA"/>
    <w:rsid w:val="00C92F27"/>
    <w:rsid w:val="00C93366"/>
    <w:rsid w:val="00C9357D"/>
    <w:rsid w:val="00C94DBD"/>
    <w:rsid w:val="00C95903"/>
    <w:rsid w:val="00CA28F3"/>
    <w:rsid w:val="00CA45D6"/>
    <w:rsid w:val="00CA4B03"/>
    <w:rsid w:val="00CA4ECA"/>
    <w:rsid w:val="00CB00FB"/>
    <w:rsid w:val="00CB0D4C"/>
    <w:rsid w:val="00CB1F6C"/>
    <w:rsid w:val="00CB22B6"/>
    <w:rsid w:val="00CB43FA"/>
    <w:rsid w:val="00CB60BD"/>
    <w:rsid w:val="00CC0457"/>
    <w:rsid w:val="00CC371A"/>
    <w:rsid w:val="00CC5082"/>
    <w:rsid w:val="00CC6306"/>
    <w:rsid w:val="00CC67DF"/>
    <w:rsid w:val="00CC7CF8"/>
    <w:rsid w:val="00CD32D9"/>
    <w:rsid w:val="00CD3DE9"/>
    <w:rsid w:val="00CD3E7C"/>
    <w:rsid w:val="00CD4473"/>
    <w:rsid w:val="00CD6A10"/>
    <w:rsid w:val="00CD71F7"/>
    <w:rsid w:val="00CE1538"/>
    <w:rsid w:val="00CE3DFD"/>
    <w:rsid w:val="00CE5FB0"/>
    <w:rsid w:val="00CE65B2"/>
    <w:rsid w:val="00CF37B7"/>
    <w:rsid w:val="00D01A88"/>
    <w:rsid w:val="00D01DA5"/>
    <w:rsid w:val="00D0289A"/>
    <w:rsid w:val="00D04321"/>
    <w:rsid w:val="00D05485"/>
    <w:rsid w:val="00D122B6"/>
    <w:rsid w:val="00D17884"/>
    <w:rsid w:val="00D17D48"/>
    <w:rsid w:val="00D22B42"/>
    <w:rsid w:val="00D26941"/>
    <w:rsid w:val="00D30940"/>
    <w:rsid w:val="00D32088"/>
    <w:rsid w:val="00D325DF"/>
    <w:rsid w:val="00D34A15"/>
    <w:rsid w:val="00D364A2"/>
    <w:rsid w:val="00D42E06"/>
    <w:rsid w:val="00D43A9A"/>
    <w:rsid w:val="00D43CB3"/>
    <w:rsid w:val="00D43EB9"/>
    <w:rsid w:val="00D4614A"/>
    <w:rsid w:val="00D464F2"/>
    <w:rsid w:val="00D5459C"/>
    <w:rsid w:val="00D57666"/>
    <w:rsid w:val="00D57EFB"/>
    <w:rsid w:val="00D60E24"/>
    <w:rsid w:val="00D63B67"/>
    <w:rsid w:val="00D63D29"/>
    <w:rsid w:val="00D75A5C"/>
    <w:rsid w:val="00D75CF1"/>
    <w:rsid w:val="00D81EA9"/>
    <w:rsid w:val="00D84FCD"/>
    <w:rsid w:val="00D91784"/>
    <w:rsid w:val="00D917CF"/>
    <w:rsid w:val="00D923A0"/>
    <w:rsid w:val="00D93BF5"/>
    <w:rsid w:val="00D93FAC"/>
    <w:rsid w:val="00D9587D"/>
    <w:rsid w:val="00D95EB4"/>
    <w:rsid w:val="00D9741F"/>
    <w:rsid w:val="00DA122E"/>
    <w:rsid w:val="00DA1E6B"/>
    <w:rsid w:val="00DA4765"/>
    <w:rsid w:val="00DA535D"/>
    <w:rsid w:val="00DA714D"/>
    <w:rsid w:val="00DB1A79"/>
    <w:rsid w:val="00DB3C7E"/>
    <w:rsid w:val="00DB4E19"/>
    <w:rsid w:val="00DB5924"/>
    <w:rsid w:val="00DB68D5"/>
    <w:rsid w:val="00DB6B6C"/>
    <w:rsid w:val="00DB7D71"/>
    <w:rsid w:val="00DB7FA3"/>
    <w:rsid w:val="00DC185B"/>
    <w:rsid w:val="00DC3084"/>
    <w:rsid w:val="00DD2FAD"/>
    <w:rsid w:val="00DD4D4E"/>
    <w:rsid w:val="00DE392C"/>
    <w:rsid w:val="00DE39D5"/>
    <w:rsid w:val="00DE538D"/>
    <w:rsid w:val="00DE659D"/>
    <w:rsid w:val="00DE6BD6"/>
    <w:rsid w:val="00DE6E0D"/>
    <w:rsid w:val="00DF00D6"/>
    <w:rsid w:val="00DF2D2E"/>
    <w:rsid w:val="00DF46AD"/>
    <w:rsid w:val="00DF6578"/>
    <w:rsid w:val="00DF7BBC"/>
    <w:rsid w:val="00E01E9D"/>
    <w:rsid w:val="00E037E8"/>
    <w:rsid w:val="00E11812"/>
    <w:rsid w:val="00E1421A"/>
    <w:rsid w:val="00E17DAD"/>
    <w:rsid w:val="00E2303A"/>
    <w:rsid w:val="00E24CF7"/>
    <w:rsid w:val="00E24E0F"/>
    <w:rsid w:val="00E26617"/>
    <w:rsid w:val="00E27A36"/>
    <w:rsid w:val="00E3000B"/>
    <w:rsid w:val="00E34597"/>
    <w:rsid w:val="00E34B40"/>
    <w:rsid w:val="00E35D6E"/>
    <w:rsid w:val="00E36997"/>
    <w:rsid w:val="00E36E08"/>
    <w:rsid w:val="00E375AA"/>
    <w:rsid w:val="00E376CE"/>
    <w:rsid w:val="00E37D60"/>
    <w:rsid w:val="00E406A7"/>
    <w:rsid w:val="00E43178"/>
    <w:rsid w:val="00E47B7A"/>
    <w:rsid w:val="00E562DC"/>
    <w:rsid w:val="00E56A1A"/>
    <w:rsid w:val="00E62388"/>
    <w:rsid w:val="00E63937"/>
    <w:rsid w:val="00E64008"/>
    <w:rsid w:val="00E66734"/>
    <w:rsid w:val="00E73943"/>
    <w:rsid w:val="00E73A29"/>
    <w:rsid w:val="00E74066"/>
    <w:rsid w:val="00E766C7"/>
    <w:rsid w:val="00E81954"/>
    <w:rsid w:val="00E8317B"/>
    <w:rsid w:val="00E84291"/>
    <w:rsid w:val="00E854CE"/>
    <w:rsid w:val="00E907F1"/>
    <w:rsid w:val="00E926EF"/>
    <w:rsid w:val="00E93EBB"/>
    <w:rsid w:val="00E94CDE"/>
    <w:rsid w:val="00E960AC"/>
    <w:rsid w:val="00EA02E6"/>
    <w:rsid w:val="00EA38D1"/>
    <w:rsid w:val="00EA42F9"/>
    <w:rsid w:val="00EB17D6"/>
    <w:rsid w:val="00EC093E"/>
    <w:rsid w:val="00EC0D9E"/>
    <w:rsid w:val="00EC142A"/>
    <w:rsid w:val="00EC23F8"/>
    <w:rsid w:val="00EC4705"/>
    <w:rsid w:val="00EC528A"/>
    <w:rsid w:val="00ED16A9"/>
    <w:rsid w:val="00ED4100"/>
    <w:rsid w:val="00ED6114"/>
    <w:rsid w:val="00EE0257"/>
    <w:rsid w:val="00EE0520"/>
    <w:rsid w:val="00EE5339"/>
    <w:rsid w:val="00EE6056"/>
    <w:rsid w:val="00EE6CC6"/>
    <w:rsid w:val="00EF03C5"/>
    <w:rsid w:val="00EF05C3"/>
    <w:rsid w:val="00EF0691"/>
    <w:rsid w:val="00EF2269"/>
    <w:rsid w:val="00EF28E8"/>
    <w:rsid w:val="00EF4F3C"/>
    <w:rsid w:val="00EF52AE"/>
    <w:rsid w:val="00EF79AC"/>
    <w:rsid w:val="00EF79CE"/>
    <w:rsid w:val="00F018EA"/>
    <w:rsid w:val="00F053A4"/>
    <w:rsid w:val="00F05C88"/>
    <w:rsid w:val="00F11255"/>
    <w:rsid w:val="00F124E0"/>
    <w:rsid w:val="00F15946"/>
    <w:rsid w:val="00F17985"/>
    <w:rsid w:val="00F208FE"/>
    <w:rsid w:val="00F2139A"/>
    <w:rsid w:val="00F21DBA"/>
    <w:rsid w:val="00F2276E"/>
    <w:rsid w:val="00F23D8B"/>
    <w:rsid w:val="00F24026"/>
    <w:rsid w:val="00F2406A"/>
    <w:rsid w:val="00F27AF7"/>
    <w:rsid w:val="00F31595"/>
    <w:rsid w:val="00F31B1F"/>
    <w:rsid w:val="00F3515D"/>
    <w:rsid w:val="00F352E6"/>
    <w:rsid w:val="00F37731"/>
    <w:rsid w:val="00F37B82"/>
    <w:rsid w:val="00F41E50"/>
    <w:rsid w:val="00F477A5"/>
    <w:rsid w:val="00F478F0"/>
    <w:rsid w:val="00F5342E"/>
    <w:rsid w:val="00F545EB"/>
    <w:rsid w:val="00F546FE"/>
    <w:rsid w:val="00F55032"/>
    <w:rsid w:val="00F555A2"/>
    <w:rsid w:val="00F64196"/>
    <w:rsid w:val="00F65467"/>
    <w:rsid w:val="00F706BA"/>
    <w:rsid w:val="00F72008"/>
    <w:rsid w:val="00F72107"/>
    <w:rsid w:val="00F734C6"/>
    <w:rsid w:val="00F73A59"/>
    <w:rsid w:val="00F74831"/>
    <w:rsid w:val="00F77494"/>
    <w:rsid w:val="00F77AFD"/>
    <w:rsid w:val="00F847D5"/>
    <w:rsid w:val="00F86609"/>
    <w:rsid w:val="00F875B5"/>
    <w:rsid w:val="00F900ED"/>
    <w:rsid w:val="00F94A05"/>
    <w:rsid w:val="00FA1313"/>
    <w:rsid w:val="00FA1935"/>
    <w:rsid w:val="00FA1B07"/>
    <w:rsid w:val="00FA1D2A"/>
    <w:rsid w:val="00FA2904"/>
    <w:rsid w:val="00FA5FE2"/>
    <w:rsid w:val="00FA7A36"/>
    <w:rsid w:val="00FB0184"/>
    <w:rsid w:val="00FB0FCF"/>
    <w:rsid w:val="00FB49C9"/>
    <w:rsid w:val="00FB73B1"/>
    <w:rsid w:val="00FC0176"/>
    <w:rsid w:val="00FC0EC2"/>
    <w:rsid w:val="00FC27C3"/>
    <w:rsid w:val="00FC32C2"/>
    <w:rsid w:val="00FC5534"/>
    <w:rsid w:val="00FC56E5"/>
    <w:rsid w:val="00FC649A"/>
    <w:rsid w:val="00FD2224"/>
    <w:rsid w:val="00FD3ED4"/>
    <w:rsid w:val="00FD5C7C"/>
    <w:rsid w:val="00FD6000"/>
    <w:rsid w:val="00FE17B0"/>
    <w:rsid w:val="00FE1C9B"/>
    <w:rsid w:val="00FE43AA"/>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D110D75"/>
  <w15:docId w15:val="{FFD6813F-67D9-45CF-932E-EBE55644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09302A"/>
    <w:pPr>
      <w:ind w:left="720"/>
      <w:contextualSpacing/>
    </w:pPr>
  </w:style>
  <w:style w:type="paragraph" w:styleId="NormalWeb">
    <w:name w:val="Normal (Web)"/>
    <w:basedOn w:val="Normal"/>
    <w:uiPriority w:val="99"/>
    <w:unhideWhenUsed/>
    <w:rsid w:val="00300D63"/>
    <w:pPr>
      <w:spacing w:before="100" w:beforeAutospacing="1" w:after="100" w:afterAutospacing="1"/>
    </w:pPr>
    <w:rPr>
      <w:sz w:val="24"/>
      <w:szCs w:val="24"/>
    </w:rPr>
  </w:style>
  <w:style w:type="character" w:styleId="PlaceholderText">
    <w:name w:val="Placeholder Text"/>
    <w:basedOn w:val="DefaultParagraphFont"/>
    <w:uiPriority w:val="99"/>
    <w:semiHidden/>
    <w:rsid w:val="00346E24"/>
    <w:rPr>
      <w:color w:val="808080"/>
    </w:rPr>
  </w:style>
  <w:style w:type="paragraph" w:styleId="Revision">
    <w:name w:val="Revision"/>
    <w:hidden/>
    <w:uiPriority w:val="99"/>
    <w:semiHidden/>
    <w:rsid w:val="00C9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375">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93400273">
      <w:bodyDiv w:val="1"/>
      <w:marLeft w:val="0"/>
      <w:marRight w:val="0"/>
      <w:marTop w:val="0"/>
      <w:marBottom w:val="0"/>
      <w:divBdr>
        <w:top w:val="none" w:sz="0" w:space="0" w:color="auto"/>
        <w:left w:val="none" w:sz="0" w:space="0" w:color="auto"/>
        <w:bottom w:val="none" w:sz="0" w:space="0" w:color="auto"/>
        <w:right w:val="none" w:sz="0" w:space="0" w:color="auto"/>
      </w:divBdr>
    </w:div>
    <w:div w:id="840194960">
      <w:bodyDiv w:val="1"/>
      <w:marLeft w:val="0"/>
      <w:marRight w:val="0"/>
      <w:marTop w:val="0"/>
      <w:marBottom w:val="0"/>
      <w:divBdr>
        <w:top w:val="none" w:sz="0" w:space="0" w:color="auto"/>
        <w:left w:val="none" w:sz="0" w:space="0" w:color="auto"/>
        <w:bottom w:val="none" w:sz="0" w:space="0" w:color="auto"/>
        <w:right w:val="none" w:sz="0" w:space="0" w:color="auto"/>
      </w:divBdr>
    </w:div>
    <w:div w:id="1362630998">
      <w:bodyDiv w:val="1"/>
      <w:marLeft w:val="0"/>
      <w:marRight w:val="0"/>
      <w:marTop w:val="0"/>
      <w:marBottom w:val="0"/>
      <w:divBdr>
        <w:top w:val="none" w:sz="0" w:space="0" w:color="auto"/>
        <w:left w:val="none" w:sz="0" w:space="0" w:color="auto"/>
        <w:bottom w:val="none" w:sz="0" w:space="0" w:color="auto"/>
        <w:right w:val="none" w:sz="0" w:space="0" w:color="auto"/>
      </w:divBdr>
    </w:div>
    <w:div w:id="149999781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deq-aqd-forms-ROP-Staff-Report_484005_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 (1).dot</Template>
  <TotalTime>7</TotalTime>
  <Pages>13</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Christopher Ethridge</Manager>
  <Company>EGLE Air Quality Division</Company>
  <LinksUpToDate>false</LinksUpToDate>
  <CharactersWithSpaces>30482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Karl, Matthew (EGLE)</dc:creator>
  <cp:keywords>AQD, air, permits, ROP, Title V, staff report</cp:keywords>
  <dc:description/>
  <cp:lastModifiedBy>Orent, Kelly (EGLE)</cp:lastModifiedBy>
  <cp:revision>3</cp:revision>
  <cp:lastPrinted>2013-10-29T20:42:00Z</cp:lastPrinted>
  <dcterms:created xsi:type="dcterms:W3CDTF">2023-01-24T16:48:00Z</dcterms:created>
  <dcterms:modified xsi:type="dcterms:W3CDTF">2023-01-26T18:26:00Z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